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D42" w:rsidP="008C3D42">
      <w:pPr>
        <w:pStyle w:val="Title"/>
      </w:pPr>
      <w:r>
        <w:fldChar w:fldCharType="begin"/>
      </w:r>
      <w:r>
        <w:instrText xml:space="preserve"> TITLE   \* MERGEFORMAT </w:instrText>
      </w:r>
      <w:r>
        <w:fldChar w:fldCharType="separate"/>
      </w:r>
      <w:r>
        <w:t xml:space="preserve">Assessment Requirements for CHCMHS010 Implement recovery oriented approaches to complexity </w:t>
      </w:r>
      <w:r>
        <w:fldChar w:fldCharType="end"/>
      </w:r>
    </w:p>
    <w:p w:rsidR="008C3D42" w:rsidP="008C3D42">
      <w:pPr>
        <w:pStyle w:val="Version"/>
        <w:sectPr w:rsidSect="00650C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CA9" w:rsidP="00650CA9">
      <w:pPr>
        <w:pStyle w:val="SuperHeading"/>
      </w:pPr>
      <w:r w:rsidRPr="00650CA9">
        <w:t xml:space="preserve">Assessment Requirements for CHCMHS010 Implement recovery oriented approaches to complexity </w:t>
      </w:r>
    </w:p>
    <w:p w:rsidR="00000000" w:rsidRPr="00650CA9" w:rsidP="00650CA9">
      <w:pPr>
        <w:pStyle w:val="Heading1"/>
      </w:pPr>
      <w:bookmarkStart w:id="1" w:name="O_654307"/>
      <w:bookmarkEnd w:id="1"/>
      <w:r w:rsidRPr="00650CA9">
        <w:t>Modification History</w:t>
      </w:r>
    </w:p>
    <w:tbl>
      <w:tblPr>
        <w:tblW w:w="0" w:type="auto"/>
        <w:tblLayout w:type="fixed"/>
        <w:tblCellMar>
          <w:left w:w="62" w:type="dxa"/>
          <w:right w:w="62" w:type="dxa"/>
        </w:tblCellMar>
        <w:tblLook w:val="0000"/>
      </w:tblPr>
      <w:tblGrid>
        <w:gridCol w:w="2790"/>
        <w:gridCol w:w="6344"/>
      </w:tblGrid>
      <w:tr w:rsidTr="00650CA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CA9" w:rsidP="00650CA9">
            <w:pPr>
              <w:pStyle w:val="BodyText"/>
            </w:pPr>
            <w:r w:rsidRPr="00650CA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CA9">
            <w:pPr>
              <w:pStyle w:val="BodyText"/>
              <w:rPr>
                <w:lang w:val="en-NZ"/>
              </w:rPr>
            </w:pPr>
            <w:r w:rsidRPr="00650CA9">
              <w:rPr>
                <w:rStyle w:val="SpecialBold"/>
              </w:rPr>
              <w:t>Comments</w:t>
            </w:r>
          </w:p>
        </w:tc>
      </w:tr>
      <w:tr w:rsidTr="00650CA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CA9">
            <w:pPr>
              <w:pStyle w:val="BodyText"/>
              <w:rPr>
                <w:lang w:val="en-NZ"/>
              </w:rPr>
            </w:pPr>
            <w:r w:rsidRPr="00650CA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CA9" w:rsidP="00650CA9">
            <w:pPr>
              <w:pStyle w:val="BodyText"/>
            </w:pPr>
            <w:r w:rsidRPr="00650CA9">
              <w:t xml:space="preserve">This version was released in </w:t>
            </w:r>
            <w:r w:rsidRPr="00650CA9">
              <w:rPr>
                <w:rStyle w:val="Emphasis"/>
              </w:rPr>
              <w:t xml:space="preserve">CHC Community Services Training Package release 2.0 </w:t>
            </w:r>
            <w:r w:rsidRPr="00650CA9">
              <w:t>and meets the requirements of the 2012 Standards for Training Packages.</w:t>
            </w:r>
          </w:p>
          <w:p w:rsidR="00000000" w:rsidRPr="00650CA9" w:rsidP="00650CA9">
            <w:pPr>
              <w:pStyle w:val="BodyText"/>
            </w:pPr>
            <w:r w:rsidRPr="00650CA9">
              <w:t xml:space="preserve">New unit. </w:t>
            </w:r>
          </w:p>
        </w:tc>
      </w:tr>
    </w:tbl>
    <w:p w:rsidR="008C3D42" w:rsidP="00650CA9">
      <w:pPr>
        <w:pStyle w:val="BodyText"/>
      </w:pPr>
    </w:p>
    <w:p w:rsidR="008C3D42" w:rsidP="00650CA9">
      <w:pPr>
        <w:pStyle w:val="BodyText"/>
      </w:pPr>
    </w:p>
    <w:p w:rsidR="00000000" w:rsidRPr="00650CA9" w:rsidP="00650CA9">
      <w:pPr>
        <w:pStyle w:val="Heading1"/>
      </w:pPr>
      <w:bookmarkStart w:id="2" w:name="O_654308"/>
      <w:bookmarkEnd w:id="2"/>
      <w:r w:rsidRPr="00650CA9">
        <w:t>Performance Evidence</w:t>
      </w:r>
    </w:p>
    <w:p w:rsidR="00000000" w:rsidRPr="00650CA9" w:rsidP="008C3D42">
      <w:pPr>
        <w:pStyle w:val="BodyText"/>
      </w:pPr>
      <w:r w:rsidRPr="00650CA9">
        <w:t>The candidate must show evidence of the ability to complete tasks outlined in elements and performance criteria of this unit, manage</w:t>
      </w:r>
      <w:r w:rsidRPr="00650CA9">
        <w:t xml:space="preserve"> tasks and manage contingencies in the context of the job role. There must be evidence that the candidate has:</w:t>
      </w:r>
    </w:p>
    <w:p w:rsidR="00000000" w:rsidRPr="00650CA9" w:rsidP="00650CA9">
      <w:pPr>
        <w:pStyle w:val="ListBullet"/>
      </w:pPr>
      <w:r w:rsidRPr="00650CA9">
        <w:t>performed the activities outlined in the performance criteria of this unit during a period of 160 hours of work worked collaboratively with at l</w:t>
      </w:r>
      <w:r w:rsidRPr="00650CA9">
        <w:t>east 3 different people with mental illness, and as relevant, their support network, to develop and implement a recovery plan</w:t>
      </w:r>
    </w:p>
    <w:p w:rsidR="00000000" w:rsidRPr="00650CA9" w:rsidP="00650CA9">
      <w:pPr>
        <w:pStyle w:val="ListBullet"/>
      </w:pPr>
      <w:r w:rsidRPr="00650CA9">
        <w:t>worked with at least 4 of the following complexity issues with those people:</w:t>
      </w:r>
    </w:p>
    <w:p w:rsidR="00000000" w:rsidRPr="00650CA9" w:rsidP="00650CA9">
      <w:pPr>
        <w:pStyle w:val="ListBullet2"/>
      </w:pPr>
      <w:r w:rsidRPr="00650CA9">
        <w:t>alcohol and other drugs (AOD)</w:t>
      </w:r>
    </w:p>
    <w:p w:rsidR="00000000" w:rsidRPr="00650CA9" w:rsidP="00650CA9">
      <w:pPr>
        <w:pStyle w:val="ListBullet2"/>
      </w:pPr>
      <w:r w:rsidRPr="00650CA9">
        <w:t>gambling</w:t>
      </w:r>
    </w:p>
    <w:p w:rsidR="00000000" w:rsidRPr="00650CA9" w:rsidP="00650CA9">
      <w:pPr>
        <w:pStyle w:val="ListBullet2"/>
      </w:pPr>
      <w:r w:rsidRPr="00650CA9">
        <w:t>torture</w:t>
      </w:r>
    </w:p>
    <w:p w:rsidR="00000000" w:rsidRPr="00650CA9" w:rsidP="00650CA9">
      <w:pPr>
        <w:pStyle w:val="ListBullet2"/>
      </w:pPr>
      <w:r w:rsidRPr="00650CA9">
        <w:t>grief and loss</w:t>
      </w:r>
    </w:p>
    <w:p w:rsidR="00000000" w:rsidRPr="00650CA9" w:rsidP="00650CA9">
      <w:pPr>
        <w:pStyle w:val="ListBullet2"/>
      </w:pPr>
      <w:r w:rsidRPr="00650CA9">
        <w:t>disability</w:t>
      </w:r>
    </w:p>
    <w:p w:rsidR="00000000" w:rsidRPr="00650CA9" w:rsidP="00650CA9">
      <w:pPr>
        <w:pStyle w:val="ListBullet2"/>
      </w:pPr>
      <w:r w:rsidRPr="00650CA9">
        <w:t>family violence</w:t>
      </w:r>
    </w:p>
    <w:p w:rsidR="00000000" w:rsidRPr="00650CA9" w:rsidP="00650CA9">
      <w:pPr>
        <w:pStyle w:val="ListBullet2"/>
      </w:pPr>
      <w:r w:rsidRPr="00650CA9">
        <w:t>child protection</w:t>
      </w:r>
    </w:p>
    <w:p w:rsidR="00000000" w:rsidRPr="00650CA9" w:rsidP="00650CA9">
      <w:pPr>
        <w:pStyle w:val="ListBullet2"/>
      </w:pPr>
      <w:r w:rsidRPr="00650CA9">
        <w:t>justice system</w:t>
      </w:r>
    </w:p>
    <w:p w:rsidR="00000000" w:rsidRPr="00650CA9" w:rsidP="00650CA9">
      <w:pPr>
        <w:pStyle w:val="ListBullet2"/>
      </w:pPr>
      <w:r w:rsidRPr="00650CA9">
        <w:t>social housing/homelessness</w:t>
      </w:r>
    </w:p>
    <w:p w:rsidR="00000000" w:rsidRPr="00650CA9" w:rsidP="00650CA9">
      <w:pPr>
        <w:pStyle w:val="AllowPageBreak"/>
      </w:pPr>
    </w:p>
    <w:p w:rsidR="00000000" w:rsidRPr="00650CA9" w:rsidP="00650CA9">
      <w:pPr>
        <w:pStyle w:val="Heading1"/>
      </w:pPr>
      <w:bookmarkStart w:id="3" w:name="O_654309"/>
      <w:bookmarkEnd w:id="3"/>
      <w:r w:rsidRPr="00650CA9">
        <w:t>Knowledge Evidence</w:t>
      </w:r>
    </w:p>
    <w:p w:rsidR="00000000" w:rsidRPr="00650CA9" w:rsidP="008C3D42">
      <w:pPr>
        <w:pStyle w:val="BodyText"/>
      </w:pPr>
      <w:r w:rsidRPr="00650CA9">
        <w:t>The candidate must be able to demonstrate essential knowledge required to effectively do the task outlined in elements</w:t>
      </w:r>
      <w:r w:rsidRPr="00650CA9">
        <w:t xml:space="preserve"> and performance criteria of this unit, manage the task and manage contingencies in the context of the work role. This includes knowledge of:</w:t>
      </w:r>
    </w:p>
    <w:p w:rsidR="00000000" w:rsidRPr="00650CA9" w:rsidP="00650CA9">
      <w:pPr>
        <w:pStyle w:val="ListBullet"/>
      </w:pPr>
      <w:r w:rsidRPr="00650CA9">
        <w:t>legal and ethical considerations (international, national, state/territory and local) for addressing complexity i</w:t>
      </w:r>
      <w:r w:rsidRPr="00650CA9">
        <w:t>n mental health work, and how these are applied in organisations and individual practice:</w:t>
      </w:r>
    </w:p>
    <w:p w:rsidR="00000000" w:rsidRPr="00650CA9" w:rsidP="00650CA9">
      <w:pPr>
        <w:pStyle w:val="ListBullet2"/>
      </w:pPr>
      <w:r w:rsidRPr="00650CA9">
        <w:t>codes of practice</w:t>
      </w:r>
    </w:p>
    <w:p w:rsidR="00000000" w:rsidRPr="00650CA9" w:rsidP="00650CA9">
      <w:pPr>
        <w:pStyle w:val="ListBullet2"/>
      </w:pPr>
      <w:r w:rsidRPr="00650CA9">
        <w:t xml:space="preserve">continuing professional education </w:t>
      </w:r>
    </w:p>
    <w:p w:rsidR="00000000" w:rsidRPr="00650CA9" w:rsidP="00650CA9">
      <w:pPr>
        <w:pStyle w:val="ListBullet2"/>
      </w:pPr>
      <w:r w:rsidRPr="00650CA9">
        <w:t>discrimination</w:t>
      </w:r>
    </w:p>
    <w:p w:rsidR="00000000" w:rsidRPr="00650CA9" w:rsidP="00650CA9">
      <w:pPr>
        <w:pStyle w:val="ListBullet2"/>
      </w:pPr>
      <w:r w:rsidRPr="00650CA9">
        <w:t xml:space="preserve">dignity of risk </w:t>
      </w:r>
    </w:p>
    <w:p w:rsidR="00000000" w:rsidRPr="00650CA9" w:rsidP="00650CA9">
      <w:pPr>
        <w:pStyle w:val="ListBullet2"/>
      </w:pPr>
      <w:r w:rsidRPr="00650CA9">
        <w:t xml:space="preserve">duty of care </w:t>
      </w:r>
    </w:p>
    <w:p w:rsidR="00000000" w:rsidRPr="00650CA9" w:rsidP="00650CA9">
      <w:pPr>
        <w:pStyle w:val="ListBullet2"/>
      </w:pPr>
      <w:r w:rsidRPr="00650CA9">
        <w:t xml:space="preserve">human rights </w:t>
      </w:r>
    </w:p>
    <w:p w:rsidR="00000000" w:rsidRPr="00650CA9" w:rsidP="00650CA9">
      <w:pPr>
        <w:pStyle w:val="ListBullet2"/>
      </w:pPr>
      <w:r w:rsidRPr="00650CA9">
        <w:t xml:space="preserve">informed consent </w:t>
      </w:r>
    </w:p>
    <w:p w:rsidR="00000000" w:rsidRPr="00650CA9" w:rsidP="00650CA9">
      <w:pPr>
        <w:pStyle w:val="ListBullet2"/>
      </w:pPr>
      <w:r w:rsidRPr="00650CA9">
        <w:t xml:space="preserve">mandatory reporting </w:t>
      </w:r>
    </w:p>
    <w:p w:rsidR="00000000" w:rsidRPr="00650CA9" w:rsidP="00650CA9">
      <w:pPr>
        <w:pStyle w:val="ListBullet2"/>
      </w:pPr>
      <w:r w:rsidRPr="00650CA9">
        <w:t xml:space="preserve">practice standards </w:t>
      </w:r>
    </w:p>
    <w:p w:rsidR="00000000" w:rsidRPr="00650CA9" w:rsidP="00650CA9">
      <w:pPr>
        <w:pStyle w:val="ListBullet2"/>
      </w:pPr>
      <w:r w:rsidRPr="00650CA9">
        <w:t>privacy, confidentiality and disclosure</w:t>
      </w:r>
    </w:p>
    <w:p w:rsidR="00000000" w:rsidRPr="00650CA9" w:rsidP="00650CA9">
      <w:pPr>
        <w:pStyle w:val="ListBullet2"/>
      </w:pPr>
      <w:r w:rsidRPr="00650CA9">
        <w:t xml:space="preserve">policy frameworks </w:t>
      </w:r>
    </w:p>
    <w:p w:rsidR="00000000" w:rsidRPr="00650CA9" w:rsidP="00650CA9">
      <w:pPr>
        <w:pStyle w:val="ListBullet2"/>
      </w:pPr>
      <w:r w:rsidRPr="00650CA9">
        <w:t xml:space="preserve">records management </w:t>
      </w:r>
    </w:p>
    <w:p w:rsidR="00000000" w:rsidRPr="00650CA9" w:rsidP="00650CA9">
      <w:pPr>
        <w:pStyle w:val="ListBullet2"/>
      </w:pPr>
      <w:r w:rsidRPr="00650CA9">
        <w:t>rights and responsibilities of workers, employers and individuals accessing the service</w:t>
      </w:r>
    </w:p>
    <w:p w:rsidR="00000000" w:rsidRPr="00650CA9" w:rsidP="00650CA9">
      <w:pPr>
        <w:pStyle w:val="ListBullet2"/>
      </w:pPr>
      <w:r w:rsidRPr="00650CA9">
        <w:t>specific mental health legislation and its impact on individual worke</w:t>
      </w:r>
      <w:r w:rsidRPr="00650CA9">
        <w:t>rs</w:t>
      </w:r>
    </w:p>
    <w:p w:rsidR="00000000" w:rsidRPr="00650CA9" w:rsidP="00650CA9">
      <w:pPr>
        <w:pStyle w:val="ListBullet2"/>
      </w:pPr>
      <w:r w:rsidRPr="00650CA9">
        <w:t>work role boundaries – responsibilities and limitations</w:t>
      </w:r>
    </w:p>
    <w:p w:rsidR="00000000" w:rsidRPr="00650CA9" w:rsidP="00650CA9">
      <w:pPr>
        <w:pStyle w:val="ListBullet2"/>
      </w:pPr>
      <w:r w:rsidRPr="00650CA9">
        <w:t>work health and safety</w:t>
      </w:r>
    </w:p>
    <w:p w:rsidR="00000000" w:rsidRPr="00650CA9" w:rsidP="00650CA9">
      <w:pPr>
        <w:pStyle w:val="ListBullet"/>
      </w:pPr>
      <w:r w:rsidRPr="00650CA9">
        <w:t>values and principles of the mental health sector, including:</w:t>
      </w:r>
    </w:p>
    <w:p w:rsidR="00000000" w:rsidRPr="00650CA9" w:rsidP="00650CA9">
      <w:pPr>
        <w:pStyle w:val="ListBullet2"/>
      </w:pPr>
      <w:r w:rsidRPr="00650CA9">
        <w:t>recovery</w:t>
      </w:r>
    </w:p>
    <w:p w:rsidR="00000000" w:rsidRPr="00650CA9" w:rsidP="00650CA9">
      <w:pPr>
        <w:pStyle w:val="ListBullet2"/>
      </w:pPr>
      <w:r w:rsidRPr="00650CA9">
        <w:t>recovery oriented practice</w:t>
      </w:r>
    </w:p>
    <w:p w:rsidR="00000000" w:rsidRPr="00650CA9" w:rsidP="00650CA9">
      <w:pPr>
        <w:pStyle w:val="ListBullet2"/>
      </w:pPr>
      <w:r w:rsidRPr="00650CA9">
        <w:t>health promotion and prevention</w:t>
      </w:r>
    </w:p>
    <w:p w:rsidR="00000000" w:rsidRPr="00650CA9" w:rsidP="00650CA9">
      <w:pPr>
        <w:pStyle w:val="ListBullet2"/>
      </w:pPr>
      <w:r w:rsidRPr="00650CA9">
        <w:t>holistic approach</w:t>
      </w:r>
    </w:p>
    <w:p w:rsidR="00000000" w:rsidRPr="00650CA9" w:rsidP="00650CA9">
      <w:pPr>
        <w:pStyle w:val="ListBullet2"/>
      </w:pPr>
      <w:r w:rsidRPr="00650CA9">
        <w:t>empowerment/disempowerment</w:t>
      </w:r>
    </w:p>
    <w:p w:rsidR="00000000" w:rsidRPr="00650CA9" w:rsidP="00650CA9">
      <w:pPr>
        <w:pStyle w:val="ListBullet2"/>
      </w:pPr>
      <w:r w:rsidRPr="00650CA9">
        <w:t>access and equity</w:t>
      </w:r>
    </w:p>
    <w:p w:rsidR="00000000" w:rsidRPr="00650CA9" w:rsidP="00650CA9">
      <w:pPr>
        <w:pStyle w:val="ListBullet2"/>
      </w:pPr>
      <w:r w:rsidRPr="00650CA9">
        <w:t>early intervention</w:t>
      </w:r>
    </w:p>
    <w:p w:rsidR="00000000" w:rsidRPr="00650CA9" w:rsidP="00650CA9">
      <w:pPr>
        <w:pStyle w:val="ListBullet2"/>
      </w:pPr>
      <w:r w:rsidRPr="00650CA9">
        <w:t>rights</w:t>
      </w:r>
    </w:p>
    <w:p w:rsidR="00000000" w:rsidRPr="00650CA9" w:rsidP="00650CA9">
      <w:pPr>
        <w:pStyle w:val="ListBullet2"/>
      </w:pPr>
      <w:r w:rsidRPr="00650CA9">
        <w:t>social justice and inclusion</w:t>
      </w:r>
    </w:p>
    <w:p w:rsidR="00000000" w:rsidRPr="00650CA9" w:rsidP="00650CA9">
      <w:pPr>
        <w:pStyle w:val="ListBullet2"/>
      </w:pPr>
      <w:r w:rsidRPr="00650CA9">
        <w:t>citizenship</w:t>
      </w:r>
    </w:p>
    <w:p w:rsidR="00000000" w:rsidRPr="00650CA9" w:rsidP="00650CA9">
      <w:pPr>
        <w:pStyle w:val="ListBullet"/>
      </w:pPr>
      <w:r w:rsidRPr="00650CA9">
        <w:t>advocacy and promotion and support of self advocacy strength based practice</w:t>
      </w:r>
    </w:p>
    <w:p w:rsidR="00000000" w:rsidRPr="00650CA9" w:rsidP="00650CA9">
      <w:pPr>
        <w:pStyle w:val="ListBullet"/>
      </w:pPr>
      <w:r w:rsidRPr="00650CA9">
        <w:t>factors that contribute to complexity and the service delivery mode</w:t>
      </w:r>
      <w:r w:rsidRPr="00650CA9">
        <w:t xml:space="preserve">ls, frameworks and legislation in the following and their links with mental health, including: </w:t>
      </w:r>
    </w:p>
    <w:p w:rsidR="00000000" w:rsidRPr="00650CA9" w:rsidP="00650CA9">
      <w:pPr>
        <w:pStyle w:val="ListBullet2"/>
      </w:pPr>
      <w:r w:rsidRPr="00650CA9">
        <w:t>AOD</w:t>
      </w:r>
    </w:p>
    <w:p w:rsidR="00000000" w:rsidRPr="00650CA9" w:rsidP="00650CA9">
      <w:pPr>
        <w:pStyle w:val="ListBullet2"/>
      </w:pPr>
      <w:r w:rsidRPr="00650CA9">
        <w:t>chronic disease</w:t>
      </w:r>
    </w:p>
    <w:p w:rsidR="00000000" w:rsidRPr="00650CA9" w:rsidP="00650CA9">
      <w:pPr>
        <w:pStyle w:val="ListBullet2"/>
      </w:pPr>
      <w:r w:rsidRPr="00650CA9">
        <w:t>economic circumstance</w:t>
      </w:r>
    </w:p>
    <w:p w:rsidR="00000000" w:rsidRPr="00650CA9" w:rsidP="00650CA9">
      <w:pPr>
        <w:pStyle w:val="ListBullet2"/>
      </w:pPr>
      <w:r w:rsidRPr="00650CA9">
        <w:t>education</w:t>
      </w:r>
    </w:p>
    <w:p w:rsidR="00000000" w:rsidRPr="00650CA9" w:rsidP="00650CA9">
      <w:pPr>
        <w:pStyle w:val="ListBullet2"/>
      </w:pPr>
      <w:r w:rsidRPr="00650CA9">
        <w:t>gambling</w:t>
      </w:r>
    </w:p>
    <w:p w:rsidR="00000000" w:rsidRPr="00650CA9" w:rsidP="00650CA9">
      <w:pPr>
        <w:pStyle w:val="ListBullet2"/>
      </w:pPr>
      <w:r w:rsidRPr="00650CA9">
        <w:t>torture</w:t>
      </w:r>
    </w:p>
    <w:p w:rsidR="00000000" w:rsidRPr="00650CA9" w:rsidP="00650CA9">
      <w:pPr>
        <w:pStyle w:val="ListBullet2"/>
      </w:pPr>
      <w:r w:rsidRPr="00650CA9">
        <w:t>grief and loss</w:t>
      </w:r>
    </w:p>
    <w:p w:rsidR="00000000" w:rsidRPr="00650CA9" w:rsidP="00650CA9">
      <w:pPr>
        <w:pStyle w:val="ListBullet2"/>
      </w:pPr>
      <w:r w:rsidRPr="00650CA9">
        <w:t>disability</w:t>
      </w:r>
    </w:p>
    <w:p w:rsidR="00000000" w:rsidRPr="00650CA9" w:rsidP="00650CA9">
      <w:pPr>
        <w:pStyle w:val="ListBullet2"/>
      </w:pPr>
      <w:r w:rsidRPr="00650CA9">
        <w:t>family violence</w:t>
      </w:r>
    </w:p>
    <w:p w:rsidR="00000000" w:rsidRPr="00650CA9" w:rsidP="00650CA9">
      <w:pPr>
        <w:pStyle w:val="ListBullet2"/>
      </w:pPr>
      <w:r w:rsidRPr="00650CA9">
        <w:t>child protection</w:t>
      </w:r>
    </w:p>
    <w:p w:rsidR="00000000" w:rsidRPr="00650CA9" w:rsidP="00650CA9">
      <w:pPr>
        <w:pStyle w:val="ListBullet2"/>
      </w:pPr>
      <w:r w:rsidRPr="00650CA9">
        <w:t>justice system</w:t>
      </w:r>
    </w:p>
    <w:p w:rsidR="00000000" w:rsidRPr="00650CA9" w:rsidP="00650CA9">
      <w:pPr>
        <w:pStyle w:val="ListBullet2"/>
      </w:pPr>
      <w:r w:rsidRPr="00650CA9">
        <w:t>social housing/homelessness</w:t>
      </w:r>
    </w:p>
    <w:p w:rsidR="00000000" w:rsidRPr="00650CA9" w:rsidP="00650CA9">
      <w:pPr>
        <w:pStyle w:val="ListBullet"/>
      </w:pPr>
      <w:r w:rsidRPr="00650CA9">
        <w:t>cultural safety considerations</w:t>
      </w:r>
    </w:p>
    <w:p w:rsidR="00000000" w:rsidRPr="00650CA9" w:rsidP="00650CA9">
      <w:pPr>
        <w:pStyle w:val="ListBullet"/>
      </w:pPr>
      <w:r w:rsidRPr="00650CA9">
        <w:t>techniques for communication and motivational interviewing/counselling, including:</w:t>
      </w:r>
    </w:p>
    <w:p w:rsidR="00000000" w:rsidRPr="00650CA9" w:rsidP="00650CA9">
      <w:pPr>
        <w:pStyle w:val="ListBullet2"/>
      </w:pPr>
      <w:r w:rsidRPr="00650CA9">
        <w:t>active listening</w:t>
      </w:r>
    </w:p>
    <w:p w:rsidR="00000000" w:rsidRPr="00650CA9" w:rsidP="00650CA9">
      <w:pPr>
        <w:pStyle w:val="ListBullet2"/>
      </w:pPr>
      <w:r w:rsidRPr="00650CA9">
        <w:t>attending skills, use of body language, non-verbal communication</w:t>
      </w:r>
    </w:p>
    <w:p w:rsidR="00000000" w:rsidRPr="00650CA9" w:rsidP="00650CA9">
      <w:pPr>
        <w:pStyle w:val="ListBullet2"/>
      </w:pPr>
      <w:r w:rsidRPr="00650CA9">
        <w:t>paraphrasing</w:t>
      </w:r>
    </w:p>
    <w:p w:rsidR="00000000" w:rsidRPr="00650CA9" w:rsidP="00650CA9">
      <w:pPr>
        <w:pStyle w:val="ListBullet2"/>
      </w:pPr>
      <w:r w:rsidRPr="00650CA9">
        <w:t>reflecting feelin</w:t>
      </w:r>
      <w:r w:rsidRPr="00650CA9">
        <w:t>gs</w:t>
      </w:r>
    </w:p>
    <w:p w:rsidR="00000000" w:rsidRPr="00650CA9" w:rsidP="00650CA9">
      <w:pPr>
        <w:pStyle w:val="ListBullet2"/>
      </w:pPr>
      <w:r w:rsidRPr="00650CA9">
        <w:t>open and closed questioning or probing</w:t>
      </w:r>
    </w:p>
    <w:p w:rsidR="00000000" w:rsidRPr="00650CA9" w:rsidP="00650CA9">
      <w:pPr>
        <w:pStyle w:val="ListBullet2"/>
      </w:pPr>
      <w:r w:rsidRPr="00650CA9">
        <w:t>summarising</w:t>
      </w:r>
    </w:p>
    <w:p w:rsidR="00000000" w:rsidRPr="00650CA9" w:rsidP="00650CA9">
      <w:pPr>
        <w:pStyle w:val="ListBullet2"/>
      </w:pPr>
      <w:r w:rsidRPr="00650CA9">
        <w:t>reframing</w:t>
      </w:r>
    </w:p>
    <w:p w:rsidR="00000000" w:rsidRPr="00650CA9" w:rsidP="00650CA9">
      <w:pPr>
        <w:pStyle w:val="ListBullet2"/>
      </w:pPr>
      <w:r w:rsidRPr="00650CA9">
        <w:t>exploring options</w:t>
      </w:r>
    </w:p>
    <w:p w:rsidR="00000000" w:rsidRPr="00650CA9" w:rsidP="00650CA9">
      <w:pPr>
        <w:pStyle w:val="ListBullet2"/>
      </w:pPr>
      <w:r w:rsidRPr="00650CA9">
        <w:t>normalising statements</w:t>
      </w:r>
    </w:p>
    <w:p w:rsidR="00000000" w:rsidRPr="00650CA9" w:rsidP="00650CA9">
      <w:pPr>
        <w:pStyle w:val="ListBullet"/>
      </w:pPr>
      <w:r w:rsidRPr="00650CA9">
        <w:t>communication techniques required for dealing with complexity:</w:t>
      </w:r>
    </w:p>
    <w:p w:rsidR="00000000" w:rsidRPr="00650CA9" w:rsidP="00650CA9">
      <w:pPr>
        <w:pStyle w:val="ListBullet2"/>
      </w:pPr>
      <w:r w:rsidRPr="00650CA9">
        <w:t>conflict resolution</w:t>
      </w:r>
    </w:p>
    <w:p w:rsidR="00000000" w:rsidRPr="00650CA9" w:rsidP="00650CA9">
      <w:pPr>
        <w:pStyle w:val="ListBullet2"/>
      </w:pPr>
      <w:r w:rsidRPr="00650CA9">
        <w:t>negotiation</w:t>
      </w:r>
    </w:p>
    <w:p w:rsidR="00000000" w:rsidRPr="00650CA9" w:rsidP="00650CA9">
      <w:pPr>
        <w:pStyle w:val="ListBullet"/>
      </w:pPr>
      <w:r w:rsidRPr="00650CA9">
        <w:t>approaches to practice, including:</w:t>
      </w:r>
    </w:p>
    <w:p w:rsidR="00000000" w:rsidRPr="00650CA9" w:rsidP="00650CA9">
      <w:pPr>
        <w:pStyle w:val="ListBullet2"/>
      </w:pPr>
      <w:r w:rsidRPr="00650CA9">
        <w:t>motivational interviewing</w:t>
      </w:r>
    </w:p>
    <w:p w:rsidR="00000000" w:rsidRPr="00650CA9" w:rsidP="00650CA9">
      <w:pPr>
        <w:pStyle w:val="ListBullet2"/>
      </w:pPr>
      <w:r w:rsidRPr="00650CA9">
        <w:t>solution focused approaches</w:t>
      </w:r>
    </w:p>
    <w:p w:rsidR="00000000" w:rsidRPr="00650CA9" w:rsidP="00650CA9">
      <w:pPr>
        <w:pStyle w:val="ListBullet2"/>
      </w:pPr>
      <w:r w:rsidRPr="00650CA9">
        <w:t>strength based approaches</w:t>
      </w:r>
    </w:p>
    <w:p w:rsidR="00000000" w:rsidRPr="00650CA9" w:rsidP="00650CA9">
      <w:pPr>
        <w:pStyle w:val="ListBullet2"/>
      </w:pPr>
      <w:r w:rsidRPr="00650CA9">
        <w:t>cognitive behavioural approaches</w:t>
      </w:r>
    </w:p>
    <w:p w:rsidR="00000000" w:rsidRPr="00650CA9" w:rsidP="00650CA9">
      <w:pPr>
        <w:pStyle w:val="ListBullet2"/>
      </w:pPr>
      <w:r w:rsidRPr="00650CA9">
        <w:t>narrative approaches</w:t>
      </w:r>
    </w:p>
    <w:p w:rsidR="00000000" w:rsidRPr="00650CA9" w:rsidP="00650CA9">
      <w:pPr>
        <w:pStyle w:val="ListBullet2"/>
      </w:pPr>
      <w:r w:rsidRPr="00650CA9">
        <w:t>acceptance and commitment therapy (ACT)</w:t>
      </w:r>
    </w:p>
    <w:p w:rsidR="00000000" w:rsidRPr="00650CA9" w:rsidP="00650CA9">
      <w:pPr>
        <w:pStyle w:val="ListBullet2"/>
      </w:pPr>
      <w:r w:rsidRPr="00650CA9">
        <w:t>dialectal behavioural therapy</w:t>
      </w:r>
    </w:p>
    <w:p w:rsidR="00000000" w:rsidRPr="00650CA9" w:rsidP="00650CA9">
      <w:pPr>
        <w:pStyle w:val="ListBullet"/>
      </w:pPr>
      <w:r w:rsidRPr="00650CA9">
        <w:t>reflective practice and its role in underpinning ongoing learning, growth and good practice</w:t>
      </w:r>
    </w:p>
    <w:p w:rsidR="00000000" w:rsidRPr="00650CA9" w:rsidP="00650CA9">
      <w:pPr>
        <w:pStyle w:val="AllowPageBreak"/>
      </w:pPr>
    </w:p>
    <w:p w:rsidR="00000000" w:rsidRPr="00650CA9" w:rsidP="00650CA9">
      <w:pPr>
        <w:pStyle w:val="Heading1"/>
      </w:pPr>
      <w:bookmarkStart w:id="4" w:name="O_654310"/>
      <w:bookmarkEnd w:id="4"/>
      <w:r w:rsidRPr="00650CA9">
        <w:t>Assessment Conditions</w:t>
      </w:r>
    </w:p>
    <w:p w:rsidR="00000000" w:rsidRPr="00650CA9" w:rsidP="008C3D42">
      <w:pPr>
        <w:pStyle w:val="BodyText"/>
      </w:pPr>
      <w:r w:rsidRPr="00650CA9">
        <w:t>Skills must have been demonstrated in the workplace with the addition of simulations and scenarios where the full range of co</w:t>
      </w:r>
      <w:r w:rsidRPr="00650CA9">
        <w:t>ntexts and situations have not been provided in the workplace. Where simulation is used, it must reflect real working conditions by modelling industry operating conditions and contingencies, as well as, using suitable facilities, equipment and resources.</w:t>
      </w:r>
    </w:p>
    <w:p w:rsidR="00000000" w:rsidRPr="00650CA9" w:rsidP="008C3D42">
      <w:pPr>
        <w:pStyle w:val="BodyText"/>
      </w:pPr>
      <w:r w:rsidRPr="00650CA9">
        <w:t>Assessors must satisfy the Standards for Registered Training Organisations (RTOs) 2015/AQTF mandatory competency requirements for assessors.</w:t>
      </w:r>
    </w:p>
    <w:p w:rsidR="00000000" w:rsidRPr="00650CA9" w:rsidP="00650CA9">
      <w:pPr>
        <w:pStyle w:val="Heading1"/>
      </w:pPr>
      <w:bookmarkStart w:id="5" w:name="O_654313"/>
      <w:bookmarkEnd w:id="5"/>
      <w:r w:rsidRPr="00650CA9">
        <w:t>Links</w:t>
      </w:r>
    </w:p>
    <w:p w:rsidR="00000000" w:rsidRPr="00650CA9" w:rsidP="008C3D42">
      <w:pPr>
        <w:pStyle w:val="BodyText"/>
      </w:pPr>
      <w:r w:rsidRPr="00650CA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52806">
        <w:rPr>
          <w:rStyle w:val="Hyperlink"/>
        </w:rPr>
        <w:t>https://vetnet.gov.au/Pages/TrainingDocs.aspx?q=5e0c25cc-3d9d-4b43-80d3-bd22cc4f1e53</w:t>
      </w:r>
      <w:r>
        <w:fldChar w:fldCharType="end"/>
      </w:r>
    </w:p>
    <w:p w:rsidR="00000000" w:rsidRPr="00650CA9" w:rsidP="00650CA9"/>
    <w:sectPr w:rsidSect="00650C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A9" w:rsidRPr="008C3D42" w:rsidP="008C3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42" w:rsidP="00650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3D42" w:rsidP="00650CA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C3D42" w:rsidP="00650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CA9" w:rsidRPr="008C3D42" w:rsidP="008C3D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42" w:rsidRPr="002D2AF8" w:rsidP="00650CA9">
    <w:pPr>
      <w:pStyle w:val="Header"/>
      <w:framePr w:wrap="around"/>
    </w:pPr>
    <w:r>
      <w:fldChar w:fldCharType="begin"/>
    </w:r>
    <w:r>
      <w:instrText xml:space="preserve"> TITLE   \* MERGEFORMAT </w:instrText>
    </w:r>
    <w:r>
      <w:fldChar w:fldCharType="separate"/>
    </w:r>
    <w:r>
      <w:t xml:space="preserve">Assessment Requirements for CHCMHS010 Implement recovery oriented approaches to complexity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C3D42" w:rsidP="00650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44C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90D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9EF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CA9"/>
    <w:pPr>
      <w:spacing w:before="360" w:after="60"/>
      <w:outlineLvl w:val="0"/>
    </w:pPr>
    <w:rPr>
      <w:sz w:val="32"/>
    </w:rPr>
  </w:style>
  <w:style w:type="paragraph" w:styleId="Heading2">
    <w:name w:val="heading 2"/>
    <w:basedOn w:val="HeadingBase"/>
    <w:next w:val="BodyText"/>
    <w:link w:val="Heading2Char"/>
    <w:qFormat/>
    <w:rsid w:val="00650CA9"/>
    <w:pPr>
      <w:keepLines/>
      <w:spacing w:before="240" w:after="120"/>
      <w:outlineLvl w:val="1"/>
    </w:pPr>
    <w:rPr>
      <w:sz w:val="28"/>
      <w:szCs w:val="40"/>
    </w:rPr>
  </w:style>
  <w:style w:type="paragraph" w:styleId="Heading3">
    <w:name w:val="heading 3"/>
    <w:basedOn w:val="HeadingBase"/>
    <w:next w:val="BodyText"/>
    <w:link w:val="Heading3Char"/>
    <w:qFormat/>
    <w:rsid w:val="00650CA9"/>
    <w:pPr>
      <w:spacing w:before="180" w:after="120"/>
      <w:outlineLvl w:val="2"/>
    </w:pPr>
    <w:rPr>
      <w:spacing w:val="-10"/>
      <w:kern w:val="32"/>
    </w:rPr>
  </w:style>
  <w:style w:type="paragraph" w:styleId="Heading4">
    <w:name w:val="heading 4"/>
    <w:basedOn w:val="HeadingBase"/>
    <w:next w:val="BodyText"/>
    <w:link w:val="Heading4Char"/>
    <w:qFormat/>
    <w:rsid w:val="00650CA9"/>
    <w:pPr>
      <w:spacing w:before="160" w:after="120"/>
      <w:outlineLvl w:val="3"/>
    </w:pPr>
    <w:rPr>
      <w:sz w:val="22"/>
    </w:rPr>
  </w:style>
  <w:style w:type="paragraph" w:styleId="Heading5">
    <w:name w:val="heading 5"/>
    <w:basedOn w:val="HeadingBase"/>
    <w:next w:val="Normal"/>
    <w:link w:val="Heading5Char"/>
    <w:qFormat/>
    <w:rsid w:val="00650CA9"/>
    <w:pPr>
      <w:spacing w:before="80"/>
      <w:outlineLvl w:val="4"/>
    </w:pPr>
    <w:rPr>
      <w:color w:val="918585"/>
      <w:sz w:val="20"/>
    </w:rPr>
  </w:style>
  <w:style w:type="paragraph" w:styleId="Heading6">
    <w:name w:val="heading 6"/>
    <w:basedOn w:val="HeadingBase"/>
    <w:next w:val="Normal"/>
    <w:link w:val="Heading6Char"/>
    <w:qFormat/>
    <w:rsid w:val="00650CA9"/>
    <w:pPr>
      <w:spacing w:before="60"/>
      <w:outlineLvl w:val="5"/>
    </w:pPr>
    <w:rPr>
      <w:color w:val="918585"/>
      <w:sz w:val="20"/>
    </w:rPr>
  </w:style>
  <w:style w:type="paragraph" w:styleId="Heading7">
    <w:name w:val="heading 7"/>
    <w:basedOn w:val="Normal"/>
    <w:next w:val="Normal"/>
    <w:link w:val="Heading7Char"/>
    <w:qFormat/>
    <w:rsid w:val="00650CA9"/>
    <w:pPr>
      <w:ind w:left="720"/>
      <w:outlineLvl w:val="6"/>
    </w:pPr>
    <w:rPr>
      <w:i/>
    </w:rPr>
  </w:style>
  <w:style w:type="paragraph" w:styleId="Heading8">
    <w:name w:val="heading 8"/>
    <w:basedOn w:val="Normal"/>
    <w:next w:val="Normal"/>
    <w:link w:val="Heading8Char"/>
    <w:qFormat/>
    <w:rsid w:val="00650CA9"/>
    <w:pPr>
      <w:ind w:left="720"/>
      <w:outlineLvl w:val="7"/>
    </w:pPr>
    <w:rPr>
      <w:i/>
    </w:rPr>
  </w:style>
  <w:style w:type="paragraph" w:styleId="Heading9">
    <w:name w:val="heading 9"/>
    <w:basedOn w:val="Normal"/>
    <w:next w:val="Normal"/>
    <w:link w:val="Heading9Char"/>
    <w:qFormat/>
    <w:rsid w:val="00650CA9"/>
    <w:pPr>
      <w:ind w:left="720"/>
      <w:outlineLvl w:val="8"/>
    </w:pPr>
    <w:rPr>
      <w:i/>
    </w:rPr>
  </w:style>
  <w:style w:type="character" w:default="1" w:styleId="DefaultParagraphFont">
    <w:name w:val="Default Paragraph Font"/>
    <w:uiPriority w:val="1"/>
    <w:unhideWhenUsed/>
    <w:rsid w:val="00650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CA9"/>
  </w:style>
  <w:style w:type="character" w:customStyle="1" w:styleId="Heading1Char">
    <w:name w:val="Heading 1 Char"/>
    <w:basedOn w:val="DefaultParagraphFont"/>
    <w:link w:val="Heading1"/>
    <w:rsid w:val="00650CA9"/>
    <w:rPr>
      <w:rFonts w:ascii="Times New Roman" w:eastAsia="Times New Roman" w:hAnsi="Times New Roman" w:cs="Times New Roman"/>
      <w:b/>
      <w:sz w:val="32"/>
      <w:szCs w:val="20"/>
      <w:lang w:eastAsia="en-US"/>
    </w:rPr>
  </w:style>
  <w:style w:type="paragraph" w:styleId="BodyText">
    <w:name w:val="Body Text"/>
    <w:basedOn w:val="Normal"/>
    <w:link w:val="BodyTextChar"/>
    <w:rsid w:val="00650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CA9"/>
    <w:rPr>
      <w:rFonts w:ascii="Times New Roman" w:eastAsia="Times New Roman" w:hAnsi="Times New Roman" w:cs="Times New Roman"/>
      <w:sz w:val="24"/>
      <w:lang w:eastAsia="en-US"/>
    </w:rPr>
  </w:style>
  <w:style w:type="paragraph" w:styleId="ListBullet">
    <w:name w:val="List Bullet"/>
    <w:basedOn w:val="List"/>
    <w:rsid w:val="00650CA9"/>
    <w:pPr>
      <w:numPr>
        <w:numId w:val="12"/>
      </w:numPr>
      <w:tabs>
        <w:tab w:val="clear" w:pos="340"/>
      </w:tabs>
      <w:spacing w:before="40" w:after="40"/>
    </w:pPr>
  </w:style>
  <w:style w:type="character" w:customStyle="1" w:styleId="SpecialBold">
    <w:name w:val="Special Bold"/>
    <w:basedOn w:val="DefaultParagraphFont"/>
    <w:rsid w:val="00650CA9"/>
    <w:rPr>
      <w:b/>
      <w:spacing w:val="0"/>
    </w:rPr>
  </w:style>
  <w:style w:type="paragraph" w:styleId="ListBullet2">
    <w:name w:val="List Bullet 2"/>
    <w:basedOn w:val="List2"/>
    <w:rsid w:val="00650CA9"/>
    <w:pPr>
      <w:numPr>
        <w:numId w:val="13"/>
      </w:numPr>
      <w:tabs>
        <w:tab w:val="clear" w:pos="680"/>
      </w:tabs>
    </w:pPr>
  </w:style>
  <w:style w:type="character" w:styleId="Emphasis">
    <w:name w:val="Emphasis"/>
    <w:basedOn w:val="DefaultParagraphFont"/>
    <w:qFormat/>
    <w:rsid w:val="00650CA9"/>
    <w:rPr>
      <w:i/>
    </w:rPr>
  </w:style>
  <w:style w:type="paragraph" w:customStyle="1" w:styleId="SuperHeading">
    <w:name w:val="SuperHeading"/>
    <w:basedOn w:val="Normal"/>
    <w:rsid w:val="00650CA9"/>
    <w:pPr>
      <w:spacing w:before="240" w:after="120"/>
      <w:outlineLvl w:val="0"/>
    </w:pPr>
    <w:rPr>
      <w:rFonts w:ascii="Times New Roman" w:hAnsi="Times New Roman"/>
      <w:b/>
      <w:sz w:val="32"/>
    </w:rPr>
  </w:style>
  <w:style w:type="paragraph" w:customStyle="1" w:styleId="AllowPageBreak">
    <w:name w:val="AllowPageBreak"/>
    <w:rsid w:val="00650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0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CA9"/>
    <w:rPr>
      <w:rFonts w:ascii="Courier New" w:eastAsia="Times New Roman" w:hAnsi="Courier New" w:cs="Times New Roman"/>
      <w:i/>
      <w:szCs w:val="20"/>
      <w:lang w:eastAsia="en-US"/>
    </w:rPr>
  </w:style>
  <w:style w:type="paragraph" w:customStyle="1" w:styleId="HeadingBase">
    <w:name w:val="Heading Base"/>
    <w:rsid w:val="00650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CA9"/>
    <w:pPr>
      <w:tabs>
        <w:tab w:val="right" w:leader="dot" w:pos="9072"/>
      </w:tabs>
      <w:ind w:left="567"/>
    </w:pPr>
    <w:rPr>
      <w:szCs w:val="22"/>
    </w:rPr>
  </w:style>
  <w:style w:type="paragraph" w:customStyle="1" w:styleId="TOCBase">
    <w:name w:val="TOC Base"/>
    <w:rsid w:val="00650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CA9"/>
    <w:pPr>
      <w:tabs>
        <w:tab w:val="right" w:leader="dot" w:pos="9072"/>
      </w:tabs>
      <w:spacing w:before="40" w:after="40"/>
      <w:ind w:left="284"/>
    </w:pPr>
    <w:rPr>
      <w:rFonts w:ascii="Times New Roman" w:hAnsi="Times New Roman"/>
    </w:rPr>
  </w:style>
  <w:style w:type="paragraph" w:styleId="TOC1">
    <w:name w:val="toc 1"/>
    <w:basedOn w:val="TOCBase"/>
    <w:next w:val="Normal"/>
    <w:rsid w:val="00650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CA9"/>
    <w:rPr>
      <w:rFonts w:ascii="Times New Roman" w:eastAsia="Times New Roman" w:hAnsi="Times New Roman" w:cs="Times New Roman"/>
      <w:sz w:val="16"/>
      <w:lang w:eastAsia="en-US"/>
    </w:rPr>
  </w:style>
  <w:style w:type="paragraph" w:styleId="Title">
    <w:name w:val="Title"/>
    <w:basedOn w:val="HeadingBase"/>
    <w:link w:val="TitleChar"/>
    <w:qFormat/>
    <w:rsid w:val="00650CA9"/>
    <w:pPr>
      <w:spacing w:before="5040"/>
      <w:jc w:val="center"/>
    </w:pPr>
    <w:rPr>
      <w:sz w:val="48"/>
      <w:szCs w:val="72"/>
      <w:lang w:val="en-US"/>
    </w:rPr>
  </w:style>
  <w:style w:type="character" w:customStyle="1" w:styleId="TitleChar">
    <w:name w:val="Title Char"/>
    <w:basedOn w:val="DefaultParagraphFont"/>
    <w:link w:val="Title"/>
    <w:rsid w:val="00650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CA9"/>
    <w:pPr>
      <w:tabs>
        <w:tab w:val="left" w:pos="3600"/>
        <w:tab w:val="left" w:pos="3958"/>
      </w:tabs>
    </w:pPr>
  </w:style>
  <w:style w:type="paragraph" w:styleId="List">
    <w:name w:val="List"/>
    <w:basedOn w:val="BodyText"/>
    <w:next w:val="BodyText"/>
    <w:rsid w:val="00650CA9"/>
    <w:pPr>
      <w:tabs>
        <w:tab w:val="left" w:pos="340"/>
      </w:tabs>
      <w:spacing w:before="60" w:after="60"/>
      <w:ind w:left="340" w:hanging="340"/>
    </w:pPr>
  </w:style>
  <w:style w:type="paragraph" w:customStyle="1" w:styleId="Note">
    <w:name w:val="Note"/>
    <w:basedOn w:val="BodyText"/>
    <w:rsid w:val="00650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CA9"/>
    <w:pPr>
      <w:framePr w:wrap="auto" w:hAnchor="text" w:y="6049"/>
    </w:pPr>
    <w:rPr>
      <w:color w:val="000000"/>
      <w:sz w:val="40"/>
    </w:rPr>
  </w:style>
  <w:style w:type="paragraph" w:customStyle="1" w:styleId="TOCTitle">
    <w:name w:val="TOCTitle"/>
    <w:basedOn w:val="Heading1"/>
    <w:rsid w:val="00650CA9"/>
    <w:pPr>
      <w:spacing w:after="240"/>
      <w:jc w:val="center"/>
      <w:outlineLvl w:val="9"/>
    </w:pPr>
    <w:rPr>
      <w:caps/>
    </w:rPr>
  </w:style>
  <w:style w:type="paragraph" w:customStyle="1" w:styleId="Version">
    <w:name w:val="Version"/>
    <w:rsid w:val="00650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CA9"/>
    <w:pPr>
      <w:keepNext w:val="0"/>
      <w:tabs>
        <w:tab w:val="right" w:pos="4176"/>
      </w:tabs>
      <w:ind w:left="198" w:hanging="198"/>
    </w:pPr>
    <w:rPr>
      <w:rFonts w:ascii="Garamond" w:hAnsi="Garamond"/>
    </w:rPr>
  </w:style>
  <w:style w:type="paragraph" w:styleId="IndexHeading">
    <w:name w:val="index heading"/>
    <w:basedOn w:val="Normal"/>
    <w:next w:val="Index1"/>
    <w:semiHidden/>
    <w:rsid w:val="00650CA9"/>
    <w:pPr>
      <w:spacing w:before="120" w:after="120"/>
    </w:pPr>
    <w:rPr>
      <w:rFonts w:ascii="Arial" w:hAnsi="Arial"/>
      <w:b/>
      <w:color w:val="918585"/>
      <w:sz w:val="24"/>
    </w:rPr>
  </w:style>
  <w:style w:type="paragraph" w:styleId="Header">
    <w:name w:val="header"/>
    <w:basedOn w:val="Normal"/>
    <w:link w:val="HeaderChar"/>
    <w:rsid w:val="00650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CA9"/>
    <w:rPr>
      <w:rFonts w:ascii="Times New Roman" w:eastAsia="Times New Roman" w:hAnsi="Times New Roman" w:cs="Times New Roman"/>
      <w:sz w:val="16"/>
      <w:szCs w:val="20"/>
      <w:lang w:val="en-GB" w:eastAsia="en-US"/>
    </w:rPr>
  </w:style>
  <w:style w:type="paragraph" w:customStyle="1" w:styleId="Chapter">
    <w:name w:val="Chapter"/>
    <w:basedOn w:val="Normal"/>
    <w:rsid w:val="00650CA9"/>
    <w:pPr>
      <w:spacing w:before="240"/>
    </w:pPr>
    <w:rPr>
      <w:rFonts w:ascii="Times New Roman" w:hAnsi="Times New Roman"/>
      <w:smallCaps/>
      <w:spacing w:val="80"/>
      <w:sz w:val="28"/>
    </w:rPr>
  </w:style>
  <w:style w:type="paragraph" w:customStyle="1" w:styleId="InChapter">
    <w:name w:val="InChapter"/>
    <w:basedOn w:val="Heading3"/>
    <w:rsid w:val="00650CA9"/>
    <w:pPr>
      <w:spacing w:after="240"/>
      <w:outlineLvl w:val="9"/>
    </w:pPr>
    <w:rPr>
      <w:noProof/>
    </w:rPr>
  </w:style>
  <w:style w:type="paragraph" w:styleId="Index2">
    <w:name w:val="index 2"/>
    <w:basedOn w:val="Normal"/>
    <w:next w:val="Normal"/>
    <w:semiHidden/>
    <w:rsid w:val="00650CA9"/>
    <w:pPr>
      <w:tabs>
        <w:tab w:val="right" w:pos="4176"/>
      </w:tabs>
      <w:ind w:left="568" w:hanging="284"/>
    </w:pPr>
    <w:rPr>
      <w:rFonts w:ascii="Garamond" w:hAnsi="Garamond"/>
    </w:rPr>
  </w:style>
  <w:style w:type="paragraph" w:customStyle="1" w:styleId="Byline">
    <w:name w:val="Byline"/>
    <w:rsid w:val="00650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CA9"/>
    <w:pPr>
      <w:tabs>
        <w:tab w:val="clear" w:pos="3600"/>
        <w:tab w:val="clear" w:pos="3958"/>
      </w:tabs>
      <w:jc w:val="right"/>
    </w:pPr>
  </w:style>
  <w:style w:type="paragraph" w:styleId="Caption">
    <w:name w:val="caption"/>
    <w:basedOn w:val="BodyText"/>
    <w:next w:val="Normal"/>
    <w:qFormat/>
    <w:rsid w:val="00650CA9"/>
    <w:pPr>
      <w:framePr w:w="2268" w:hSpace="181" w:vSpace="181" w:wrap="around" w:vAnchor="text" w:hAnchor="page" w:x="1135" w:y="285" w:anchorLock="1"/>
    </w:pPr>
    <w:rPr>
      <w:i/>
    </w:rPr>
  </w:style>
  <w:style w:type="paragraph" w:customStyle="1" w:styleId="MiniTOCTitle">
    <w:name w:val="MiniTOCTitle"/>
    <w:basedOn w:val="Heading4"/>
    <w:rsid w:val="00650CA9"/>
    <w:pPr>
      <w:spacing w:before="240"/>
      <w:outlineLvl w:val="9"/>
    </w:pPr>
    <w:rPr>
      <w:noProof/>
      <w:sz w:val="24"/>
    </w:rPr>
  </w:style>
  <w:style w:type="paragraph" w:customStyle="1" w:styleId="MiniTOCItem">
    <w:name w:val="MiniTOCItem"/>
    <w:basedOn w:val="ListBullet"/>
    <w:rsid w:val="00650CA9"/>
    <w:pPr>
      <w:numPr>
        <w:numId w:val="0"/>
      </w:numPr>
      <w:tabs>
        <w:tab w:val="right" w:leader="dot" w:pos="6521"/>
      </w:tabs>
      <w:spacing w:before="0" w:after="0"/>
    </w:pPr>
  </w:style>
  <w:style w:type="paragraph" w:customStyle="1" w:styleId="TOFTitle">
    <w:name w:val="TOFTitle"/>
    <w:basedOn w:val="TOCTitle"/>
    <w:rsid w:val="00650CA9"/>
  </w:style>
  <w:style w:type="paragraph" w:styleId="TableofFigures">
    <w:name w:val="table of figures"/>
    <w:basedOn w:val="Normal"/>
    <w:next w:val="Normal"/>
    <w:semiHidden/>
    <w:rsid w:val="00650CA9"/>
    <w:pPr>
      <w:tabs>
        <w:tab w:val="right" w:leader="dot" w:pos="9072"/>
      </w:tabs>
      <w:ind w:left="970" w:hanging="403"/>
    </w:pPr>
    <w:rPr>
      <w:rFonts w:ascii="Times New Roman" w:hAnsi="Times New Roman"/>
      <w:b/>
    </w:rPr>
  </w:style>
  <w:style w:type="paragraph" w:styleId="ListNumber">
    <w:name w:val="List Number"/>
    <w:basedOn w:val="List"/>
    <w:rsid w:val="00650CA9"/>
    <w:pPr>
      <w:numPr>
        <w:numId w:val="15"/>
      </w:numPr>
      <w:tabs>
        <w:tab w:val="clear" w:pos="340"/>
      </w:tabs>
    </w:pPr>
  </w:style>
  <w:style w:type="character" w:customStyle="1" w:styleId="WingdingSymbols">
    <w:name w:val="Wingding Symbols"/>
    <w:rsid w:val="00650CA9"/>
    <w:rPr>
      <w:rFonts w:ascii="Wingdings" w:hAnsi="Wingdings"/>
    </w:rPr>
  </w:style>
  <w:style w:type="paragraph" w:customStyle="1" w:styleId="TableHeading">
    <w:name w:val="Table Heading"/>
    <w:basedOn w:val="HeadingBase"/>
    <w:rsid w:val="00650CA9"/>
    <w:pPr>
      <w:keepLines/>
      <w:pBdr>
        <w:bottom w:val="single" w:sz="6" w:space="1" w:color="918585"/>
      </w:pBdr>
      <w:spacing w:before="240"/>
    </w:pPr>
  </w:style>
  <w:style w:type="character" w:customStyle="1" w:styleId="HotSpot">
    <w:name w:val="HotSpot"/>
    <w:rsid w:val="00650CA9"/>
    <w:rPr>
      <w:color w:val="0033CC"/>
      <w:u w:val="none"/>
    </w:rPr>
  </w:style>
  <w:style w:type="paragraph" w:customStyle="1" w:styleId="BodyTextRight">
    <w:name w:val="Body Text Right"/>
    <w:basedOn w:val="BodyText"/>
    <w:rsid w:val="00650CA9"/>
    <w:pPr>
      <w:spacing w:before="0" w:after="0"/>
      <w:jc w:val="right"/>
    </w:pPr>
  </w:style>
  <w:style w:type="paragraph" w:styleId="Index3">
    <w:name w:val="index 3"/>
    <w:basedOn w:val="ListNumber2"/>
    <w:next w:val="Normal"/>
    <w:semiHidden/>
    <w:rsid w:val="00650CA9"/>
    <w:pPr>
      <w:numPr>
        <w:numId w:val="0"/>
      </w:numPr>
      <w:tabs>
        <w:tab w:val="right" w:leader="dot" w:pos="4176"/>
      </w:tabs>
    </w:pPr>
  </w:style>
  <w:style w:type="paragraph" w:styleId="ListNumber2">
    <w:name w:val="List Number 2"/>
    <w:basedOn w:val="List2"/>
    <w:rsid w:val="00650CA9"/>
    <w:pPr>
      <w:numPr>
        <w:numId w:val="10"/>
      </w:numPr>
      <w:tabs>
        <w:tab w:val="clear" w:pos="1060"/>
      </w:tabs>
    </w:pPr>
  </w:style>
  <w:style w:type="paragraph" w:customStyle="1" w:styleId="MarginNote">
    <w:name w:val="Margin Note"/>
    <w:basedOn w:val="BodyText"/>
    <w:rsid w:val="00650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CA9"/>
    <w:rPr>
      <w:sz w:val="32"/>
    </w:rPr>
  </w:style>
  <w:style w:type="paragraph" w:customStyle="1" w:styleId="HeadingProcedure">
    <w:name w:val="Heading Procedure"/>
    <w:basedOn w:val="HeadingBase"/>
    <w:next w:val="Normal"/>
    <w:rsid w:val="00650CA9"/>
    <w:pPr>
      <w:tabs>
        <w:tab w:val="left" w:pos="0"/>
      </w:tabs>
      <w:spacing w:before="120" w:after="60"/>
    </w:pPr>
    <w:rPr>
      <w:i/>
      <w:color w:val="918585"/>
      <w:sz w:val="22"/>
    </w:rPr>
  </w:style>
  <w:style w:type="paragraph" w:customStyle="1" w:styleId="TableBodyText">
    <w:name w:val="Table Body Text"/>
    <w:basedOn w:val="BodyText"/>
    <w:rsid w:val="00650CA9"/>
    <w:pPr>
      <w:spacing w:before="60" w:after="60"/>
    </w:pPr>
  </w:style>
  <w:style w:type="paragraph" w:styleId="ListContinue">
    <w:name w:val="List Continue"/>
    <w:basedOn w:val="List"/>
    <w:rsid w:val="00650CA9"/>
    <w:pPr>
      <w:ind w:firstLine="0"/>
    </w:pPr>
  </w:style>
  <w:style w:type="paragraph" w:customStyle="1" w:styleId="ListNote">
    <w:name w:val="List Note"/>
    <w:basedOn w:val="List"/>
    <w:rsid w:val="00650CA9"/>
    <w:pPr>
      <w:pBdr>
        <w:top w:val="single" w:sz="6" w:space="2" w:color="918585"/>
        <w:bottom w:val="single" w:sz="6" w:space="2" w:color="918585"/>
      </w:pBdr>
      <w:tabs>
        <w:tab w:val="left" w:pos="1021"/>
      </w:tabs>
      <w:ind w:firstLine="0"/>
    </w:pPr>
  </w:style>
  <w:style w:type="paragraph" w:customStyle="1" w:styleId="Warning">
    <w:name w:val="Warning"/>
    <w:basedOn w:val="BodyText"/>
    <w:rsid w:val="00650CA9"/>
    <w:pPr>
      <w:shd w:val="clear" w:color="auto" w:fill="D9D9D9"/>
      <w:tabs>
        <w:tab w:val="left" w:pos="992"/>
      </w:tabs>
      <w:ind w:left="119" w:right="119"/>
    </w:pPr>
    <w:rPr>
      <w:sz w:val="20"/>
    </w:rPr>
  </w:style>
  <w:style w:type="paragraph" w:customStyle="1" w:styleId="MarginIcons">
    <w:name w:val="Margin Icons"/>
    <w:basedOn w:val="BodyText"/>
    <w:rsid w:val="00650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CA9"/>
    <w:rPr>
      <w:rFonts w:ascii="Courier New" w:hAnsi="Courier New"/>
    </w:rPr>
  </w:style>
  <w:style w:type="paragraph" w:customStyle="1" w:styleId="NoteBullet">
    <w:name w:val="Note Bullet"/>
    <w:basedOn w:val="Note"/>
    <w:rsid w:val="00650CA9"/>
    <w:pPr>
      <w:tabs>
        <w:tab w:val="clear" w:pos="680"/>
      </w:tabs>
      <w:spacing w:before="60" w:after="60"/>
    </w:pPr>
  </w:style>
  <w:style w:type="paragraph" w:customStyle="1" w:styleId="SubHeading2">
    <w:name w:val="SubHeading2"/>
    <w:basedOn w:val="HeadingBase"/>
    <w:rsid w:val="00650CA9"/>
    <w:pPr>
      <w:spacing w:before="240" w:after="60"/>
    </w:pPr>
    <w:rPr>
      <w:sz w:val="20"/>
    </w:rPr>
  </w:style>
  <w:style w:type="paragraph" w:customStyle="1" w:styleId="SubHeading1">
    <w:name w:val="SubHeading1"/>
    <w:basedOn w:val="HeadingBase"/>
    <w:rsid w:val="00650CA9"/>
    <w:pPr>
      <w:spacing w:before="240" w:after="60"/>
    </w:pPr>
    <w:rPr>
      <w:color w:val="918585"/>
      <w:sz w:val="22"/>
    </w:rPr>
  </w:style>
  <w:style w:type="paragraph" w:customStyle="1" w:styleId="SideHeading">
    <w:name w:val="Side Heading"/>
    <w:basedOn w:val="HeadingBase"/>
    <w:rsid w:val="00650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CA9"/>
    <w:pPr>
      <w:tabs>
        <w:tab w:val="num" w:pos="360"/>
      </w:tabs>
    </w:pPr>
  </w:style>
  <w:style w:type="paragraph" w:styleId="PlainText">
    <w:name w:val="Plain Text"/>
    <w:basedOn w:val="Normal"/>
    <w:link w:val="PlainTextChar"/>
    <w:rsid w:val="00650CA9"/>
    <w:rPr>
      <w:sz w:val="20"/>
    </w:rPr>
  </w:style>
  <w:style w:type="character" w:customStyle="1" w:styleId="PlainTextChar">
    <w:name w:val="Plain Text Char"/>
    <w:basedOn w:val="DefaultParagraphFont"/>
    <w:link w:val="PlainText"/>
    <w:rsid w:val="00650CA9"/>
    <w:rPr>
      <w:rFonts w:ascii="Courier New" w:eastAsia="Times New Roman" w:hAnsi="Courier New" w:cs="Times New Roman"/>
      <w:sz w:val="20"/>
      <w:szCs w:val="20"/>
      <w:lang w:eastAsia="en-US"/>
    </w:rPr>
  </w:style>
  <w:style w:type="character" w:customStyle="1" w:styleId="MenuOption">
    <w:name w:val="Menu Option"/>
    <w:basedOn w:val="DefaultParagraphFont"/>
    <w:rsid w:val="00650CA9"/>
    <w:rPr>
      <w:b/>
      <w:smallCaps/>
    </w:rPr>
  </w:style>
  <w:style w:type="paragraph" w:customStyle="1" w:styleId="TableListNumber">
    <w:name w:val="Table List Number"/>
    <w:basedOn w:val="ListNumber"/>
    <w:rsid w:val="00650CA9"/>
    <w:pPr>
      <w:numPr>
        <w:numId w:val="0"/>
      </w:numPr>
    </w:pPr>
  </w:style>
  <w:style w:type="paragraph" w:styleId="TOC4">
    <w:name w:val="toc 4"/>
    <w:basedOn w:val="TOCBase"/>
    <w:next w:val="Normal"/>
    <w:semiHidden/>
    <w:rsid w:val="00650CA9"/>
    <w:pPr>
      <w:tabs>
        <w:tab w:val="right" w:leader="dot" w:pos="9071"/>
      </w:tabs>
      <w:ind w:left="1701"/>
    </w:pPr>
  </w:style>
  <w:style w:type="paragraph" w:customStyle="1" w:styleId="ListAlpha">
    <w:name w:val="List Alpha"/>
    <w:basedOn w:val="List"/>
    <w:rsid w:val="00650CA9"/>
    <w:pPr>
      <w:numPr>
        <w:numId w:val="9"/>
      </w:numPr>
    </w:pPr>
  </w:style>
  <w:style w:type="paragraph" w:customStyle="1" w:styleId="ListAlpha2">
    <w:name w:val="List Alpha 2"/>
    <w:basedOn w:val="List2"/>
    <w:rsid w:val="00650CA9"/>
    <w:pPr>
      <w:numPr>
        <w:numId w:val="8"/>
      </w:numPr>
    </w:pPr>
  </w:style>
  <w:style w:type="paragraph" w:styleId="List2">
    <w:name w:val="List 2"/>
    <w:basedOn w:val="BodyText"/>
    <w:rsid w:val="00650CA9"/>
    <w:pPr>
      <w:tabs>
        <w:tab w:val="left" w:pos="680"/>
      </w:tabs>
      <w:spacing w:before="60" w:after="60"/>
      <w:ind w:left="680" w:hanging="340"/>
    </w:pPr>
  </w:style>
  <w:style w:type="paragraph" w:styleId="List3">
    <w:name w:val="List 3"/>
    <w:basedOn w:val="BodyText"/>
    <w:rsid w:val="00650CA9"/>
    <w:pPr>
      <w:tabs>
        <w:tab w:val="left" w:pos="1021"/>
      </w:tabs>
      <w:spacing w:before="60" w:after="60"/>
      <w:ind w:left="1020" w:hanging="340"/>
    </w:pPr>
  </w:style>
  <w:style w:type="paragraph" w:styleId="List4">
    <w:name w:val="List 4"/>
    <w:basedOn w:val="BodyText"/>
    <w:rsid w:val="00650CA9"/>
    <w:pPr>
      <w:tabs>
        <w:tab w:val="left" w:pos="1361"/>
      </w:tabs>
      <w:spacing w:before="60" w:after="60"/>
      <w:ind w:left="1361" w:hanging="340"/>
    </w:pPr>
  </w:style>
  <w:style w:type="paragraph" w:styleId="List5">
    <w:name w:val="List 5"/>
    <w:basedOn w:val="BodyText"/>
    <w:rsid w:val="00650CA9"/>
    <w:pPr>
      <w:tabs>
        <w:tab w:val="left" w:pos="1701"/>
      </w:tabs>
      <w:spacing w:before="60" w:after="60"/>
      <w:ind w:left="1701" w:hanging="340"/>
    </w:pPr>
  </w:style>
  <w:style w:type="paragraph" w:styleId="ListBullet3">
    <w:name w:val="List Bullet 3"/>
    <w:basedOn w:val="List3"/>
    <w:rsid w:val="00650CA9"/>
    <w:pPr>
      <w:numPr>
        <w:numId w:val="14"/>
      </w:numPr>
      <w:tabs>
        <w:tab w:val="clear" w:pos="1021"/>
      </w:tabs>
      <w:ind w:left="1037" w:hanging="357"/>
    </w:pPr>
  </w:style>
  <w:style w:type="paragraph" w:styleId="ListBullet4">
    <w:name w:val="List Bullet 4"/>
    <w:basedOn w:val="List4"/>
    <w:rsid w:val="00650CA9"/>
    <w:pPr>
      <w:numPr>
        <w:numId w:val="3"/>
      </w:numPr>
      <w:tabs>
        <w:tab w:val="clear" w:pos="1361"/>
      </w:tabs>
    </w:pPr>
  </w:style>
  <w:style w:type="paragraph" w:styleId="ListBullet5">
    <w:name w:val="List Bullet 5"/>
    <w:basedOn w:val="List5"/>
    <w:rsid w:val="00650CA9"/>
    <w:pPr>
      <w:numPr>
        <w:numId w:val="4"/>
      </w:numPr>
    </w:pPr>
  </w:style>
  <w:style w:type="paragraph" w:styleId="ListContinue2">
    <w:name w:val="List Continue 2"/>
    <w:basedOn w:val="List2"/>
    <w:rsid w:val="00650CA9"/>
    <w:pPr>
      <w:ind w:firstLine="0"/>
    </w:pPr>
  </w:style>
  <w:style w:type="paragraph" w:styleId="ListContinue3">
    <w:name w:val="List Continue 3"/>
    <w:basedOn w:val="List3"/>
    <w:rsid w:val="00650CA9"/>
    <w:pPr>
      <w:ind w:left="1021" w:firstLine="0"/>
    </w:pPr>
  </w:style>
  <w:style w:type="paragraph" w:styleId="ListContinue4">
    <w:name w:val="List Continue 4"/>
    <w:basedOn w:val="List4"/>
    <w:rsid w:val="00650CA9"/>
    <w:pPr>
      <w:ind w:firstLine="0"/>
    </w:pPr>
  </w:style>
  <w:style w:type="paragraph" w:styleId="ListContinue5">
    <w:name w:val="List Continue 5"/>
    <w:basedOn w:val="List5"/>
    <w:rsid w:val="00650CA9"/>
    <w:pPr>
      <w:ind w:firstLine="0"/>
    </w:pPr>
  </w:style>
  <w:style w:type="paragraph" w:styleId="ListNumber3">
    <w:name w:val="List Number 3"/>
    <w:basedOn w:val="List3"/>
    <w:rsid w:val="00650CA9"/>
    <w:pPr>
      <w:numPr>
        <w:numId w:val="5"/>
      </w:numPr>
    </w:pPr>
  </w:style>
  <w:style w:type="paragraph" w:styleId="ListNumber4">
    <w:name w:val="List Number 4"/>
    <w:basedOn w:val="List4"/>
    <w:rsid w:val="00650CA9"/>
    <w:pPr>
      <w:numPr>
        <w:numId w:val="6"/>
      </w:numPr>
    </w:pPr>
  </w:style>
  <w:style w:type="paragraph" w:styleId="ListNumber5">
    <w:name w:val="List Number 5"/>
    <w:basedOn w:val="List5"/>
    <w:rsid w:val="00650CA9"/>
    <w:pPr>
      <w:numPr>
        <w:numId w:val="7"/>
      </w:numPr>
    </w:pPr>
  </w:style>
  <w:style w:type="paragraph" w:styleId="BlockText">
    <w:name w:val="Block Text"/>
    <w:basedOn w:val="Normal"/>
    <w:rsid w:val="00650CA9"/>
    <w:pPr>
      <w:spacing w:after="120"/>
      <w:ind w:left="1440" w:right="1440"/>
    </w:pPr>
  </w:style>
  <w:style w:type="character" w:customStyle="1" w:styleId="Subscript">
    <w:name w:val="Subscript"/>
    <w:basedOn w:val="DefaultParagraphFont"/>
    <w:rsid w:val="00650CA9"/>
    <w:rPr>
      <w:sz w:val="16"/>
      <w:vertAlign w:val="subscript"/>
    </w:rPr>
  </w:style>
  <w:style w:type="character" w:customStyle="1" w:styleId="Superscript">
    <w:name w:val="Superscript"/>
    <w:basedOn w:val="DefaultParagraphFont"/>
    <w:rsid w:val="00650CA9"/>
    <w:rPr>
      <w:sz w:val="16"/>
      <w:vertAlign w:val="superscript"/>
    </w:rPr>
  </w:style>
  <w:style w:type="character" w:customStyle="1" w:styleId="Symbols">
    <w:name w:val="Symbols"/>
    <w:basedOn w:val="DefaultParagraphFont"/>
    <w:rsid w:val="00650CA9"/>
    <w:rPr>
      <w:rFonts w:ascii="Symbol" w:hAnsi="Symbol"/>
    </w:rPr>
  </w:style>
  <w:style w:type="character" w:customStyle="1" w:styleId="MenuOptions">
    <w:name w:val="Menu Options"/>
    <w:basedOn w:val="DefaultParagraphFont"/>
    <w:rsid w:val="00650CA9"/>
    <w:rPr>
      <w:rFonts w:ascii="Arial Narrow" w:hAnsi="Arial Narrow"/>
      <w:smallCaps/>
    </w:rPr>
  </w:style>
  <w:style w:type="character" w:customStyle="1" w:styleId="Buttons">
    <w:name w:val="Buttons"/>
    <w:basedOn w:val="DefaultParagraphFont"/>
    <w:rsid w:val="00650CA9"/>
    <w:rPr>
      <w:b/>
    </w:rPr>
  </w:style>
  <w:style w:type="character" w:customStyle="1" w:styleId="Underlined">
    <w:name w:val="Underlined"/>
    <w:basedOn w:val="DefaultParagraphFont"/>
    <w:rsid w:val="00650CA9"/>
    <w:rPr>
      <w:u w:val="single"/>
    </w:rPr>
  </w:style>
  <w:style w:type="paragraph" w:customStyle="1" w:styleId="TableBodyTextRight">
    <w:name w:val="Table Body Text Right"/>
    <w:basedOn w:val="TableBodyText"/>
    <w:rsid w:val="00650CA9"/>
    <w:pPr>
      <w:widowControl w:val="0"/>
      <w:autoSpaceDE w:val="0"/>
      <w:autoSpaceDN w:val="0"/>
      <w:adjustRightInd w:val="0"/>
      <w:jc w:val="right"/>
    </w:pPr>
    <w:rPr>
      <w:rFonts w:cs="Arial"/>
      <w:szCs w:val="18"/>
    </w:rPr>
  </w:style>
  <w:style w:type="paragraph" w:customStyle="1" w:styleId="CopyrightText">
    <w:name w:val="Copyright Text"/>
    <w:basedOn w:val="BodyText"/>
    <w:rsid w:val="00650CA9"/>
    <w:rPr>
      <w:sz w:val="18"/>
    </w:rPr>
  </w:style>
  <w:style w:type="paragraph" w:customStyle="1" w:styleId="BodySmallRight">
    <w:name w:val="Body Small Right"/>
    <w:basedOn w:val="BodyTextRight"/>
    <w:rsid w:val="00650CA9"/>
    <w:rPr>
      <w:sz w:val="18"/>
      <w:szCs w:val="18"/>
    </w:rPr>
  </w:style>
  <w:style w:type="paragraph" w:customStyle="1" w:styleId="MarginEdition">
    <w:name w:val="Margin Edition"/>
    <w:basedOn w:val="MarginNote"/>
    <w:rsid w:val="00650CA9"/>
    <w:pPr>
      <w:spacing w:before="0" w:after="0"/>
    </w:pPr>
    <w:rPr>
      <w:rFonts w:ascii="Times New Roman" w:hAnsi="Times New Roman"/>
      <w:color w:val="999999"/>
    </w:rPr>
  </w:style>
  <w:style w:type="paragraph" w:customStyle="1" w:styleId="Spacer">
    <w:name w:val="Spacer"/>
    <w:basedOn w:val="Normal"/>
    <w:rsid w:val="00650CA9"/>
    <w:rPr>
      <w:sz w:val="2"/>
      <w:szCs w:val="2"/>
    </w:rPr>
  </w:style>
  <w:style w:type="character" w:customStyle="1" w:styleId="Small">
    <w:name w:val="Small"/>
    <w:basedOn w:val="DefaultParagraphFont"/>
    <w:rsid w:val="00650CA9"/>
    <w:rPr>
      <w:sz w:val="16"/>
    </w:rPr>
  </w:style>
  <w:style w:type="paragraph" w:customStyle="1" w:styleId="WideTable">
    <w:name w:val="Wide Table"/>
    <w:basedOn w:val="Normal"/>
    <w:rsid w:val="00650CA9"/>
    <w:pPr>
      <w:ind w:left="-1418"/>
    </w:pPr>
    <w:rPr>
      <w:sz w:val="2"/>
      <w:szCs w:val="2"/>
    </w:rPr>
  </w:style>
  <w:style w:type="character" w:styleId="PageNumber">
    <w:name w:val="page number"/>
    <w:basedOn w:val="DefaultParagraphFont"/>
    <w:rsid w:val="00650CA9"/>
  </w:style>
  <w:style w:type="paragraph" w:styleId="Quote">
    <w:name w:val="Quote"/>
    <w:basedOn w:val="Heading1"/>
    <w:link w:val="QuoteChar"/>
    <w:qFormat/>
    <w:rsid w:val="00650CA9"/>
    <w:rPr>
      <w:b w:val="0"/>
      <w:sz w:val="72"/>
      <w:szCs w:val="72"/>
      <w:lang w:val="en-NZ"/>
    </w:rPr>
  </w:style>
  <w:style w:type="character" w:customStyle="1" w:styleId="QuoteChar">
    <w:name w:val="Quote Char"/>
    <w:basedOn w:val="DefaultParagraphFont"/>
    <w:link w:val="Quote"/>
    <w:rsid w:val="00650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CA9"/>
    <w:pPr>
      <w:pageBreakBefore/>
    </w:pPr>
  </w:style>
  <w:style w:type="paragraph" w:customStyle="1" w:styleId="Border">
    <w:name w:val="Border"/>
    <w:basedOn w:val="Normal"/>
    <w:qFormat/>
    <w:rsid w:val="00650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CA9"/>
    <w:rPr>
      <w:b/>
      <w:bCs/>
      <w:i/>
      <w:iCs/>
      <w:color w:val="auto"/>
    </w:rPr>
  </w:style>
  <w:style w:type="paragraph" w:styleId="IntenseQuote">
    <w:name w:val="Intense Quote"/>
    <w:basedOn w:val="Normal"/>
    <w:next w:val="Normal"/>
    <w:link w:val="IntenseQuoteChar"/>
    <w:uiPriority w:val="30"/>
    <w:qFormat/>
    <w:rsid w:val="00650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CA9"/>
    <w:rPr>
      <w:smallCaps/>
      <w:color w:val="auto"/>
      <w:u w:val="single"/>
    </w:rPr>
  </w:style>
  <w:style w:type="character" w:styleId="IntenseReference">
    <w:name w:val="Intense Reference"/>
    <w:basedOn w:val="DefaultParagraphFont"/>
    <w:uiPriority w:val="32"/>
    <w:qFormat/>
    <w:rsid w:val="00650CA9"/>
    <w:rPr>
      <w:b/>
      <w:bCs/>
      <w:smallCaps/>
      <w:color w:val="auto"/>
      <w:spacing w:val="5"/>
      <w:u w:val="single"/>
    </w:rPr>
  </w:style>
  <w:style w:type="paragraph" w:customStyle="1" w:styleId="2ColumnHeading">
    <w:name w:val="2Column Heading"/>
    <w:basedOn w:val="BodyText"/>
    <w:qFormat/>
    <w:rsid w:val="00650CA9"/>
    <w:pPr>
      <w:spacing w:after="60"/>
      <w:ind w:left="-2268"/>
    </w:pPr>
    <w:rPr>
      <w:b/>
    </w:rPr>
  </w:style>
  <w:style w:type="paragraph" w:customStyle="1" w:styleId="Heading1TOC">
    <w:name w:val="Heading1 TOC"/>
    <w:basedOn w:val="Normal"/>
    <w:qFormat/>
    <w:rsid w:val="00650CA9"/>
    <w:pPr>
      <w:spacing w:before="240" w:after="120"/>
    </w:pPr>
    <w:rPr>
      <w:rFonts w:ascii="Times New Roman" w:hAnsi="Times New Roman"/>
      <w:b/>
      <w:sz w:val="32"/>
    </w:rPr>
  </w:style>
  <w:style w:type="paragraph" w:customStyle="1" w:styleId="Heading2TOC">
    <w:name w:val="Heading2 TOC"/>
    <w:basedOn w:val="Normal"/>
    <w:qFormat/>
    <w:rsid w:val="00650CA9"/>
    <w:pPr>
      <w:spacing w:before="240" w:after="60"/>
    </w:pPr>
    <w:rPr>
      <w:rFonts w:ascii="Times New Roman" w:hAnsi="Times New Roman"/>
      <w:b/>
      <w:sz w:val="28"/>
    </w:rPr>
  </w:style>
  <w:style w:type="character" w:customStyle="1" w:styleId="Underline">
    <w:name w:val="Underline"/>
    <w:basedOn w:val="DefaultParagraphFont"/>
    <w:qFormat/>
    <w:rsid w:val="00650CA9"/>
    <w:rPr>
      <w:u w:val="single"/>
    </w:rPr>
  </w:style>
  <w:style w:type="character" w:customStyle="1" w:styleId="BoldandItalics">
    <w:name w:val="Bold and Italics"/>
    <w:qFormat/>
    <w:rsid w:val="00650CA9"/>
    <w:rPr>
      <w:b/>
      <w:i/>
      <w:u w:val="none"/>
    </w:rPr>
  </w:style>
  <w:style w:type="paragraph" w:styleId="BalloonText">
    <w:name w:val="Balloon Text"/>
    <w:basedOn w:val="Normal"/>
    <w:link w:val="BalloonTextChar"/>
    <w:rsid w:val="00650CA9"/>
    <w:rPr>
      <w:rFonts w:ascii="Tahoma" w:hAnsi="Tahoma" w:cs="Tahoma"/>
      <w:sz w:val="16"/>
      <w:szCs w:val="16"/>
    </w:rPr>
  </w:style>
  <w:style w:type="character" w:customStyle="1" w:styleId="BalloonTextChar">
    <w:name w:val="Balloon Text Char"/>
    <w:basedOn w:val="DefaultParagraphFont"/>
    <w:link w:val="BalloonText"/>
    <w:rsid w:val="00650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CA9"/>
    <w:rPr>
      <w:b/>
      <w:color w:val="660033"/>
      <w:spacing w:val="0"/>
    </w:rPr>
  </w:style>
  <w:style w:type="paragraph" w:customStyle="1" w:styleId="Nameditemlist">
    <w:name w:val="Named item list"/>
    <w:basedOn w:val="BodyText"/>
    <w:qFormat/>
    <w:rsid w:val="00650CA9"/>
    <w:pPr>
      <w:tabs>
        <w:tab w:val="left" w:pos="2835"/>
      </w:tabs>
      <w:ind w:left="2835" w:hanging="2835"/>
    </w:pPr>
  </w:style>
  <w:style w:type="paragraph" w:customStyle="1" w:styleId="BodyTextnopadding">
    <w:name w:val="Body Text no padding"/>
    <w:basedOn w:val="BodyText"/>
    <w:qFormat/>
    <w:rsid w:val="00650CA9"/>
    <w:pPr>
      <w:spacing w:before="0" w:after="0"/>
    </w:pPr>
  </w:style>
  <w:style w:type="paragraph" w:customStyle="1" w:styleId="BodyTextBold">
    <w:name w:val="Body Text Bold"/>
    <w:basedOn w:val="BodyText"/>
    <w:qFormat/>
    <w:rsid w:val="00650CA9"/>
    <w:rPr>
      <w:b/>
    </w:rPr>
  </w:style>
  <w:style w:type="character" w:styleId="Hyperlink">
    <w:name w:val="Hyperlink"/>
    <w:basedOn w:val="DefaultParagraphFont"/>
    <w:uiPriority w:val="99"/>
    <w:unhideWhenUsed/>
    <w:rsid w:val="008C3D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3872</Characters>
  <Application>Microsoft Office Word</Application>
  <DocSecurity>0</DocSecurity>
  <Lines>124</Lines>
  <Paragraphs>108</Paragraphs>
  <ScaleCrop>false</ScaleCrop>
  <Company>Author-it Software Corporation Ltd.</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CHCMHS010 Implement recovery oriented approaches to complexity</dc:title>
  <dc:subject>Approved</dc:subject>
  <dc:creator>SkillsIQ</dc:creator>
  <cp:keywords>Release: 1</cp:keywords>
  <dc:description>Review Date: 12 April 2008</dc:description>
  <cp:lastModifiedBy>HSD_TPCMSd.prod</cp:lastModifiedBy>
  <cp:revision>3</cp:revision>
  <dcterms:created xsi:type="dcterms:W3CDTF">2023-07-01T03:26:00Z</dcterms:created>
  <dcterms:modified xsi:type="dcterms:W3CDTF">2023-07-01T03:26:00Z</dcterms:modified>
</cp:coreProperties>
</file>