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10C" w:rsidP="00FE5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CHCLAH005 Incorporate lifespan development and sociological concepts into leisure and health programming</w:t>
      </w:r>
      <w:r>
        <w:fldChar w:fldCharType="end"/>
      </w:r>
    </w:p>
    <w:p w:rsidR="00FE510C" w:rsidP="00FE510C">
      <w:pPr>
        <w:pStyle w:val="Version"/>
        <w:sectPr w:rsidSect="002D5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BB5" w:rsidP="002D5BB5">
      <w:pPr>
        <w:pStyle w:val="SuperHeading"/>
      </w:pPr>
      <w:r w:rsidRPr="002D5BB5">
        <w:t>Assessment Requirements for CHCLAH005 Incorporate lifespan development and sociological concepts into leisure and health programming</w:t>
      </w:r>
    </w:p>
    <w:p w:rsidR="00FE510C" w:rsidP="002D5BB5">
      <w:pPr>
        <w:pStyle w:val="Heading1"/>
      </w:pPr>
      <w:bookmarkStart w:id="1" w:name="O_653870"/>
      <w:bookmarkEnd w:id="1"/>
      <w:r w:rsidRPr="002D5BB5">
        <w:t>Modification History</w:t>
      </w:r>
    </w:p>
    <w:p w:rsidR="00000000" w:rsidRPr="002D5BB5" w:rsidP="002D5BB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D5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B5" w:rsidP="002D5BB5">
            <w:pPr>
              <w:pStyle w:val="BodyText"/>
            </w:pPr>
            <w:r w:rsidRPr="002D5BB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B5">
            <w:pPr>
              <w:pStyle w:val="BodyText"/>
              <w:rPr>
                <w:lang w:val="en-NZ"/>
              </w:rPr>
            </w:pPr>
            <w:r w:rsidRPr="002D5BB5">
              <w:rPr>
                <w:rStyle w:val="SpecialBold"/>
              </w:rPr>
              <w:t>Comments</w:t>
            </w:r>
          </w:p>
        </w:tc>
      </w:tr>
      <w:tr w:rsidTr="002D5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B5">
            <w:pPr>
              <w:pStyle w:val="BodyText"/>
              <w:rPr>
                <w:lang w:val="en-NZ"/>
              </w:rPr>
            </w:pPr>
            <w:r w:rsidRPr="002D5BB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B5" w:rsidP="002D5BB5">
            <w:pPr>
              <w:pStyle w:val="BodyText"/>
            </w:pPr>
            <w:r w:rsidRPr="002D5BB5">
              <w:t xml:space="preserve">This version was released in </w:t>
            </w:r>
            <w:r w:rsidRPr="002D5BB5">
              <w:rPr>
                <w:rStyle w:val="Emphasis"/>
              </w:rPr>
              <w:t xml:space="preserve">CHC Community Services Training Package release 2.0 </w:t>
            </w:r>
            <w:r w:rsidRPr="002D5BB5">
              <w:t>and meets the requirements of the 2012 Standards for Training Packages.</w:t>
            </w:r>
          </w:p>
          <w:p w:rsidR="00000000" w:rsidRPr="002D5BB5" w:rsidP="002D5BB5">
            <w:pPr>
              <w:pStyle w:val="BodyText"/>
            </w:pPr>
            <w:r w:rsidRPr="002D5BB5">
              <w:t>Merged CHCRH406A/ CHCRH407A. Significant change to the elements and performance criteria. New evidence requirements for assessment i</w:t>
            </w:r>
            <w:r w:rsidRPr="002D5BB5">
              <w:t>ncluding volume and frequency requirements. Significant changes to knowledge evidence.</w:t>
            </w:r>
          </w:p>
        </w:tc>
      </w:tr>
    </w:tbl>
    <w:p w:rsidR="00FE510C" w:rsidP="002D5BB5">
      <w:pPr>
        <w:pStyle w:val="BodyText"/>
      </w:pPr>
    </w:p>
    <w:p w:rsidR="00FE510C" w:rsidP="002D5BB5">
      <w:pPr>
        <w:pStyle w:val="BodyText"/>
      </w:pPr>
    </w:p>
    <w:p w:rsidR="00000000" w:rsidRPr="002D5BB5" w:rsidP="002D5BB5">
      <w:pPr>
        <w:pStyle w:val="Heading1"/>
      </w:pPr>
      <w:bookmarkStart w:id="2" w:name="O_653871"/>
      <w:bookmarkEnd w:id="2"/>
      <w:r w:rsidRPr="002D5BB5">
        <w:t>Performance Evidence</w:t>
      </w:r>
    </w:p>
    <w:p w:rsidR="00000000" w:rsidRPr="002D5BB5" w:rsidP="00FE510C">
      <w:pPr>
        <w:pStyle w:val="BodyText"/>
      </w:pPr>
      <w:r w:rsidRPr="002D5BB5">
        <w:t>The candidate must show evidence of the ability to complete tasks outlined in elements and performance criteria of this unit, ma</w:t>
      </w:r>
      <w:r w:rsidRPr="002D5BB5">
        <w:t>nage tasks and manage contingencies in the context of the job role. There must be evidence that the candidate has:</w:t>
      </w:r>
    </w:p>
    <w:p w:rsidR="00000000" w:rsidRPr="002D5BB5" w:rsidP="002D5BB5">
      <w:pPr>
        <w:pStyle w:val="ListBullet"/>
      </w:pPr>
      <w:r w:rsidRPr="002D5BB5">
        <w:t>assisted with the development of at least 3 leisure activity programs to cater for the needs and interests of clients with varying cognitive</w:t>
      </w:r>
      <w:r w:rsidRPr="002D5BB5">
        <w:t xml:space="preserve"> and functioning abilities</w:t>
      </w:r>
    </w:p>
    <w:p w:rsidR="00000000" w:rsidRPr="002D5BB5" w:rsidP="002D5BB5">
      <w:pPr>
        <w:pStyle w:val="AllowPageBreak"/>
      </w:pPr>
    </w:p>
    <w:p w:rsidR="00000000" w:rsidRPr="002D5BB5" w:rsidP="002D5BB5">
      <w:pPr>
        <w:pStyle w:val="Heading1"/>
      </w:pPr>
      <w:bookmarkStart w:id="3" w:name="O_653872"/>
      <w:bookmarkEnd w:id="3"/>
      <w:r w:rsidRPr="002D5BB5">
        <w:t>Knowledge Evidence</w:t>
      </w:r>
    </w:p>
    <w:p w:rsidR="00000000" w:rsidRPr="002D5BB5" w:rsidP="00FE510C">
      <w:pPr>
        <w:pStyle w:val="BodyText"/>
      </w:pPr>
      <w:r w:rsidRPr="002D5BB5">
        <w:t xml:space="preserve">The candidate must be able to demonstrate essential knowledge required to effectively complete tasks outlined in elements and performance criteria of </w:t>
      </w:r>
      <w:r w:rsidRPr="002D5BB5">
        <w:t>this unit, manage tasks and manage contingencies in the context of the work role. This includes knowledge of:</w:t>
      </w:r>
    </w:p>
    <w:p w:rsidR="00000000" w:rsidRPr="002D5BB5" w:rsidP="002D5BB5">
      <w:pPr>
        <w:pStyle w:val="ListBullet"/>
      </w:pPr>
      <w:r w:rsidRPr="002D5BB5">
        <w:t>meaning of terms, including:</w:t>
      </w:r>
    </w:p>
    <w:p w:rsidR="00000000" w:rsidRPr="002D5BB5" w:rsidP="002D5BB5">
      <w:pPr>
        <w:pStyle w:val="ListBullet2"/>
      </w:pPr>
      <w:r w:rsidRPr="002D5BB5">
        <w:t>sociology, society, social structure, socioeconomic status</w:t>
      </w:r>
    </w:p>
    <w:p w:rsidR="00000000" w:rsidRPr="002D5BB5" w:rsidP="002D5BB5">
      <w:pPr>
        <w:pStyle w:val="ListBullet2"/>
      </w:pPr>
      <w:r w:rsidRPr="002D5BB5">
        <w:t>culture, gender, trans-cultural</w:t>
      </w:r>
    </w:p>
    <w:p w:rsidR="00000000" w:rsidRPr="002D5BB5" w:rsidP="002D5BB5">
      <w:pPr>
        <w:pStyle w:val="ListBullet2"/>
      </w:pPr>
      <w:r w:rsidRPr="002D5BB5">
        <w:t>institutions, power</w:t>
      </w:r>
    </w:p>
    <w:p w:rsidR="00000000" w:rsidRPr="002D5BB5" w:rsidP="002D5BB5">
      <w:pPr>
        <w:pStyle w:val="ListBullet"/>
      </w:pPr>
      <w:r w:rsidRPr="002D5BB5">
        <w:t>way</w:t>
      </w:r>
      <w:r w:rsidRPr="002D5BB5">
        <w:t>s specific groups in Australia approach leisure and how these approaches are shaped by the society in which they live</w:t>
      </w:r>
    </w:p>
    <w:p w:rsidR="00000000" w:rsidRPr="002D5BB5" w:rsidP="002D5BB5">
      <w:pPr>
        <w:pStyle w:val="ListBullet"/>
      </w:pPr>
      <w:r w:rsidRPr="002D5BB5">
        <w:t>factors that have had negative and positive impact on individual leisure, including:</w:t>
      </w:r>
    </w:p>
    <w:p w:rsidR="00000000" w:rsidRPr="002D5BB5" w:rsidP="002D5BB5">
      <w:pPr>
        <w:pStyle w:val="ListBullet2"/>
      </w:pPr>
      <w:r w:rsidRPr="002D5BB5">
        <w:t>legislation governing access for people with disabil</w:t>
      </w:r>
      <w:r w:rsidRPr="002D5BB5">
        <w:t>ities</w:t>
      </w:r>
    </w:p>
    <w:p w:rsidR="00000000" w:rsidRPr="002D5BB5" w:rsidP="002D5BB5">
      <w:pPr>
        <w:pStyle w:val="ListBullet2"/>
      </w:pPr>
      <w:r w:rsidRPr="002D5BB5">
        <w:t>changes to Australian society</w:t>
      </w:r>
    </w:p>
    <w:p w:rsidR="00000000" w:rsidRPr="002D5BB5" w:rsidP="002D5BB5">
      <w:pPr>
        <w:pStyle w:val="ListBullet"/>
      </w:pPr>
      <w:r w:rsidRPr="002D5BB5">
        <w:t>the (micro) culture of the workplace and the impact of health care provision on workers and clients</w:t>
      </w:r>
    </w:p>
    <w:p w:rsidR="00000000" w:rsidRPr="002D5BB5" w:rsidP="002D5BB5">
      <w:pPr>
        <w:pStyle w:val="ListBullet"/>
      </w:pPr>
      <w:r w:rsidRPr="002D5BB5">
        <w:t>the social context of health and leisure to the development of leisure activity programs</w:t>
      </w:r>
    </w:p>
    <w:p w:rsidR="00000000" w:rsidRPr="002D5BB5" w:rsidP="002D5BB5">
      <w:pPr>
        <w:pStyle w:val="ListBullet"/>
      </w:pPr>
      <w:r w:rsidRPr="002D5BB5">
        <w:t>human physical, social, and in</w:t>
      </w:r>
      <w:r w:rsidRPr="002D5BB5">
        <w:t>tellectual development across the lifespan</w:t>
      </w:r>
    </w:p>
    <w:p w:rsidR="00000000" w:rsidRPr="002D5BB5" w:rsidP="002D5BB5">
      <w:pPr>
        <w:pStyle w:val="ListBullet"/>
      </w:pPr>
      <w:r w:rsidRPr="002D5BB5">
        <w:t xml:space="preserve">perceptions of illness, disability, health and wellness and ways clients respond to illness or disability, including trans-cultural differences in the ways people respond </w:t>
      </w:r>
    </w:p>
    <w:p w:rsidR="00000000" w:rsidRPr="002D5BB5" w:rsidP="002D5BB5">
      <w:pPr>
        <w:pStyle w:val="ListBullet"/>
      </w:pPr>
      <w:r w:rsidRPr="002D5BB5">
        <w:t xml:space="preserve">the experience of disability </w:t>
      </w:r>
    </w:p>
    <w:p w:rsidR="00000000" w:rsidRPr="002D5BB5" w:rsidP="002D5BB5">
      <w:pPr>
        <w:pStyle w:val="ListBullet"/>
      </w:pPr>
      <w:r w:rsidRPr="002D5BB5">
        <w:t>the sociological perspective of disability to the development of leisure activity programs</w:t>
      </w:r>
    </w:p>
    <w:p w:rsidR="00000000" w:rsidRPr="002D5BB5" w:rsidP="002D5BB5">
      <w:pPr>
        <w:pStyle w:val="ListBullet"/>
      </w:pPr>
      <w:r w:rsidRPr="002D5BB5">
        <w:t>definition, impacts and common perceptions of disability</w:t>
      </w:r>
    </w:p>
    <w:p w:rsidR="00000000" w:rsidRPr="002D5BB5" w:rsidP="002D5BB5">
      <w:pPr>
        <w:pStyle w:val="ListBullet"/>
      </w:pPr>
      <w:r w:rsidRPr="002D5BB5">
        <w:t>human cognitive processes, including key aspects relating to:</w:t>
      </w:r>
    </w:p>
    <w:p w:rsidR="00000000" w:rsidRPr="002D5BB5" w:rsidP="002D5BB5">
      <w:pPr>
        <w:pStyle w:val="ListBullet2"/>
      </w:pPr>
      <w:r w:rsidRPr="002D5BB5">
        <w:t>memory</w:t>
      </w:r>
    </w:p>
    <w:p w:rsidR="00000000" w:rsidRPr="002D5BB5" w:rsidP="002D5BB5">
      <w:pPr>
        <w:pStyle w:val="ListBullet2"/>
      </w:pPr>
      <w:r w:rsidRPr="002D5BB5">
        <w:t xml:space="preserve">decision-making </w:t>
      </w:r>
    </w:p>
    <w:p w:rsidR="00000000" w:rsidRPr="002D5BB5" w:rsidP="002D5BB5">
      <w:pPr>
        <w:pStyle w:val="ListBullet2"/>
      </w:pPr>
      <w:r w:rsidRPr="002D5BB5">
        <w:t xml:space="preserve">reasoning </w:t>
      </w:r>
    </w:p>
    <w:p w:rsidR="00000000" w:rsidRPr="002D5BB5" w:rsidP="002D5BB5">
      <w:pPr>
        <w:pStyle w:val="ListBullet2"/>
      </w:pPr>
      <w:r w:rsidRPr="002D5BB5">
        <w:t>communicat</w:t>
      </w:r>
      <w:r w:rsidRPr="002D5BB5">
        <w:t>ing</w:t>
      </w:r>
    </w:p>
    <w:p w:rsidR="00000000" w:rsidRPr="002D5BB5" w:rsidP="002D5BB5">
      <w:pPr>
        <w:pStyle w:val="ListBullet"/>
      </w:pPr>
      <w:r w:rsidRPr="002D5BB5">
        <w:t>memory including:</w:t>
      </w:r>
    </w:p>
    <w:p w:rsidR="00000000" w:rsidRPr="002D5BB5" w:rsidP="002D5BB5">
      <w:pPr>
        <w:pStyle w:val="ListBullet2"/>
      </w:pPr>
      <w:r w:rsidRPr="002D5BB5">
        <w:t>procedural memory</w:t>
      </w:r>
    </w:p>
    <w:p w:rsidR="00000000" w:rsidRPr="002D5BB5" w:rsidP="002D5BB5">
      <w:pPr>
        <w:pStyle w:val="ListBullet2"/>
      </w:pPr>
      <w:r w:rsidRPr="002D5BB5">
        <w:t>episodic memory</w:t>
      </w:r>
    </w:p>
    <w:p w:rsidR="00000000" w:rsidRPr="002D5BB5" w:rsidP="002D5BB5">
      <w:pPr>
        <w:pStyle w:val="ListBullet2"/>
      </w:pPr>
      <w:r w:rsidRPr="002D5BB5">
        <w:t xml:space="preserve">semantic memory </w:t>
      </w:r>
    </w:p>
    <w:p w:rsidR="00000000" w:rsidRPr="002D5BB5" w:rsidP="002D5BB5">
      <w:pPr>
        <w:pStyle w:val="ListBullet"/>
      </w:pPr>
      <w:r w:rsidRPr="002D5BB5">
        <w:t>key aspects and psychosocial needs of a person with impaired functioning or cognition, including processes associated with acquired brain injury and dementia</w:t>
      </w:r>
    </w:p>
    <w:p w:rsidR="00000000" w:rsidRPr="002D5BB5" w:rsidP="002D5BB5">
      <w:pPr>
        <w:pStyle w:val="ListBullet"/>
      </w:pPr>
      <w:r w:rsidRPr="002D5BB5">
        <w:t>different models of di</w:t>
      </w:r>
      <w:r w:rsidRPr="002D5BB5">
        <w:t>sability and the impact on service provision for people with disabilities</w:t>
      </w:r>
    </w:p>
    <w:p w:rsidR="00000000" w:rsidRPr="002D5BB5" w:rsidP="002D5BB5">
      <w:pPr>
        <w:pStyle w:val="ListBullet"/>
      </w:pPr>
      <w:r w:rsidRPr="002D5BB5">
        <w:t>strategies for facilitating integration of a client with a disability or disabilities into leisure activities</w:t>
      </w:r>
    </w:p>
    <w:p w:rsidR="00000000" w:rsidRPr="002D5BB5" w:rsidP="002D5BB5">
      <w:pPr>
        <w:pStyle w:val="ListBullet"/>
      </w:pPr>
      <w:r w:rsidRPr="002D5BB5">
        <w:t>Australian health system and its impact on different groups, including:</w:t>
      </w:r>
    </w:p>
    <w:p w:rsidR="00000000" w:rsidRPr="002D5BB5" w:rsidP="002D5BB5">
      <w:pPr>
        <w:pStyle w:val="ListBullet2"/>
      </w:pPr>
      <w:r w:rsidRPr="002D5BB5">
        <w:t>older people</w:t>
      </w:r>
    </w:p>
    <w:p w:rsidR="00000000" w:rsidRPr="002D5BB5" w:rsidP="002D5BB5">
      <w:pPr>
        <w:pStyle w:val="ListBullet2"/>
      </w:pPr>
      <w:r w:rsidRPr="002D5BB5">
        <w:t>people with disabilities</w:t>
      </w:r>
    </w:p>
    <w:p w:rsidR="00000000" w:rsidRPr="002D5BB5" w:rsidP="002D5BB5">
      <w:pPr>
        <w:pStyle w:val="ListBullet2"/>
      </w:pPr>
      <w:r w:rsidRPr="002D5BB5">
        <w:t>people living in rural and remote areas</w:t>
      </w:r>
    </w:p>
    <w:p w:rsidR="00000000" w:rsidRPr="002D5BB5" w:rsidP="002D5BB5">
      <w:pPr>
        <w:pStyle w:val="ListBullet2"/>
      </w:pPr>
      <w:r w:rsidRPr="002D5BB5">
        <w:t>Aboriginal and/or Torres Strait Islander Australians</w:t>
      </w:r>
    </w:p>
    <w:p w:rsidR="00000000" w:rsidRPr="002D5BB5" w:rsidP="002D5BB5">
      <w:pPr>
        <w:pStyle w:val="ListBullet"/>
      </w:pPr>
      <w:r w:rsidRPr="002D5BB5">
        <w:t>how own work context fits into the Australian health system, including:</w:t>
      </w:r>
    </w:p>
    <w:p w:rsidR="00000000" w:rsidRPr="002D5BB5" w:rsidP="002D5BB5">
      <w:pPr>
        <w:pStyle w:val="ListBullet2"/>
      </w:pPr>
      <w:r w:rsidRPr="002D5BB5">
        <w:t>provision of funding</w:t>
      </w:r>
    </w:p>
    <w:p w:rsidR="00000000" w:rsidRPr="002D5BB5" w:rsidP="002D5BB5">
      <w:pPr>
        <w:pStyle w:val="ListBullet2"/>
      </w:pPr>
      <w:r w:rsidRPr="002D5BB5">
        <w:t>accreditation and registratio</w:t>
      </w:r>
      <w:r w:rsidRPr="002D5BB5">
        <w:t>n requirements</w:t>
      </w:r>
    </w:p>
    <w:p w:rsidR="00000000" w:rsidRPr="002D5BB5" w:rsidP="002D5BB5">
      <w:pPr>
        <w:pStyle w:val="ListBullet2"/>
      </w:pPr>
      <w:r w:rsidRPr="002D5BB5">
        <w:t>private versus public sector</w:t>
      </w:r>
    </w:p>
    <w:p w:rsidR="00000000" w:rsidRPr="002D5BB5" w:rsidP="002D5BB5">
      <w:pPr>
        <w:pStyle w:val="ListBullet2"/>
      </w:pPr>
      <w:r w:rsidRPr="002D5BB5">
        <w:t>minimum qualifications levels</w:t>
      </w:r>
    </w:p>
    <w:p w:rsidR="00000000" w:rsidRPr="002D5BB5" w:rsidP="002D5BB5">
      <w:pPr>
        <w:pStyle w:val="AllowPageBreak"/>
      </w:pPr>
    </w:p>
    <w:p w:rsidR="00000000" w:rsidRPr="002D5BB5" w:rsidP="002D5BB5">
      <w:pPr>
        <w:pStyle w:val="Heading1"/>
      </w:pPr>
      <w:bookmarkStart w:id="4" w:name="O_653873"/>
      <w:bookmarkEnd w:id="4"/>
      <w:r w:rsidRPr="002D5BB5">
        <w:t>Assessment Conditions</w:t>
      </w:r>
    </w:p>
    <w:p w:rsidR="00000000" w:rsidRPr="002D5BB5" w:rsidP="00FE510C">
      <w:pPr>
        <w:pStyle w:val="BodyText"/>
      </w:pPr>
      <w:r w:rsidRPr="002D5BB5">
        <w:t>Skills must have been demonstrated in the workplace or in a simulated environment that reflects workplace conditions. Where simulation is used,</w:t>
      </w:r>
      <w:r w:rsidRPr="002D5BB5">
        <w:t xml:space="preserve"> it must reflect real working conditions by modelling industry operating conditions and contingencies, as well as, using suitable facilities, equipment and resources. </w:t>
      </w:r>
    </w:p>
    <w:p w:rsidR="00000000" w:rsidRPr="002D5BB5" w:rsidP="00FE510C">
      <w:pPr>
        <w:pStyle w:val="BodyText"/>
      </w:pPr>
      <w:r w:rsidRPr="002D5BB5">
        <w:t>Assessors must satisfy the Standards for Registered Training Organisations (RTOs) 2015/AQTF mandatory competency requirements for assessors.</w:t>
      </w:r>
    </w:p>
    <w:p w:rsidR="00000000" w:rsidRPr="002D5BB5" w:rsidP="002D5BB5">
      <w:pPr>
        <w:pStyle w:val="Heading1"/>
      </w:pPr>
      <w:bookmarkStart w:id="5" w:name="O_653876"/>
      <w:bookmarkEnd w:id="5"/>
      <w:r w:rsidRPr="002D5BB5">
        <w:t>Links</w:t>
      </w:r>
    </w:p>
    <w:p w:rsidR="00000000" w:rsidRPr="002D5BB5" w:rsidP="00FE510C">
      <w:pPr>
        <w:pStyle w:val="BodyText"/>
      </w:pPr>
      <w:r w:rsidRPr="002D5B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D710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D5BB5" w:rsidP="002D5BB5"/>
    <w:sectPr w:rsidSect="002D5B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B5" w:rsidRPr="00FE510C" w:rsidP="00FE5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0C" w:rsidP="002D5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10C" w:rsidP="002D5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510C" w:rsidP="002D5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BB5" w:rsidRPr="00FE510C" w:rsidP="00FE5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0C" w:rsidRPr="002D2AF8" w:rsidP="002D5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CHCLAH005 Incorporate lifespan development and sociological concepts into leisure and health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E510C" w:rsidP="002D5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06B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26F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E0C0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BB5"/>
  </w:style>
  <w:style w:type="character" w:customStyle="1" w:styleId="Heading1Char">
    <w:name w:val="Heading 1 Char"/>
    <w:basedOn w:val="DefaultParagraphFont"/>
    <w:link w:val="Heading1"/>
    <w:rsid w:val="002D5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B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B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B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BB5"/>
    <w:rPr>
      <w:b/>
      <w:spacing w:val="0"/>
    </w:rPr>
  </w:style>
  <w:style w:type="paragraph" w:styleId="ListBullet2">
    <w:name w:val="List Bullet 2"/>
    <w:basedOn w:val="List2"/>
    <w:rsid w:val="002D5B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5BB5"/>
    <w:rPr>
      <w:i/>
    </w:rPr>
  </w:style>
  <w:style w:type="paragraph" w:customStyle="1" w:styleId="SuperHeading">
    <w:name w:val="SuperHeading"/>
    <w:basedOn w:val="Normal"/>
    <w:rsid w:val="002D5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B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B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B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BB5"/>
  </w:style>
  <w:style w:type="paragraph" w:styleId="TableofFigures">
    <w:name w:val="table of figures"/>
    <w:basedOn w:val="Normal"/>
    <w:next w:val="Normal"/>
    <w:semiHidden/>
    <w:rsid w:val="002D5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B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BB5"/>
    <w:rPr>
      <w:rFonts w:ascii="Wingdings" w:hAnsi="Wingdings"/>
    </w:rPr>
  </w:style>
  <w:style w:type="paragraph" w:customStyle="1" w:styleId="TableHeading">
    <w:name w:val="Table Heading"/>
    <w:basedOn w:val="HeadingBase"/>
    <w:rsid w:val="002D5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BB5"/>
    <w:rPr>
      <w:color w:val="0033CC"/>
      <w:u w:val="none"/>
    </w:rPr>
  </w:style>
  <w:style w:type="paragraph" w:customStyle="1" w:styleId="BodyTextRight">
    <w:name w:val="Body Text Right"/>
    <w:basedOn w:val="BodyText"/>
    <w:rsid w:val="002D5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B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BB5"/>
    <w:rPr>
      <w:sz w:val="32"/>
    </w:rPr>
  </w:style>
  <w:style w:type="paragraph" w:customStyle="1" w:styleId="HeadingProcedure">
    <w:name w:val="Heading Procedure"/>
    <w:basedOn w:val="HeadingBase"/>
    <w:next w:val="Normal"/>
    <w:rsid w:val="002D5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BB5"/>
    <w:pPr>
      <w:spacing w:before="60" w:after="60"/>
    </w:pPr>
  </w:style>
  <w:style w:type="paragraph" w:styleId="ListContinue">
    <w:name w:val="List Continue"/>
    <w:basedOn w:val="List"/>
    <w:rsid w:val="002D5BB5"/>
    <w:pPr>
      <w:ind w:firstLine="0"/>
    </w:pPr>
  </w:style>
  <w:style w:type="paragraph" w:customStyle="1" w:styleId="ListNote">
    <w:name w:val="List Note"/>
    <w:basedOn w:val="List"/>
    <w:rsid w:val="002D5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BB5"/>
    <w:rPr>
      <w:rFonts w:ascii="Courier New" w:hAnsi="Courier New"/>
    </w:rPr>
  </w:style>
  <w:style w:type="paragraph" w:customStyle="1" w:styleId="NoteBullet">
    <w:name w:val="Note Bullet"/>
    <w:basedOn w:val="Note"/>
    <w:rsid w:val="002D5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B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BB5"/>
    <w:rPr>
      <w:b/>
      <w:smallCaps/>
    </w:rPr>
  </w:style>
  <w:style w:type="paragraph" w:customStyle="1" w:styleId="TableListNumber">
    <w:name w:val="Table List Number"/>
    <w:basedOn w:val="ListNumber"/>
    <w:rsid w:val="002D5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BB5"/>
    <w:pPr>
      <w:numPr>
        <w:numId w:val="9"/>
      </w:numPr>
    </w:pPr>
  </w:style>
  <w:style w:type="paragraph" w:customStyle="1" w:styleId="ListAlpha2">
    <w:name w:val="List Alpha 2"/>
    <w:basedOn w:val="List2"/>
    <w:rsid w:val="002D5BB5"/>
    <w:pPr>
      <w:numPr>
        <w:numId w:val="8"/>
      </w:numPr>
    </w:pPr>
  </w:style>
  <w:style w:type="paragraph" w:styleId="List2">
    <w:name w:val="List 2"/>
    <w:basedOn w:val="BodyText"/>
    <w:rsid w:val="002D5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B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B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BB5"/>
    <w:pPr>
      <w:numPr>
        <w:numId w:val="4"/>
      </w:numPr>
    </w:pPr>
  </w:style>
  <w:style w:type="paragraph" w:styleId="ListContinue2">
    <w:name w:val="List Continue 2"/>
    <w:basedOn w:val="List2"/>
    <w:rsid w:val="002D5BB5"/>
    <w:pPr>
      <w:ind w:firstLine="0"/>
    </w:pPr>
  </w:style>
  <w:style w:type="paragraph" w:styleId="ListContinue3">
    <w:name w:val="List Continue 3"/>
    <w:basedOn w:val="List3"/>
    <w:rsid w:val="002D5BB5"/>
    <w:pPr>
      <w:ind w:left="1021" w:firstLine="0"/>
    </w:pPr>
  </w:style>
  <w:style w:type="paragraph" w:styleId="ListContinue4">
    <w:name w:val="List Continue 4"/>
    <w:basedOn w:val="List4"/>
    <w:rsid w:val="002D5BB5"/>
    <w:pPr>
      <w:ind w:firstLine="0"/>
    </w:pPr>
  </w:style>
  <w:style w:type="paragraph" w:styleId="ListContinue5">
    <w:name w:val="List Continue 5"/>
    <w:basedOn w:val="List5"/>
    <w:rsid w:val="002D5BB5"/>
    <w:pPr>
      <w:ind w:firstLine="0"/>
    </w:pPr>
  </w:style>
  <w:style w:type="paragraph" w:styleId="ListNumber3">
    <w:name w:val="List Number 3"/>
    <w:basedOn w:val="List3"/>
    <w:rsid w:val="002D5BB5"/>
    <w:pPr>
      <w:numPr>
        <w:numId w:val="5"/>
      </w:numPr>
    </w:pPr>
  </w:style>
  <w:style w:type="paragraph" w:styleId="ListNumber4">
    <w:name w:val="List Number 4"/>
    <w:basedOn w:val="List4"/>
    <w:rsid w:val="002D5BB5"/>
    <w:pPr>
      <w:numPr>
        <w:numId w:val="6"/>
      </w:numPr>
    </w:pPr>
  </w:style>
  <w:style w:type="paragraph" w:styleId="ListNumber5">
    <w:name w:val="List Number 5"/>
    <w:basedOn w:val="List5"/>
    <w:rsid w:val="002D5BB5"/>
    <w:pPr>
      <w:numPr>
        <w:numId w:val="7"/>
      </w:numPr>
    </w:pPr>
  </w:style>
  <w:style w:type="paragraph" w:styleId="BlockText">
    <w:name w:val="Block Text"/>
    <w:basedOn w:val="Normal"/>
    <w:rsid w:val="002D5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BB5"/>
    <w:rPr>
      <w:sz w:val="16"/>
      <w:vertAlign w:val="superscript"/>
    </w:rPr>
  </w:style>
  <w:style w:type="character" w:customStyle="1" w:styleId="Symbols">
    <w:name w:val="Symbols"/>
    <w:basedOn w:val="DefaultParagraphFont"/>
    <w:rsid w:val="002D5BB5"/>
    <w:rPr>
      <w:rFonts w:ascii="Symbol" w:hAnsi="Symbol"/>
    </w:rPr>
  </w:style>
  <w:style w:type="character" w:customStyle="1" w:styleId="MenuOptions">
    <w:name w:val="Menu Options"/>
    <w:basedOn w:val="DefaultParagraphFont"/>
    <w:rsid w:val="002D5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BB5"/>
    <w:rPr>
      <w:b/>
    </w:rPr>
  </w:style>
  <w:style w:type="character" w:customStyle="1" w:styleId="Underlined">
    <w:name w:val="Underlined"/>
    <w:basedOn w:val="DefaultParagraphFont"/>
    <w:rsid w:val="002D5BB5"/>
    <w:rPr>
      <w:u w:val="single"/>
    </w:rPr>
  </w:style>
  <w:style w:type="paragraph" w:customStyle="1" w:styleId="TableBodyTextRight">
    <w:name w:val="Table Body Text Right"/>
    <w:basedOn w:val="TableBodyText"/>
    <w:rsid w:val="002D5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BB5"/>
    <w:rPr>
      <w:sz w:val="18"/>
    </w:rPr>
  </w:style>
  <w:style w:type="paragraph" w:customStyle="1" w:styleId="BodySmallRight">
    <w:name w:val="Body Small Right"/>
    <w:basedOn w:val="BodyTextRight"/>
    <w:rsid w:val="002D5BB5"/>
    <w:rPr>
      <w:sz w:val="18"/>
      <w:szCs w:val="18"/>
    </w:rPr>
  </w:style>
  <w:style w:type="paragraph" w:customStyle="1" w:styleId="MarginEdition">
    <w:name w:val="Margin Edition"/>
    <w:basedOn w:val="MarginNote"/>
    <w:rsid w:val="002D5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BB5"/>
    <w:rPr>
      <w:sz w:val="2"/>
      <w:szCs w:val="2"/>
    </w:rPr>
  </w:style>
  <w:style w:type="character" w:customStyle="1" w:styleId="Small">
    <w:name w:val="Small"/>
    <w:basedOn w:val="DefaultParagraphFont"/>
    <w:rsid w:val="002D5BB5"/>
    <w:rPr>
      <w:sz w:val="16"/>
    </w:rPr>
  </w:style>
  <w:style w:type="paragraph" w:customStyle="1" w:styleId="WideTable">
    <w:name w:val="Wide Table"/>
    <w:basedOn w:val="Normal"/>
    <w:rsid w:val="002D5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BB5"/>
  </w:style>
  <w:style w:type="paragraph" w:styleId="Quote">
    <w:name w:val="Quote"/>
    <w:basedOn w:val="Heading1"/>
    <w:link w:val="QuoteChar"/>
    <w:qFormat/>
    <w:rsid w:val="002D5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BB5"/>
    <w:pPr>
      <w:pageBreakBefore/>
    </w:pPr>
  </w:style>
  <w:style w:type="paragraph" w:customStyle="1" w:styleId="Border">
    <w:name w:val="Border"/>
    <w:basedOn w:val="Normal"/>
    <w:qFormat/>
    <w:rsid w:val="002D5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BB5"/>
    <w:rPr>
      <w:u w:val="single"/>
    </w:rPr>
  </w:style>
  <w:style w:type="character" w:customStyle="1" w:styleId="BoldandItalics">
    <w:name w:val="Bold and Italics"/>
    <w:qFormat/>
    <w:rsid w:val="002D5BB5"/>
    <w:rPr>
      <w:b/>
      <w:i/>
      <w:u w:val="none"/>
    </w:rPr>
  </w:style>
  <w:style w:type="paragraph" w:styleId="BalloonText">
    <w:name w:val="Balloon Text"/>
    <w:basedOn w:val="Normal"/>
    <w:link w:val="BalloonTextChar"/>
    <w:rsid w:val="002D5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B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B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BB5"/>
    <w:pPr>
      <w:spacing w:before="0" w:after="0"/>
    </w:pPr>
  </w:style>
  <w:style w:type="paragraph" w:customStyle="1" w:styleId="BodyTextBold">
    <w:name w:val="Body Text Bold"/>
    <w:basedOn w:val="BodyText"/>
    <w:qFormat/>
    <w:rsid w:val="002D5BB5"/>
    <w:rPr>
      <w:b/>
    </w:rPr>
  </w:style>
  <w:style w:type="character" w:styleId="Hyperlink">
    <w:name w:val="Hyperlink"/>
    <w:basedOn w:val="DefaultParagraphFont"/>
    <w:uiPriority w:val="99"/>
    <w:unhideWhenUsed/>
    <w:rsid w:val="00FE5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3645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CHCLAH005 Incorporate lifespan development and sociological concepts into leisure and health programming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2023-07-01T03:23:00Z</dcterms:created>
  <dcterms:modified xsi:type="dcterms:W3CDTF">2023-07-01T03:23:00Z</dcterms:modified>
</cp:coreProperties>
</file>