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924" w:rsidP="00E66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CHCGMB002 Provide counselling for clients with problem gambling issues</w:t>
      </w:r>
      <w:r>
        <w:fldChar w:fldCharType="end"/>
      </w:r>
    </w:p>
    <w:p w:rsidR="00E66924" w:rsidP="00E66924">
      <w:pPr>
        <w:pStyle w:val="Version"/>
        <w:sectPr w:rsidSect="00C72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0B1" w:rsidP="00C720B1">
      <w:pPr>
        <w:pStyle w:val="SuperHeading"/>
      </w:pPr>
      <w:r w:rsidRPr="00C720B1">
        <w:t>CHCGMB002 Provide counselling for clients with problem gambling issues</w:t>
      </w:r>
    </w:p>
    <w:p w:rsidR="00000000" w:rsidRPr="00C720B1" w:rsidP="00C720B1">
      <w:pPr>
        <w:pStyle w:val="Heading1"/>
      </w:pPr>
      <w:bookmarkStart w:id="1" w:name="O_815167"/>
      <w:bookmarkEnd w:id="1"/>
      <w:r w:rsidRPr="00C72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7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rPr>
                <w:rStyle w:val="SpecialBold"/>
              </w:rPr>
              <w:t>Comments</w:t>
            </w:r>
          </w:p>
        </w:tc>
      </w:tr>
      <w:tr w:rsidTr="00C7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 xml:space="preserve">This version was released in </w:t>
            </w:r>
            <w:r w:rsidRPr="00C720B1">
              <w:rPr>
                <w:rStyle w:val="Emphasis"/>
              </w:rPr>
              <w:t>CHC Community Services Training Package</w:t>
            </w:r>
            <w:r w:rsidRPr="00C720B1">
              <w:t xml:space="preserve"> </w:t>
            </w:r>
            <w:r w:rsidRPr="00C720B1">
              <w:rPr>
                <w:rStyle w:val="Emphasis"/>
              </w:rPr>
              <w:t>release 3.0</w:t>
            </w:r>
            <w:r w:rsidRPr="00C720B1">
              <w:t xml:space="preserve"> and meets the requirements of the 2012 Standards for Training Packages.</w:t>
            </w:r>
          </w:p>
          <w:p w:rsidR="00000000" w:rsidRPr="00C720B1" w:rsidP="00C720B1">
            <w:pPr>
              <w:pStyle w:val="BodyText"/>
            </w:pPr>
            <w:r w:rsidRPr="00C720B1">
              <w:t>Significant changes to the elements and performance criteria. New evidence requirements for assessment including volume and frequency requirements. Significant change to knowledge evi</w:t>
            </w:r>
            <w:r w:rsidRPr="00C720B1">
              <w:t>dence.</w:t>
            </w:r>
          </w:p>
          <w:p w:rsidR="00000000" w:rsidRPr="00C720B1" w:rsidP="00C720B1">
            <w:pPr>
              <w:pStyle w:val="BodyText"/>
            </w:pPr>
            <w:r w:rsidRPr="00C720B1">
              <w:t>Supersedes CHCGMB503A</w:t>
            </w:r>
          </w:p>
        </w:tc>
      </w:tr>
    </w:tbl>
    <w:p w:rsidR="00000000" w:rsidRPr="00C720B1" w:rsidP="00C720B1">
      <w:pPr>
        <w:pStyle w:val="BodyText"/>
      </w:pPr>
    </w:p>
    <w:p w:rsidR="00000000" w:rsidRPr="00C720B1" w:rsidP="00C720B1">
      <w:pPr>
        <w:pStyle w:val="AllowPageBreak"/>
      </w:pPr>
    </w:p>
    <w:p w:rsidR="00000000" w:rsidRPr="00C720B1" w:rsidP="00C720B1">
      <w:pPr>
        <w:pStyle w:val="Heading1"/>
      </w:pPr>
      <w:bookmarkStart w:id="2" w:name="O_815169"/>
      <w:bookmarkEnd w:id="2"/>
      <w:r w:rsidRPr="00C720B1">
        <w:t>Application</w:t>
      </w:r>
    </w:p>
    <w:p w:rsidR="00000000" w:rsidRPr="00C720B1" w:rsidP="00E66924">
      <w:pPr>
        <w:pStyle w:val="BodyText"/>
      </w:pPr>
      <w:r w:rsidRPr="00C720B1">
        <w:t>This unit describes the knowledge and skills required to provide and monitor support, counselling and interventions for clients affected by problem gambling. Counsellors provide support and review</w:t>
      </w:r>
      <w:r w:rsidRPr="00C720B1">
        <w:t xml:space="preserve"> goals and strategies using a holistic approach to establish and maintain change in the gambling activity, as well as looking at the reasons underlying and/or contributing to the problem.</w:t>
      </w:r>
    </w:p>
    <w:p w:rsidR="00000000" w:rsidRPr="00C720B1" w:rsidP="00E66924">
      <w:pPr>
        <w:pStyle w:val="BodyText"/>
      </w:pPr>
      <w:r w:rsidRPr="00C720B1">
        <w:t>This unit applies to counsellors working with people affected by pr</w:t>
      </w:r>
      <w:r w:rsidRPr="00C720B1">
        <w:t xml:space="preserve">oblem gambling. </w:t>
      </w:r>
    </w:p>
    <w:p w:rsidR="00000000" w:rsidRPr="00E66924" w:rsidP="00E66924">
      <w:pPr>
        <w:pStyle w:val="BodyText"/>
        <w:rPr>
          <w:i/>
        </w:rPr>
      </w:pPr>
      <w:r w:rsidRPr="00E6692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720B1" w:rsidP="00C720B1">
      <w:pPr>
        <w:pStyle w:val="Heading1"/>
      </w:pPr>
      <w:bookmarkStart w:id="3" w:name="O_815176"/>
      <w:bookmarkEnd w:id="3"/>
      <w:r w:rsidRPr="00C720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rPr>
                <w:rStyle w:val="SpecialBold"/>
              </w:rPr>
              <w:t>PERFORMANCE CRITERIA</w:t>
            </w:r>
          </w:p>
        </w:tc>
      </w:tr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 xml:space="preserve">1. Provide practical support or information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>1.1 Provide relevant and current information on probl</w:t>
            </w:r>
            <w:r w:rsidRPr="00C720B1">
              <w:t>em gambling and discuss with clients</w:t>
            </w:r>
          </w:p>
          <w:p w:rsidR="00000000" w:rsidRPr="00C720B1" w:rsidP="00C720B1">
            <w:pPr>
              <w:pStyle w:val="BodyText"/>
            </w:pPr>
            <w:r w:rsidRPr="00C720B1">
              <w:t xml:space="preserve">1.2 Based on review of the client’s assessment and case plan, develop practical strategies to address immediate </w:t>
            </w:r>
            <w:r w:rsidRPr="00C720B1">
              <w:t>gambling concerns</w:t>
            </w:r>
          </w:p>
          <w:p w:rsidR="00000000" w:rsidRPr="00C720B1" w:rsidP="00C720B1">
            <w:pPr>
              <w:pStyle w:val="BodyText"/>
            </w:pPr>
            <w:r w:rsidRPr="00C720B1">
              <w:t xml:space="preserve">1.3 Provide immediate information, response or referral for crises arising from client’s </w:t>
            </w:r>
            <w:r w:rsidRPr="00C720B1">
              <w:t xml:space="preserve">problem gambling and other issues </w:t>
            </w:r>
          </w:p>
          <w:p w:rsidR="00000000" w:rsidRPr="00C720B1" w:rsidP="00C720B1">
            <w:pPr>
              <w:pStyle w:val="BodyText"/>
            </w:pPr>
            <w:r w:rsidRPr="00C720B1">
              <w:t xml:space="preserve">1.4 Provide information and support with daily living needs in accordance with organisation policies and procedures </w:t>
            </w:r>
          </w:p>
          <w:p w:rsidR="00000000" w:rsidP="00C720B1">
            <w:pPr>
              <w:pStyle w:val="BodyText"/>
              <w:rPr>
                <w:lang w:val="en-NZ"/>
              </w:rPr>
            </w:pPr>
          </w:p>
        </w:tc>
      </w:tr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 xml:space="preserve">2. Counsel clients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>2.1 Use counselling skills to explore the scope, depth and nature of client’</w:t>
            </w:r>
            <w:r w:rsidRPr="00C720B1">
              <w:t>s issues and identify the complexity and interrelated of issues in client’s life</w:t>
            </w:r>
          </w:p>
          <w:p w:rsidR="00000000" w:rsidRPr="00C720B1" w:rsidP="00C720B1">
            <w:pPr>
              <w:pStyle w:val="BodyText"/>
            </w:pPr>
            <w:r w:rsidRPr="00C720B1">
              <w:t xml:space="preserve">2.2 Explore the function, purpose and context of gambling in the life of the client and its impact </w:t>
            </w:r>
          </w:p>
          <w:p w:rsidR="00000000" w:rsidRPr="00C720B1" w:rsidP="00C720B1">
            <w:pPr>
              <w:pStyle w:val="BodyText"/>
            </w:pPr>
            <w:r w:rsidRPr="00C720B1">
              <w:t>2.3 Exploring factors which trigger the gambling behaviour or encourage its</w:t>
            </w:r>
            <w:r w:rsidRPr="00C720B1">
              <w:t xml:space="preserve"> continuation</w:t>
            </w:r>
          </w:p>
          <w:p w:rsidR="00000000" w:rsidRPr="00C720B1" w:rsidP="00C720B1">
            <w:pPr>
              <w:pStyle w:val="BodyText"/>
            </w:pPr>
            <w:r w:rsidRPr="00C720B1">
              <w:t>2.4 Negotiate goals and action plans with client and document in accordance with organisation policies and procedures</w:t>
            </w:r>
          </w:p>
          <w:p w:rsidR="00000000" w:rsidP="00C720B1">
            <w:pPr>
              <w:pStyle w:val="BodyText"/>
              <w:rPr>
                <w:lang w:val="en-NZ"/>
              </w:rPr>
            </w:pPr>
          </w:p>
        </w:tc>
      </w:tr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>3. Apply interventions to support choice and change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>3.1 Review and select possible models and techniques to meet client ne</w:t>
            </w:r>
            <w:r w:rsidRPr="00C720B1">
              <w:t>eds</w:t>
            </w:r>
          </w:p>
          <w:p w:rsidR="00000000" w:rsidRPr="00C720B1" w:rsidP="00C720B1">
            <w:pPr>
              <w:pStyle w:val="BodyText"/>
            </w:pPr>
            <w:r w:rsidRPr="00C720B1">
              <w:t>3.2 Work with client to develop realistic expectations of counselling and change processes or choice</w:t>
            </w:r>
          </w:p>
          <w:p w:rsidR="00000000" w:rsidRPr="00C720B1" w:rsidP="00C720B1">
            <w:pPr>
              <w:pStyle w:val="BodyText"/>
            </w:pPr>
            <w:r w:rsidRPr="00C720B1">
              <w:t xml:space="preserve">3.3 Explore and implement options for change or choice that minimise the harm resulting from gambling </w:t>
            </w:r>
          </w:p>
          <w:p w:rsidR="00000000" w:rsidRPr="00C720B1" w:rsidP="00C720B1">
            <w:pPr>
              <w:pStyle w:val="BodyText"/>
            </w:pPr>
            <w:r w:rsidRPr="00C720B1">
              <w:t>3.4 Maintain engagement while resistance and def</w:t>
            </w:r>
            <w:r w:rsidRPr="00C720B1">
              <w:t>ences are managed</w:t>
            </w:r>
          </w:p>
          <w:p w:rsidR="00000000" w:rsidRPr="00C720B1" w:rsidP="00C720B1">
            <w:pPr>
              <w:pStyle w:val="BodyText"/>
            </w:pPr>
            <w:r w:rsidRPr="00C720B1">
              <w:t>3.5 Apply relapse prevention and management principles and strategies</w:t>
            </w:r>
          </w:p>
          <w:p w:rsidR="00000000" w:rsidRPr="00C720B1" w:rsidP="00C720B1">
            <w:pPr>
              <w:pStyle w:val="BodyText"/>
            </w:pPr>
            <w:r w:rsidRPr="00C720B1">
              <w:t>3.6 Refer client to other services according to individual needs</w:t>
            </w:r>
          </w:p>
          <w:p w:rsidR="00000000" w:rsidP="00C720B1">
            <w:pPr>
              <w:pStyle w:val="BodyText"/>
              <w:rPr>
                <w:lang w:val="en-NZ"/>
              </w:rPr>
            </w:pPr>
          </w:p>
        </w:tc>
      </w:tr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>4. Work with families and significant others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>4.1 Identify and provide support family members or signi</w:t>
            </w:r>
            <w:r w:rsidRPr="00C720B1">
              <w:t>ficant others as a client</w:t>
            </w:r>
          </w:p>
          <w:p w:rsidR="00000000" w:rsidRPr="00C720B1" w:rsidP="00C720B1">
            <w:pPr>
              <w:pStyle w:val="BodyText"/>
            </w:pPr>
            <w:r w:rsidRPr="00C720B1">
              <w:t>4.2 Explore boundary issues and challenges with client</w:t>
            </w:r>
          </w:p>
          <w:p w:rsidR="00000000" w:rsidRPr="00C720B1" w:rsidP="00C720B1">
            <w:pPr>
              <w:pStyle w:val="BodyText"/>
            </w:pPr>
            <w:r w:rsidRPr="00C720B1">
              <w:t>4.3 Proactively consider and address impact on children within work role boundaries</w:t>
            </w:r>
          </w:p>
          <w:p w:rsidR="00000000" w:rsidRPr="00C720B1" w:rsidP="00C720B1">
            <w:pPr>
              <w:pStyle w:val="BodyText"/>
            </w:pPr>
            <w:r w:rsidRPr="00C720B1">
              <w:t>4.4 Work collaboratively with others to support client needs according to organisation poli</w:t>
            </w:r>
            <w:r w:rsidRPr="00C720B1">
              <w:t>cies and procedures</w:t>
            </w:r>
          </w:p>
          <w:p w:rsidR="00000000" w:rsidP="00C720B1">
            <w:pPr>
              <w:pStyle w:val="BodyText"/>
              <w:rPr>
                <w:lang w:val="en-NZ"/>
              </w:rPr>
            </w:pPr>
          </w:p>
        </w:tc>
      </w:tr>
      <w:tr w:rsidTr="00E6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>5. Review client and counselling progress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>5.1 Review client’s progress against case plan and record and report according to organisation guidelines</w:t>
            </w:r>
          </w:p>
          <w:p w:rsidR="00000000" w:rsidRPr="00C720B1" w:rsidP="00C720B1">
            <w:pPr>
              <w:pStyle w:val="BodyText"/>
            </w:pPr>
            <w:r w:rsidRPr="00C720B1">
              <w:t>5.2 Seek client feedback on process and use learning to inform further action and ow</w:t>
            </w:r>
            <w:r w:rsidRPr="00C720B1">
              <w:t>n practice</w:t>
            </w:r>
          </w:p>
          <w:p w:rsidR="00000000" w:rsidRPr="00C720B1" w:rsidP="00C720B1">
            <w:pPr>
              <w:pStyle w:val="BodyText"/>
            </w:pPr>
            <w:r w:rsidRPr="00C720B1">
              <w:t>5.3 Negotiate revisions to action plans and timeframes as required and incorporate into case plan</w:t>
            </w:r>
          </w:p>
          <w:p w:rsidR="00000000" w:rsidRPr="00C720B1" w:rsidP="00C720B1">
            <w:pPr>
              <w:pStyle w:val="BodyText"/>
            </w:pPr>
            <w:r w:rsidRPr="00C720B1">
              <w:t>5.4 Review counselling process and outcomes of client work with supervisor and/or colleagues according to organisation policies and procedures</w:t>
            </w:r>
          </w:p>
          <w:p w:rsidR="00000000" w:rsidRPr="00C720B1" w:rsidP="00C720B1">
            <w:pPr>
              <w:pStyle w:val="BodyText"/>
            </w:pPr>
            <w:r w:rsidRPr="00C720B1">
              <w:t xml:space="preserve">5.5 </w:t>
            </w:r>
            <w:r w:rsidRPr="00C720B1">
              <w:t>Negotiate exit with client and provide support in accordance with organisation policies, procedures and available resources</w:t>
            </w:r>
          </w:p>
        </w:tc>
      </w:tr>
    </w:tbl>
    <w:p w:rsidR="00000000" w:rsidRPr="00C720B1" w:rsidP="00C720B1">
      <w:pPr>
        <w:pStyle w:val="BodyText"/>
      </w:pPr>
    </w:p>
    <w:p w:rsidR="00000000" w:rsidRPr="00C720B1" w:rsidP="00C720B1">
      <w:pPr>
        <w:pStyle w:val="AllowPageBreak"/>
      </w:pPr>
    </w:p>
    <w:p w:rsidR="00000000" w:rsidRPr="00C720B1" w:rsidP="00C720B1">
      <w:pPr>
        <w:pStyle w:val="Heading1"/>
      </w:pPr>
      <w:bookmarkStart w:id="4" w:name="O_815177"/>
      <w:bookmarkEnd w:id="4"/>
      <w:r w:rsidRPr="00C720B1">
        <w:t>Foundation Skills</w:t>
      </w:r>
    </w:p>
    <w:p w:rsidR="00000000" w:rsidRPr="00E66924" w:rsidP="00E66924">
      <w:pPr>
        <w:pStyle w:val="BodyText"/>
        <w:rPr>
          <w:i/>
        </w:rPr>
      </w:pPr>
      <w:r w:rsidRPr="00E66924">
        <w:rPr>
          <w:rStyle w:val="Emphasis"/>
        </w:rPr>
        <w:t>The Foundation Skills describe those required skills (language, literacy, numeracy and employme</w:t>
      </w:r>
      <w:r w:rsidRPr="00E66924">
        <w:rPr>
          <w:rStyle w:val="Emphasis"/>
        </w:rPr>
        <w:t>nt skills) that are essential to performance.</w:t>
      </w:r>
    </w:p>
    <w:p w:rsidR="00000000" w:rsidRPr="00C720B1" w:rsidP="00E66924">
      <w:pPr>
        <w:pStyle w:val="BodyText"/>
      </w:pPr>
      <w:r w:rsidRPr="00C720B1">
        <w:t>Foundation skills essential to performance are explicit in the performance criteria of this unit of competency.</w:t>
      </w:r>
    </w:p>
    <w:p w:rsidR="00000000" w:rsidRPr="00C720B1" w:rsidP="00C720B1">
      <w:pPr>
        <w:pStyle w:val="Heading1"/>
      </w:pPr>
      <w:bookmarkStart w:id="5" w:name="O_815180"/>
      <w:bookmarkEnd w:id="5"/>
      <w:r w:rsidRPr="00C720B1">
        <w:t>Unit Mapping Information</w:t>
      </w:r>
    </w:p>
    <w:p w:rsidR="00000000" w:rsidRPr="00C720B1" w:rsidP="00E66924">
      <w:pPr>
        <w:pStyle w:val="BodyText"/>
      </w:pPr>
      <w:r w:rsidRPr="00C720B1">
        <w:t>No equivalent unit.</w:t>
      </w:r>
    </w:p>
    <w:p w:rsidR="00000000" w:rsidRPr="00C720B1" w:rsidP="00C720B1">
      <w:pPr>
        <w:pStyle w:val="Heading1"/>
      </w:pPr>
      <w:bookmarkStart w:id="6" w:name="O_815189"/>
      <w:bookmarkEnd w:id="6"/>
      <w:r w:rsidRPr="00C720B1">
        <w:t>Links</w:t>
      </w:r>
    </w:p>
    <w:p w:rsidR="00000000" w:rsidRPr="00C720B1" w:rsidP="00E66924">
      <w:pPr>
        <w:pStyle w:val="BodyText"/>
      </w:pPr>
      <w:r w:rsidRPr="00C720B1">
        <w:t>Companion Vo</w:t>
      </w:r>
      <w:r w:rsidRPr="00C720B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308D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720B1" w:rsidP="00E66924">
      <w:pPr>
        <w:pStyle w:val="BodyText"/>
        <w:sectPr w:rsidSect="00C720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0B1" w:rsidP="00C720B1">
      <w:pPr>
        <w:pStyle w:val="SuperHeading"/>
      </w:pPr>
      <w:r w:rsidRPr="00C720B1">
        <w:t xml:space="preserve">Assessment </w:t>
      </w:r>
      <w:r w:rsidRPr="00C720B1">
        <w:t>Requirements for CHCGMB002 Provide counselling for clients with problem gambling issues</w:t>
      </w:r>
    </w:p>
    <w:p w:rsidR="00000000" w:rsidRPr="00C720B1" w:rsidP="00C720B1">
      <w:pPr>
        <w:pStyle w:val="Heading1"/>
      </w:pPr>
      <w:bookmarkStart w:id="7" w:name="O_815182"/>
      <w:bookmarkEnd w:id="7"/>
      <w:r w:rsidRPr="00C72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7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rPr>
                <w:rStyle w:val="SpecialBold"/>
              </w:rPr>
              <w:t>Comments</w:t>
            </w:r>
          </w:p>
        </w:tc>
      </w:tr>
      <w:tr w:rsidTr="00C7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0B1">
            <w:pPr>
              <w:pStyle w:val="BodyText"/>
              <w:rPr>
                <w:lang w:val="en-NZ"/>
              </w:rPr>
            </w:pPr>
            <w:r w:rsidRPr="00C720B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0B1" w:rsidP="00C720B1">
            <w:pPr>
              <w:pStyle w:val="BodyText"/>
            </w:pPr>
            <w:r w:rsidRPr="00C720B1">
              <w:t xml:space="preserve">This version was released in </w:t>
            </w:r>
            <w:r w:rsidRPr="00C720B1">
              <w:rPr>
                <w:rStyle w:val="Emphasis"/>
              </w:rPr>
              <w:t>CHC Community Services Training Package</w:t>
            </w:r>
            <w:r w:rsidRPr="00C720B1">
              <w:t xml:space="preserve"> </w:t>
            </w:r>
            <w:r w:rsidRPr="00C720B1">
              <w:rPr>
                <w:rStyle w:val="Emphasis"/>
              </w:rPr>
              <w:t>release 3.0</w:t>
            </w:r>
            <w:r w:rsidRPr="00C720B1">
              <w:t xml:space="preserve"> and meets the requirem</w:t>
            </w:r>
            <w:r w:rsidRPr="00C720B1">
              <w:t>ents of the 2012 Standards for Training Packages.</w:t>
            </w:r>
          </w:p>
          <w:p w:rsidR="00000000" w:rsidRPr="00C720B1" w:rsidP="00C720B1">
            <w:pPr>
              <w:pStyle w:val="BodyText"/>
            </w:pPr>
            <w:r w:rsidRPr="00C720B1">
              <w:t>Significant changes to the elements and performance criteria. New evidence requirements for assessment including volume and frequency requirements. Significant change to knowledge evidence.</w:t>
            </w:r>
          </w:p>
          <w:p w:rsidR="00000000" w:rsidRPr="00C720B1" w:rsidP="00C720B1">
            <w:pPr>
              <w:pStyle w:val="BodyText"/>
            </w:pPr>
            <w:r w:rsidRPr="00C720B1">
              <w:t>Supersedes CHCGM</w:t>
            </w:r>
            <w:r w:rsidRPr="00C720B1">
              <w:t>B503A</w:t>
            </w:r>
          </w:p>
        </w:tc>
      </w:tr>
    </w:tbl>
    <w:p w:rsidR="00000000" w:rsidRPr="00C720B1" w:rsidP="00C720B1">
      <w:pPr>
        <w:pStyle w:val="BodyText"/>
      </w:pPr>
    </w:p>
    <w:p w:rsidR="00000000" w:rsidRPr="00C720B1" w:rsidP="00C720B1">
      <w:pPr>
        <w:pStyle w:val="AllowPageBreak"/>
      </w:pPr>
    </w:p>
    <w:p w:rsidR="00000000" w:rsidRPr="00C720B1" w:rsidP="00C720B1">
      <w:pPr>
        <w:pStyle w:val="Heading1"/>
      </w:pPr>
      <w:bookmarkStart w:id="8" w:name="O_815183"/>
      <w:bookmarkEnd w:id="8"/>
      <w:r w:rsidRPr="00C720B1">
        <w:t>Performance Evidence</w:t>
      </w:r>
    </w:p>
    <w:p w:rsidR="00000000" w:rsidRPr="00C720B1" w:rsidP="00E66924">
      <w:pPr>
        <w:pStyle w:val="BodyText"/>
      </w:pPr>
      <w:r w:rsidRPr="00C720B1">
        <w:t xml:space="preserve">The candidate must show evidence of the ability to complete tasks outlined in elements and performance criteria of this unit, manage tasks and manage contingencies </w:t>
      </w:r>
      <w:r w:rsidRPr="00C720B1">
        <w:t>in the context of the job role. There must be evidence that the candidate has:</w:t>
      </w:r>
    </w:p>
    <w:p w:rsidR="00000000" w:rsidRPr="00C720B1" w:rsidP="00C720B1">
      <w:pPr>
        <w:pStyle w:val="ListBullet"/>
      </w:pPr>
      <w:r w:rsidRPr="00C720B1">
        <w:t>implemented support strategies, counselling and interventions for at least 3 diverse clients who gamble to harmful levels in collaboration with the client and his/her support n</w:t>
      </w:r>
      <w:r w:rsidRPr="00C720B1">
        <w:t>etwork</w:t>
      </w:r>
    </w:p>
    <w:p w:rsidR="00000000" w:rsidRPr="00C720B1" w:rsidP="00C720B1">
      <w:pPr>
        <w:pStyle w:val="ListBullet"/>
      </w:pPr>
      <w:r w:rsidRPr="00C720B1">
        <w:t>used at least 3 of the following approaches in working with those with problem gambling issues:</w:t>
      </w:r>
    </w:p>
    <w:p w:rsidR="00000000" w:rsidRPr="00C720B1" w:rsidP="00C720B1">
      <w:pPr>
        <w:pStyle w:val="ListBullet2"/>
      </w:pPr>
      <w:r w:rsidRPr="00C720B1">
        <w:t xml:space="preserve">cognitive processes </w:t>
      </w:r>
    </w:p>
    <w:p w:rsidR="00000000" w:rsidRPr="00C720B1" w:rsidP="00C720B1">
      <w:pPr>
        <w:pStyle w:val="ListBullet2"/>
      </w:pPr>
      <w:r w:rsidRPr="00C720B1">
        <w:t xml:space="preserve">affect management </w:t>
      </w:r>
    </w:p>
    <w:p w:rsidR="00000000" w:rsidRPr="00C720B1" w:rsidP="00C720B1">
      <w:pPr>
        <w:pStyle w:val="ListBullet2"/>
      </w:pPr>
      <w:r w:rsidRPr="00C720B1">
        <w:t>working with underlying issues</w:t>
      </w:r>
    </w:p>
    <w:p w:rsidR="00000000" w:rsidRPr="00C720B1" w:rsidP="00C720B1">
      <w:pPr>
        <w:pStyle w:val="ListBullet2"/>
      </w:pPr>
      <w:r w:rsidRPr="00C720B1">
        <w:t xml:space="preserve">use of alternative coping strategies </w:t>
      </w:r>
    </w:p>
    <w:p w:rsidR="00000000" w:rsidRPr="00C720B1" w:rsidP="00C720B1">
      <w:pPr>
        <w:pStyle w:val="ListBullet2"/>
      </w:pPr>
      <w:r w:rsidRPr="00C720B1">
        <w:t>skills and ‘strengths’ building</w:t>
      </w:r>
    </w:p>
    <w:p w:rsidR="00000000" w:rsidRPr="00C720B1" w:rsidP="00C720B1">
      <w:pPr>
        <w:pStyle w:val="ListBullet2"/>
      </w:pPr>
      <w:r w:rsidRPr="00C720B1">
        <w:t xml:space="preserve">family therapy </w:t>
      </w:r>
    </w:p>
    <w:p w:rsidR="00000000" w:rsidRPr="00C720B1" w:rsidP="00C720B1">
      <w:pPr>
        <w:pStyle w:val="ListBullet2"/>
      </w:pPr>
      <w:r w:rsidRPr="00C720B1">
        <w:t>motivational interviewing</w:t>
      </w:r>
    </w:p>
    <w:p w:rsidR="00000000" w:rsidRPr="00C720B1" w:rsidP="00C720B1">
      <w:pPr>
        <w:pStyle w:val="ListBullet2"/>
      </w:pPr>
      <w:r w:rsidRPr="00C720B1">
        <w:t>behavioural interventions.</w:t>
      </w:r>
    </w:p>
    <w:p w:rsidR="00000000" w:rsidRPr="00C720B1" w:rsidP="00C720B1">
      <w:pPr>
        <w:pStyle w:val="AllowPageBreak"/>
      </w:pPr>
    </w:p>
    <w:p w:rsidR="00000000" w:rsidRPr="00C720B1" w:rsidP="00C720B1">
      <w:pPr>
        <w:pStyle w:val="Heading1"/>
      </w:pPr>
      <w:bookmarkStart w:id="9" w:name="O_815184"/>
      <w:bookmarkEnd w:id="9"/>
      <w:r w:rsidRPr="00C720B1">
        <w:t>Knowledge Evidence</w:t>
      </w:r>
    </w:p>
    <w:p w:rsidR="00000000" w:rsidRPr="00C720B1" w:rsidP="00E66924">
      <w:pPr>
        <w:pStyle w:val="BodyText"/>
      </w:pPr>
      <w:r w:rsidRPr="00C720B1">
        <w:t>The candidate must be able to demonstrate essential knowledge required to effectively complete tasks outlined in elements and performance criteria of t</w:t>
      </w:r>
      <w:r w:rsidRPr="00C720B1">
        <w:t>his unit, manage tasks and manage contingencies in the context of the work role. This includes knowledge of:</w:t>
      </w:r>
    </w:p>
    <w:p w:rsidR="00000000" w:rsidRPr="00C720B1" w:rsidP="00C720B1">
      <w:pPr>
        <w:pStyle w:val="ListBullet"/>
      </w:pPr>
      <w:r w:rsidRPr="00C720B1">
        <w:t xml:space="preserve">legal and ethical considerations (national, state/territory and local) for problem gambling, and how </w:t>
      </w:r>
      <w:r w:rsidRPr="00C720B1">
        <w:t>these are applied in organisations and individual practice:</w:t>
      </w:r>
    </w:p>
    <w:p w:rsidR="00000000" w:rsidRPr="00C720B1" w:rsidP="00C720B1">
      <w:pPr>
        <w:pStyle w:val="ListBullet2"/>
      </w:pPr>
      <w:r w:rsidRPr="00C720B1">
        <w:t xml:space="preserve">codes of conduct </w:t>
      </w:r>
    </w:p>
    <w:p w:rsidR="00000000" w:rsidRPr="00C720B1" w:rsidP="00C720B1">
      <w:pPr>
        <w:pStyle w:val="ListBullet2"/>
      </w:pPr>
      <w:r w:rsidRPr="00C720B1">
        <w:t>discrimination</w:t>
      </w:r>
    </w:p>
    <w:p w:rsidR="00000000" w:rsidRPr="00C720B1" w:rsidP="00C720B1">
      <w:pPr>
        <w:pStyle w:val="ListBullet2"/>
      </w:pPr>
      <w:r w:rsidRPr="00C720B1">
        <w:t xml:space="preserve">duty of care </w:t>
      </w:r>
    </w:p>
    <w:p w:rsidR="00000000" w:rsidRPr="00C720B1" w:rsidP="00C720B1">
      <w:pPr>
        <w:pStyle w:val="ListBullet2"/>
      </w:pPr>
      <w:r w:rsidRPr="00C720B1">
        <w:t xml:space="preserve">human rights </w:t>
      </w:r>
    </w:p>
    <w:p w:rsidR="00000000" w:rsidRPr="00C720B1" w:rsidP="00C720B1">
      <w:pPr>
        <w:pStyle w:val="ListBullet2"/>
      </w:pPr>
      <w:r w:rsidRPr="00C720B1">
        <w:t>privacy, confidentiality and disclosure</w:t>
      </w:r>
    </w:p>
    <w:p w:rsidR="00000000" w:rsidRPr="00C720B1" w:rsidP="00C720B1">
      <w:pPr>
        <w:pStyle w:val="ListBullet2"/>
      </w:pPr>
      <w:r w:rsidRPr="00C720B1">
        <w:t xml:space="preserve">records management </w:t>
      </w:r>
    </w:p>
    <w:p w:rsidR="00000000" w:rsidRPr="00C720B1" w:rsidP="00C720B1">
      <w:pPr>
        <w:pStyle w:val="ListBullet2"/>
      </w:pPr>
      <w:r w:rsidRPr="00C720B1">
        <w:t>rights and responsibilities of workers, employers and clients</w:t>
      </w:r>
    </w:p>
    <w:p w:rsidR="00000000" w:rsidRPr="00C720B1" w:rsidP="00C720B1">
      <w:pPr>
        <w:pStyle w:val="ListBullet2"/>
      </w:pPr>
      <w:r w:rsidRPr="00C720B1">
        <w:t>specific leg</w:t>
      </w:r>
      <w:r w:rsidRPr="00C720B1">
        <w:t>islation that affects gambling, including:</w:t>
      </w:r>
    </w:p>
    <w:p w:rsidR="00000000" w:rsidRPr="00C720B1" w:rsidP="00C720B1">
      <w:pPr>
        <w:pStyle w:val="ListBullet3"/>
      </w:pPr>
      <w:r w:rsidRPr="00C720B1">
        <w:t xml:space="preserve">state / territory Responsible Conduct of Gaming </w:t>
      </w:r>
    </w:p>
    <w:p w:rsidR="00000000" w:rsidRPr="00C720B1" w:rsidP="00C720B1">
      <w:pPr>
        <w:pStyle w:val="ListBullet2"/>
      </w:pPr>
      <w:r w:rsidRPr="00C720B1">
        <w:t xml:space="preserve">work role boundaries – responsibilities and limitations </w:t>
      </w:r>
    </w:p>
    <w:p w:rsidR="00000000" w:rsidRPr="00C720B1" w:rsidP="00C720B1">
      <w:pPr>
        <w:pStyle w:val="ListBullet2"/>
      </w:pPr>
      <w:r w:rsidRPr="00C720B1">
        <w:t>work health and safety</w:t>
      </w:r>
    </w:p>
    <w:p w:rsidR="00000000" w:rsidRPr="00C720B1" w:rsidP="00C720B1">
      <w:pPr>
        <w:pStyle w:val="ListBullet"/>
      </w:pPr>
      <w:r w:rsidRPr="00C720B1">
        <w:t>key gambling industry stakeholders and their interrelationships</w:t>
      </w:r>
    </w:p>
    <w:p w:rsidR="00000000" w:rsidRPr="00C720B1" w:rsidP="00C720B1">
      <w:pPr>
        <w:pStyle w:val="ListBullet"/>
      </w:pPr>
      <w:r w:rsidRPr="00C720B1">
        <w:t>context for work in problem gambling, including:</w:t>
      </w:r>
    </w:p>
    <w:p w:rsidR="00000000" w:rsidRPr="00C720B1" w:rsidP="00C720B1">
      <w:pPr>
        <w:pStyle w:val="ListBullet2"/>
      </w:pPr>
      <w:r w:rsidRPr="00C720B1">
        <w:t xml:space="preserve">sector values and philosophies </w:t>
      </w:r>
    </w:p>
    <w:p w:rsidR="00000000" w:rsidRPr="00C720B1" w:rsidP="00C720B1">
      <w:pPr>
        <w:pStyle w:val="ListBullet2"/>
      </w:pPr>
      <w:r w:rsidRPr="00C720B1">
        <w:t>historical – changing attitudes and approaches</w:t>
      </w:r>
    </w:p>
    <w:p w:rsidR="00000000" w:rsidRPr="00C720B1" w:rsidP="00C720B1">
      <w:pPr>
        <w:pStyle w:val="ListBullet2"/>
      </w:pPr>
      <w:r w:rsidRPr="00C720B1">
        <w:t>cultural – factors that motivate people to gamble</w:t>
      </w:r>
    </w:p>
    <w:p w:rsidR="00000000" w:rsidRPr="00C720B1" w:rsidP="00C720B1">
      <w:pPr>
        <w:pStyle w:val="ListBullet2"/>
      </w:pPr>
      <w:r w:rsidRPr="00C720B1">
        <w:t>political – current policy context</w:t>
      </w:r>
    </w:p>
    <w:p w:rsidR="00000000" w:rsidRPr="00C720B1" w:rsidP="00C720B1">
      <w:pPr>
        <w:pStyle w:val="ListBullet2"/>
      </w:pPr>
      <w:r w:rsidRPr="00C720B1">
        <w:t>economic –</w:t>
      </w:r>
      <w:r w:rsidRPr="00C720B1">
        <w:t xml:space="preserve"> links between economic conditions and levels of gambling, socioeconomic patterns, state revenue generation</w:t>
      </w:r>
    </w:p>
    <w:p w:rsidR="00000000" w:rsidRPr="00C720B1" w:rsidP="00C720B1">
      <w:pPr>
        <w:pStyle w:val="ListBullet"/>
      </w:pPr>
      <w:r w:rsidRPr="00C720B1">
        <w:t>definitions and key indicators of problem gambling</w:t>
      </w:r>
    </w:p>
    <w:p w:rsidR="00000000" w:rsidRPr="00C720B1" w:rsidP="00C720B1">
      <w:pPr>
        <w:pStyle w:val="ListBullet"/>
      </w:pPr>
      <w:r w:rsidRPr="00C720B1">
        <w:t>definitions and key indicators of problem gambling</w:t>
      </w:r>
    </w:p>
    <w:p w:rsidR="00000000" w:rsidRPr="00C720B1" w:rsidP="00C720B1">
      <w:pPr>
        <w:pStyle w:val="ListBullet"/>
      </w:pPr>
      <w:r w:rsidRPr="00C720B1">
        <w:t>stages of problem gambling</w:t>
      </w:r>
    </w:p>
    <w:p w:rsidR="00000000" w:rsidRPr="00C720B1" w:rsidP="00C720B1">
      <w:pPr>
        <w:pStyle w:val="ListBullet"/>
      </w:pPr>
      <w:r w:rsidRPr="00C720B1">
        <w:t>features of respon</w:t>
      </w:r>
      <w:r w:rsidRPr="00C720B1">
        <w:t xml:space="preserve">sible gambling </w:t>
      </w:r>
    </w:p>
    <w:p w:rsidR="00000000" w:rsidRPr="00C720B1" w:rsidP="00C720B1">
      <w:pPr>
        <w:pStyle w:val="ListBullet"/>
      </w:pPr>
      <w:r w:rsidRPr="00C720B1">
        <w:t>graduated risks of some forms of gambling</w:t>
      </w:r>
    </w:p>
    <w:p w:rsidR="00000000" w:rsidRPr="00C720B1" w:rsidP="00C720B1">
      <w:pPr>
        <w:pStyle w:val="ListBullet"/>
      </w:pPr>
      <w:r w:rsidRPr="00C720B1">
        <w:t>potential impacts of problem gambling</w:t>
      </w:r>
    </w:p>
    <w:p w:rsidR="00000000" w:rsidRPr="00C720B1" w:rsidP="00C720B1">
      <w:pPr>
        <w:pStyle w:val="ListBullet"/>
      </w:pPr>
      <w:r w:rsidRPr="00C720B1">
        <w:t>different models of work in problem gambling, when and how they are used, including:</w:t>
      </w:r>
    </w:p>
    <w:p w:rsidR="00000000" w:rsidRPr="00C720B1" w:rsidP="00C720B1">
      <w:pPr>
        <w:pStyle w:val="ListBullet2"/>
      </w:pPr>
      <w:r w:rsidRPr="00C720B1">
        <w:t>individual counselling and therapy</w:t>
      </w:r>
    </w:p>
    <w:p w:rsidR="00000000" w:rsidRPr="00C720B1" w:rsidP="00C720B1">
      <w:pPr>
        <w:pStyle w:val="ListBullet2"/>
      </w:pPr>
      <w:r w:rsidRPr="00C720B1">
        <w:t>internet and telephone counselling</w:t>
      </w:r>
    </w:p>
    <w:p w:rsidR="00000000" w:rsidRPr="00C720B1" w:rsidP="00C720B1">
      <w:pPr>
        <w:pStyle w:val="ListBullet2"/>
      </w:pPr>
      <w:r w:rsidRPr="00C720B1">
        <w:t>working with families and relationship counselling</w:t>
      </w:r>
    </w:p>
    <w:p w:rsidR="00000000" w:rsidRPr="00C720B1" w:rsidP="00C720B1">
      <w:pPr>
        <w:pStyle w:val="ListBullet2"/>
      </w:pPr>
      <w:r w:rsidRPr="00C720B1">
        <w:t>community awareness, development and education</w:t>
      </w:r>
    </w:p>
    <w:p w:rsidR="00000000" w:rsidRPr="00C720B1" w:rsidP="00C720B1">
      <w:pPr>
        <w:pStyle w:val="ListBullet2"/>
      </w:pPr>
      <w:r w:rsidRPr="00C720B1">
        <w:t>assessment and referral services</w:t>
      </w:r>
    </w:p>
    <w:p w:rsidR="00000000" w:rsidRPr="00C720B1" w:rsidP="00C720B1">
      <w:pPr>
        <w:pStyle w:val="ListBullet2"/>
      </w:pPr>
      <w:r w:rsidRPr="00C720B1">
        <w:t>outpatient services</w:t>
      </w:r>
    </w:p>
    <w:p w:rsidR="00000000" w:rsidRPr="00C720B1" w:rsidP="00C720B1">
      <w:pPr>
        <w:pStyle w:val="ListBullet2"/>
      </w:pPr>
      <w:r w:rsidRPr="00C720B1">
        <w:t>peer support/self help</w:t>
      </w:r>
    </w:p>
    <w:p w:rsidR="00000000" w:rsidRPr="00C720B1" w:rsidP="00C720B1">
      <w:pPr>
        <w:pStyle w:val="ListBullet2"/>
      </w:pPr>
      <w:r w:rsidRPr="00C720B1">
        <w:t>crisis situation responses</w:t>
      </w:r>
    </w:p>
    <w:p w:rsidR="00000000" w:rsidRPr="00C720B1" w:rsidP="00C720B1">
      <w:pPr>
        <w:pStyle w:val="ListBullet2"/>
      </w:pPr>
      <w:r w:rsidRPr="00C720B1">
        <w:t>relapse prevention</w:t>
      </w:r>
    </w:p>
    <w:p w:rsidR="00000000" w:rsidRPr="00C720B1" w:rsidP="00C720B1">
      <w:pPr>
        <w:pStyle w:val="ListBullet2"/>
      </w:pPr>
      <w:r w:rsidRPr="00C720B1">
        <w:t>harm minimisation</w:t>
      </w:r>
    </w:p>
    <w:p w:rsidR="00000000" w:rsidRPr="00C720B1" w:rsidP="00C720B1">
      <w:pPr>
        <w:pStyle w:val="ListBullet2"/>
      </w:pPr>
      <w:r w:rsidRPr="00C720B1">
        <w:t>group work</w:t>
      </w:r>
    </w:p>
    <w:p w:rsidR="00000000" w:rsidRPr="00C720B1" w:rsidP="00C720B1">
      <w:pPr>
        <w:pStyle w:val="ListBullet2"/>
      </w:pPr>
      <w:r w:rsidRPr="00C720B1">
        <w:t>financi</w:t>
      </w:r>
      <w:r w:rsidRPr="00C720B1">
        <w:t>al counselling</w:t>
      </w:r>
    </w:p>
    <w:p w:rsidR="00000000" w:rsidRPr="00C720B1" w:rsidP="00C720B1">
      <w:pPr>
        <w:pStyle w:val="ListBullet2"/>
      </w:pPr>
      <w:r w:rsidRPr="00C720B1">
        <w:t>case management</w:t>
      </w:r>
    </w:p>
    <w:p w:rsidR="00000000" w:rsidRPr="00C720B1" w:rsidP="00C720B1">
      <w:pPr>
        <w:pStyle w:val="ListBullet2"/>
      </w:pPr>
      <w:r w:rsidRPr="00C720B1">
        <w:t>residential and inpatient services</w:t>
      </w:r>
    </w:p>
    <w:p w:rsidR="00000000" w:rsidRPr="00C720B1" w:rsidP="00C720B1">
      <w:pPr>
        <w:pStyle w:val="ListBullet"/>
      </w:pPr>
      <w:r w:rsidRPr="00C720B1">
        <w:t>existence and meaning of myths, chance, odds, randomness, gambling cycle</w:t>
      </w:r>
    </w:p>
    <w:p w:rsidR="00000000" w:rsidRPr="00C720B1" w:rsidP="00C720B1">
      <w:pPr>
        <w:pStyle w:val="ListBullet"/>
      </w:pPr>
      <w:r w:rsidRPr="00C720B1">
        <w:t xml:space="preserve">counselling approaches used in problem gambling, and how to use them, including: </w:t>
      </w:r>
    </w:p>
    <w:p w:rsidR="00000000" w:rsidRPr="00C720B1" w:rsidP="00C720B1">
      <w:pPr>
        <w:pStyle w:val="ListBullet2"/>
      </w:pPr>
      <w:r w:rsidRPr="00C720B1">
        <w:t xml:space="preserve">cognitive processes </w:t>
      </w:r>
    </w:p>
    <w:p w:rsidR="00000000" w:rsidRPr="00C720B1" w:rsidP="00C720B1">
      <w:pPr>
        <w:pStyle w:val="ListBullet2"/>
      </w:pPr>
      <w:r w:rsidRPr="00C720B1">
        <w:t xml:space="preserve">affect management </w:t>
      </w:r>
    </w:p>
    <w:p w:rsidR="00000000" w:rsidRPr="00C720B1" w:rsidP="00C720B1">
      <w:pPr>
        <w:pStyle w:val="ListBullet2"/>
      </w:pPr>
      <w:r w:rsidRPr="00C720B1">
        <w:t>underlying issues</w:t>
      </w:r>
    </w:p>
    <w:p w:rsidR="00000000" w:rsidRPr="00C720B1" w:rsidP="00C720B1">
      <w:pPr>
        <w:pStyle w:val="ListBullet2"/>
      </w:pPr>
      <w:r w:rsidRPr="00C720B1">
        <w:t xml:space="preserve">use of alternative coping strategies </w:t>
      </w:r>
    </w:p>
    <w:p w:rsidR="00000000" w:rsidRPr="00C720B1" w:rsidP="00C720B1">
      <w:pPr>
        <w:pStyle w:val="ListBullet2"/>
      </w:pPr>
      <w:r w:rsidRPr="00C720B1">
        <w:t>skills and ‘strengths’ building</w:t>
      </w:r>
    </w:p>
    <w:p w:rsidR="00000000" w:rsidRPr="00C720B1" w:rsidP="00C720B1">
      <w:pPr>
        <w:pStyle w:val="ListBullet2"/>
      </w:pPr>
      <w:r w:rsidRPr="00C720B1">
        <w:t xml:space="preserve">family therapy </w:t>
      </w:r>
    </w:p>
    <w:p w:rsidR="00000000" w:rsidRPr="00C720B1" w:rsidP="00C720B1">
      <w:pPr>
        <w:pStyle w:val="ListBullet2"/>
      </w:pPr>
      <w:r w:rsidRPr="00C720B1">
        <w:t>motivational interviewing</w:t>
      </w:r>
    </w:p>
    <w:p w:rsidR="00000000" w:rsidRPr="00C720B1" w:rsidP="00C720B1">
      <w:pPr>
        <w:pStyle w:val="ListBullet2"/>
      </w:pPr>
      <w:r w:rsidRPr="00C720B1">
        <w:t>behavioural interventions</w:t>
      </w:r>
    </w:p>
    <w:p w:rsidR="00000000" w:rsidRPr="00C720B1" w:rsidP="00C720B1">
      <w:pPr>
        <w:pStyle w:val="ListBullet"/>
      </w:pPr>
      <w:r w:rsidRPr="00C720B1">
        <w:rPr>
          <w:rStyle w:val="Emphasis"/>
        </w:rPr>
        <w:t xml:space="preserve">Diagnostic and Statistical Manual of Mental Disorders </w:t>
      </w:r>
      <w:r w:rsidRPr="00C720B1">
        <w:t xml:space="preserve">and pathological gambling </w:t>
      </w:r>
    </w:p>
    <w:p w:rsidR="00000000" w:rsidRPr="00C720B1" w:rsidP="00C720B1">
      <w:pPr>
        <w:pStyle w:val="ListBullet"/>
      </w:pPr>
      <w:r w:rsidRPr="00C720B1">
        <w:t xml:space="preserve">theories of gambling </w:t>
      </w:r>
    </w:p>
    <w:p w:rsidR="00000000" w:rsidRPr="00C720B1" w:rsidP="00C720B1">
      <w:pPr>
        <w:pStyle w:val="ListBullet"/>
      </w:pPr>
      <w:r w:rsidRPr="00C720B1">
        <w:t>interventions and harm minimisation strategies directed to current problem gambling behaviour, including self-exclusion options</w:t>
      </w:r>
    </w:p>
    <w:p w:rsidR="00000000" w:rsidRPr="00C720B1" w:rsidP="00C720B1">
      <w:pPr>
        <w:pStyle w:val="ListBullet"/>
      </w:pPr>
      <w:r w:rsidRPr="00C720B1">
        <w:t>individual’s experience of gambling, including family history, culture, character issues, personality, in</w:t>
      </w:r>
      <w:r w:rsidRPr="00C720B1">
        <w:t>tra-psychic and wider systems, meaning, purpose, function being served, exploring multiplicity of organising impulses</w:t>
      </w:r>
    </w:p>
    <w:p w:rsidR="00000000" w:rsidRPr="00C720B1" w:rsidP="00C720B1">
      <w:pPr>
        <w:pStyle w:val="ListBullet"/>
      </w:pPr>
      <w:r w:rsidRPr="00C720B1">
        <w:t>ways to work with client support networks, both family and non-family</w:t>
      </w:r>
    </w:p>
    <w:p w:rsidR="00000000" w:rsidRPr="00C720B1" w:rsidP="00C720B1">
      <w:pPr>
        <w:pStyle w:val="ListBullet"/>
      </w:pPr>
      <w:r w:rsidRPr="00C720B1">
        <w:t>referral options and availability.</w:t>
      </w:r>
    </w:p>
    <w:p w:rsidR="00000000" w:rsidRPr="00C720B1" w:rsidP="00C720B1">
      <w:pPr>
        <w:pStyle w:val="AllowPageBreak"/>
      </w:pPr>
    </w:p>
    <w:p w:rsidR="00000000" w:rsidRPr="00C720B1" w:rsidP="00C720B1">
      <w:pPr>
        <w:pStyle w:val="Heading1"/>
      </w:pPr>
      <w:bookmarkStart w:id="10" w:name="O_815185"/>
      <w:bookmarkEnd w:id="10"/>
      <w:r w:rsidRPr="00C720B1">
        <w:t>Assessment Conditions</w:t>
      </w:r>
    </w:p>
    <w:p w:rsidR="00000000" w:rsidRPr="00C720B1" w:rsidP="00E66924">
      <w:pPr>
        <w:pStyle w:val="BodyText"/>
      </w:pPr>
      <w:r w:rsidRPr="00C720B1">
        <w:t xml:space="preserve">Skills must have been demonstrated in the workplace or in a simulated environment that reflects workplace conditions. The following conditions must be met for this unit: </w:t>
      </w:r>
    </w:p>
    <w:p w:rsidR="00000000" w:rsidRPr="00C720B1" w:rsidP="00C720B1">
      <w:pPr>
        <w:pStyle w:val="ListBullet"/>
      </w:pPr>
      <w:r w:rsidRPr="00C720B1">
        <w:t>use of suitable facilities, equipment and resources, including</w:t>
      </w:r>
      <w:r w:rsidRPr="00C720B1">
        <w:t>:</w:t>
      </w:r>
    </w:p>
    <w:p w:rsidR="00000000" w:rsidRPr="00C720B1" w:rsidP="00C720B1">
      <w:pPr>
        <w:pStyle w:val="ListBullet2"/>
      </w:pPr>
      <w:r w:rsidRPr="00C720B1">
        <w:t>client information and assessment outcomes</w:t>
      </w:r>
    </w:p>
    <w:p w:rsidR="00000000" w:rsidRPr="00C720B1" w:rsidP="00C720B1">
      <w:pPr>
        <w:pStyle w:val="ListBullet"/>
      </w:pPr>
      <w:r w:rsidRPr="00C720B1">
        <w:t>modelling of industry operating conditions, including:</w:t>
      </w:r>
    </w:p>
    <w:p w:rsidR="00000000" w:rsidRPr="00C720B1" w:rsidP="00C720B1">
      <w:pPr>
        <w:pStyle w:val="ListBullet2"/>
      </w:pPr>
      <w:r w:rsidRPr="00C720B1">
        <w:t>scenarios that involve complex interactions with other people.</w:t>
      </w:r>
    </w:p>
    <w:p w:rsidR="00000000" w:rsidRPr="00C720B1" w:rsidP="00C720B1">
      <w:pPr>
        <w:pStyle w:val="BodyText"/>
      </w:pPr>
    </w:p>
    <w:p w:rsidR="00000000" w:rsidRPr="00C720B1" w:rsidP="00E66924">
      <w:pPr>
        <w:pStyle w:val="BodyText"/>
      </w:pPr>
      <w:r w:rsidRPr="00C720B1">
        <w:t>Assessors must satisfy the Standards for Registered Training Organisations (RTOs) 2015/AQ</w:t>
      </w:r>
      <w:r w:rsidRPr="00C720B1">
        <w:t>TF mandatory competency requirements for assessors.</w:t>
      </w:r>
    </w:p>
    <w:p w:rsidR="00000000" w:rsidRPr="00C720B1" w:rsidP="00C720B1">
      <w:pPr>
        <w:pStyle w:val="Heading1"/>
      </w:pPr>
      <w:bookmarkStart w:id="11" w:name="O_815190"/>
      <w:bookmarkEnd w:id="11"/>
      <w:r w:rsidRPr="00C720B1">
        <w:t>Links</w:t>
      </w:r>
    </w:p>
    <w:p w:rsidR="00000000" w:rsidRPr="00C720B1" w:rsidP="00E66924">
      <w:pPr>
        <w:pStyle w:val="BodyText"/>
      </w:pPr>
      <w:r w:rsidRPr="00C72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308D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720B1" w:rsidP="00C720B1"/>
    <w:sectPr w:rsidSect="00C720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 w:rsidRPr="00E66924" w:rsidP="00E66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24" w:rsidP="00C72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6924" w:rsidP="00C72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66924" w:rsidP="00C720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 w:rsidP="00C72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924">
      <w:t>Approved</w:t>
    </w:r>
    <w:r w:rsidR="00E669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9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924">
      <w:rPr>
        <w:noProof/>
      </w:rPr>
      <w:t>5</w:t>
    </w:r>
    <w:r>
      <w:rPr>
        <w:noProof/>
      </w:rPr>
      <w:fldChar w:fldCharType="end"/>
    </w:r>
  </w:p>
  <w:p w:rsidR="00C720B1" w:rsidP="00C72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9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924">
      <w:t>HumanAbility</w:t>
    </w:r>
    <w:r w:rsidR="00E66924">
      <w:fldChar w:fldCharType="end"/>
    </w:r>
  </w:p>
  <w:p w:rsidR="00C720B1" w:rsidP="00C72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0B1" w:rsidRPr="00E66924" w:rsidP="00E66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24" w:rsidRPr="002D2AF8" w:rsidP="00C72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CHCGMB002 Provide counselling for clients with problem gambling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6924" w:rsidP="00C720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B1" w:rsidRPr="002D2AF8" w:rsidP="00C72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924">
      <w:t>CHCGMB002 Provide counselling for clients with problem gambling issues</w:t>
    </w:r>
    <w:r w:rsidR="00E669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924">
      <w:rPr>
        <w:noProof/>
      </w:rPr>
      <w:t>2 March 2025</w:t>
    </w:r>
    <w:r>
      <w:fldChar w:fldCharType="end"/>
    </w:r>
  </w:p>
  <w:p w:rsidR="00C720B1" w:rsidP="00C72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0D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4C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C3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0B1"/>
  </w:style>
  <w:style w:type="character" w:customStyle="1" w:styleId="Heading1Char">
    <w:name w:val="Heading 1 Char"/>
    <w:basedOn w:val="DefaultParagraphFont"/>
    <w:link w:val="Heading1"/>
    <w:rsid w:val="00C72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0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0B1"/>
    <w:rPr>
      <w:b/>
      <w:spacing w:val="0"/>
    </w:rPr>
  </w:style>
  <w:style w:type="paragraph" w:styleId="ListBullet2">
    <w:name w:val="List Bullet 2"/>
    <w:basedOn w:val="List2"/>
    <w:rsid w:val="00C720B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0B1"/>
    <w:rPr>
      <w:i/>
    </w:rPr>
  </w:style>
  <w:style w:type="paragraph" w:customStyle="1" w:styleId="SuperHeading">
    <w:name w:val="SuperHeading"/>
    <w:basedOn w:val="Normal"/>
    <w:rsid w:val="00C72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20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2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0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0B1"/>
  </w:style>
  <w:style w:type="paragraph" w:styleId="TableofFigures">
    <w:name w:val="table of figures"/>
    <w:basedOn w:val="Normal"/>
    <w:next w:val="Normal"/>
    <w:semiHidden/>
    <w:rsid w:val="00C72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0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20B1"/>
    <w:rPr>
      <w:rFonts w:ascii="Wingdings" w:hAnsi="Wingdings"/>
    </w:rPr>
  </w:style>
  <w:style w:type="paragraph" w:customStyle="1" w:styleId="TableHeading">
    <w:name w:val="Table Heading"/>
    <w:basedOn w:val="HeadingBase"/>
    <w:rsid w:val="00C72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0B1"/>
    <w:rPr>
      <w:color w:val="0033CC"/>
      <w:u w:val="none"/>
    </w:rPr>
  </w:style>
  <w:style w:type="paragraph" w:customStyle="1" w:styleId="BodyTextRight">
    <w:name w:val="Body Text Right"/>
    <w:basedOn w:val="BodyText"/>
    <w:rsid w:val="00C72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0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0B1"/>
    <w:rPr>
      <w:sz w:val="32"/>
    </w:rPr>
  </w:style>
  <w:style w:type="paragraph" w:customStyle="1" w:styleId="HeadingProcedure">
    <w:name w:val="Heading Procedure"/>
    <w:basedOn w:val="HeadingBase"/>
    <w:next w:val="Normal"/>
    <w:rsid w:val="00C72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0B1"/>
    <w:pPr>
      <w:spacing w:before="60" w:after="60"/>
    </w:pPr>
  </w:style>
  <w:style w:type="paragraph" w:styleId="ListContinue">
    <w:name w:val="List Continue"/>
    <w:basedOn w:val="List"/>
    <w:rsid w:val="00C720B1"/>
    <w:pPr>
      <w:ind w:firstLine="0"/>
    </w:pPr>
  </w:style>
  <w:style w:type="paragraph" w:customStyle="1" w:styleId="ListNote">
    <w:name w:val="List Note"/>
    <w:basedOn w:val="List"/>
    <w:rsid w:val="00C72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0B1"/>
    <w:rPr>
      <w:rFonts w:ascii="Courier New" w:hAnsi="Courier New"/>
    </w:rPr>
  </w:style>
  <w:style w:type="paragraph" w:customStyle="1" w:styleId="NoteBullet">
    <w:name w:val="Note Bullet"/>
    <w:basedOn w:val="Note"/>
    <w:rsid w:val="00C72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0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2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0B1"/>
    <w:rPr>
      <w:b/>
      <w:smallCaps/>
    </w:rPr>
  </w:style>
  <w:style w:type="paragraph" w:customStyle="1" w:styleId="TableListNumber">
    <w:name w:val="Table List Number"/>
    <w:basedOn w:val="ListNumber"/>
    <w:rsid w:val="00C72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0B1"/>
    <w:pPr>
      <w:numPr>
        <w:numId w:val="10"/>
      </w:numPr>
    </w:pPr>
  </w:style>
  <w:style w:type="paragraph" w:customStyle="1" w:styleId="ListAlpha2">
    <w:name w:val="List Alpha 2"/>
    <w:basedOn w:val="List2"/>
    <w:rsid w:val="00C720B1"/>
    <w:pPr>
      <w:numPr>
        <w:numId w:val="9"/>
      </w:numPr>
    </w:pPr>
  </w:style>
  <w:style w:type="paragraph" w:styleId="List2">
    <w:name w:val="List 2"/>
    <w:basedOn w:val="BodyText"/>
    <w:rsid w:val="00C72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0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20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20B1"/>
    <w:pPr>
      <w:numPr>
        <w:numId w:val="5"/>
      </w:numPr>
    </w:pPr>
  </w:style>
  <w:style w:type="paragraph" w:styleId="ListContinue2">
    <w:name w:val="List Continue 2"/>
    <w:basedOn w:val="List2"/>
    <w:rsid w:val="00C720B1"/>
    <w:pPr>
      <w:ind w:firstLine="0"/>
    </w:pPr>
  </w:style>
  <w:style w:type="paragraph" w:styleId="ListContinue3">
    <w:name w:val="List Continue 3"/>
    <w:basedOn w:val="List3"/>
    <w:rsid w:val="00C720B1"/>
    <w:pPr>
      <w:ind w:left="1021" w:firstLine="0"/>
    </w:pPr>
  </w:style>
  <w:style w:type="paragraph" w:styleId="ListContinue4">
    <w:name w:val="List Continue 4"/>
    <w:basedOn w:val="List4"/>
    <w:rsid w:val="00C720B1"/>
    <w:pPr>
      <w:ind w:firstLine="0"/>
    </w:pPr>
  </w:style>
  <w:style w:type="paragraph" w:styleId="ListContinue5">
    <w:name w:val="List Continue 5"/>
    <w:basedOn w:val="List5"/>
    <w:rsid w:val="00C720B1"/>
    <w:pPr>
      <w:ind w:firstLine="0"/>
    </w:pPr>
  </w:style>
  <w:style w:type="paragraph" w:styleId="ListNumber3">
    <w:name w:val="List Number 3"/>
    <w:basedOn w:val="List3"/>
    <w:rsid w:val="00C720B1"/>
    <w:pPr>
      <w:numPr>
        <w:numId w:val="6"/>
      </w:numPr>
    </w:pPr>
  </w:style>
  <w:style w:type="paragraph" w:styleId="ListNumber4">
    <w:name w:val="List Number 4"/>
    <w:basedOn w:val="List4"/>
    <w:rsid w:val="00C720B1"/>
    <w:pPr>
      <w:numPr>
        <w:numId w:val="7"/>
      </w:numPr>
    </w:pPr>
  </w:style>
  <w:style w:type="paragraph" w:styleId="ListNumber5">
    <w:name w:val="List Number 5"/>
    <w:basedOn w:val="List5"/>
    <w:rsid w:val="00C720B1"/>
    <w:pPr>
      <w:numPr>
        <w:numId w:val="8"/>
      </w:numPr>
    </w:pPr>
  </w:style>
  <w:style w:type="paragraph" w:styleId="BlockText">
    <w:name w:val="Block Text"/>
    <w:basedOn w:val="Normal"/>
    <w:rsid w:val="00C72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0B1"/>
    <w:rPr>
      <w:sz w:val="16"/>
      <w:vertAlign w:val="superscript"/>
    </w:rPr>
  </w:style>
  <w:style w:type="character" w:customStyle="1" w:styleId="Symbols">
    <w:name w:val="Symbols"/>
    <w:basedOn w:val="DefaultParagraphFont"/>
    <w:rsid w:val="00C720B1"/>
    <w:rPr>
      <w:rFonts w:ascii="Symbol" w:hAnsi="Symbol"/>
    </w:rPr>
  </w:style>
  <w:style w:type="character" w:customStyle="1" w:styleId="MenuOptions">
    <w:name w:val="Menu Options"/>
    <w:basedOn w:val="DefaultParagraphFont"/>
    <w:rsid w:val="00C72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0B1"/>
    <w:rPr>
      <w:b/>
    </w:rPr>
  </w:style>
  <w:style w:type="character" w:customStyle="1" w:styleId="Underlined">
    <w:name w:val="Underlined"/>
    <w:basedOn w:val="DefaultParagraphFont"/>
    <w:rsid w:val="00C720B1"/>
    <w:rPr>
      <w:u w:val="single"/>
    </w:rPr>
  </w:style>
  <w:style w:type="paragraph" w:customStyle="1" w:styleId="TableBodyTextRight">
    <w:name w:val="Table Body Text Right"/>
    <w:basedOn w:val="TableBodyText"/>
    <w:rsid w:val="00C72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0B1"/>
    <w:rPr>
      <w:sz w:val="18"/>
    </w:rPr>
  </w:style>
  <w:style w:type="paragraph" w:customStyle="1" w:styleId="BodySmallRight">
    <w:name w:val="Body Small Right"/>
    <w:basedOn w:val="BodyTextRight"/>
    <w:rsid w:val="00C720B1"/>
    <w:rPr>
      <w:sz w:val="18"/>
      <w:szCs w:val="18"/>
    </w:rPr>
  </w:style>
  <w:style w:type="paragraph" w:customStyle="1" w:styleId="MarginEdition">
    <w:name w:val="Margin Edition"/>
    <w:basedOn w:val="MarginNote"/>
    <w:rsid w:val="00C72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0B1"/>
    <w:rPr>
      <w:sz w:val="2"/>
      <w:szCs w:val="2"/>
    </w:rPr>
  </w:style>
  <w:style w:type="character" w:customStyle="1" w:styleId="Small">
    <w:name w:val="Small"/>
    <w:basedOn w:val="DefaultParagraphFont"/>
    <w:rsid w:val="00C720B1"/>
    <w:rPr>
      <w:sz w:val="16"/>
    </w:rPr>
  </w:style>
  <w:style w:type="paragraph" w:customStyle="1" w:styleId="WideTable">
    <w:name w:val="Wide Table"/>
    <w:basedOn w:val="Normal"/>
    <w:rsid w:val="00C72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0B1"/>
  </w:style>
  <w:style w:type="paragraph" w:styleId="Quote">
    <w:name w:val="Quote"/>
    <w:basedOn w:val="Heading1"/>
    <w:link w:val="QuoteChar"/>
    <w:qFormat/>
    <w:rsid w:val="00C72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0B1"/>
    <w:pPr>
      <w:pageBreakBefore/>
    </w:pPr>
  </w:style>
  <w:style w:type="paragraph" w:customStyle="1" w:styleId="Border">
    <w:name w:val="Border"/>
    <w:basedOn w:val="Normal"/>
    <w:qFormat/>
    <w:rsid w:val="00C72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0B1"/>
    <w:rPr>
      <w:u w:val="single"/>
    </w:rPr>
  </w:style>
  <w:style w:type="character" w:customStyle="1" w:styleId="BoldandItalics">
    <w:name w:val="Bold and Italics"/>
    <w:qFormat/>
    <w:rsid w:val="00C720B1"/>
    <w:rPr>
      <w:b/>
      <w:i/>
      <w:u w:val="none"/>
    </w:rPr>
  </w:style>
  <w:style w:type="paragraph" w:styleId="BalloonText">
    <w:name w:val="Balloon Text"/>
    <w:basedOn w:val="Normal"/>
    <w:link w:val="BalloonTextChar"/>
    <w:rsid w:val="00C72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0B1"/>
    <w:pPr>
      <w:spacing w:before="0" w:after="0"/>
    </w:pPr>
  </w:style>
  <w:style w:type="paragraph" w:customStyle="1" w:styleId="BodyTextBold">
    <w:name w:val="Body Text Bold"/>
    <w:basedOn w:val="BodyText"/>
    <w:qFormat/>
    <w:rsid w:val="00C720B1"/>
    <w:rPr>
      <w:b/>
    </w:rPr>
  </w:style>
  <w:style w:type="character" w:styleId="Hyperlink">
    <w:name w:val="Hyperlink"/>
    <w:basedOn w:val="DefaultParagraphFont"/>
    <w:uiPriority w:val="99"/>
    <w:unhideWhenUsed/>
    <w:rsid w:val="00E66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1259</Words>
  <Characters>8238</Characters>
  <Application>Microsoft Office Word</Application>
  <DocSecurity>0</DocSecurity>
  <Lines>242</Lines>
  <Paragraphs>166</Paragraphs>
  <ScaleCrop>false</ScaleCrop>
  <Company>Author-it Software Corporation Ltd.</Company>
  <LinksUpToDate>false</LinksUpToDate>
  <CharactersWithSpaces>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CHCGMB002 Provide counselling for clients with problem gambling issues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