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4CD2" w:rsidP="00F24C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CHCGMB001 Assess the needs of clients with problem gambling issues</w:t>
      </w:r>
      <w:r>
        <w:fldChar w:fldCharType="end"/>
      </w:r>
    </w:p>
    <w:p w:rsidR="00F24CD2" w:rsidP="00F24CD2">
      <w:pPr>
        <w:pStyle w:val="Version"/>
        <w:sectPr w:rsidSect="00405B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BDA" w:rsidP="00405BDA">
      <w:pPr>
        <w:pStyle w:val="SuperHeading"/>
      </w:pPr>
      <w:r w:rsidRPr="00405BDA">
        <w:t>Assessment Requirements for CHCGMB001 Assess the needs of clients with problem gambling issues</w:t>
      </w:r>
    </w:p>
    <w:p w:rsidR="00000000" w:rsidRPr="00405BDA" w:rsidP="00405BDA">
      <w:pPr>
        <w:pStyle w:val="Heading1"/>
      </w:pPr>
      <w:bookmarkStart w:id="1" w:name="O_815127"/>
      <w:bookmarkEnd w:id="1"/>
      <w:r w:rsidRPr="00405BD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40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DA" w:rsidP="00405BDA">
            <w:pPr>
              <w:pStyle w:val="BodyText"/>
            </w:pPr>
            <w:r w:rsidRPr="00405BDA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DA">
            <w:pPr>
              <w:pStyle w:val="BodyText"/>
              <w:rPr>
                <w:lang w:val="en-NZ"/>
              </w:rPr>
            </w:pPr>
            <w:r w:rsidRPr="00405BDA">
              <w:rPr>
                <w:rStyle w:val="SpecialBold"/>
              </w:rPr>
              <w:t>Comments</w:t>
            </w:r>
          </w:p>
        </w:tc>
      </w:tr>
      <w:tr w:rsidTr="00405BD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BDA">
            <w:pPr>
              <w:pStyle w:val="BodyText"/>
              <w:rPr>
                <w:lang w:val="en-NZ"/>
              </w:rPr>
            </w:pPr>
            <w:r w:rsidRPr="00405BDA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BDA" w:rsidP="00405BDA">
            <w:pPr>
              <w:pStyle w:val="BodyText"/>
            </w:pPr>
            <w:r w:rsidRPr="00405BDA">
              <w:t xml:space="preserve">This version was released in </w:t>
            </w:r>
            <w:r w:rsidRPr="00405BDA">
              <w:rPr>
                <w:rStyle w:val="Emphasis"/>
              </w:rPr>
              <w:t>CHC Community Services Training Package</w:t>
            </w:r>
            <w:r w:rsidRPr="00405BDA">
              <w:t xml:space="preserve"> </w:t>
            </w:r>
            <w:r w:rsidRPr="00405BDA">
              <w:rPr>
                <w:rStyle w:val="Emphasis"/>
              </w:rPr>
              <w:t>release 3.0</w:t>
            </w:r>
            <w:r w:rsidRPr="00405BDA">
              <w:t xml:space="preserve"> and meets the requirements of the 2012 Standards for Training Packages.</w:t>
            </w:r>
          </w:p>
          <w:p w:rsidR="00000000" w:rsidRPr="00405BDA" w:rsidP="00405BDA">
            <w:pPr>
              <w:pStyle w:val="BodyText"/>
            </w:pPr>
            <w:r w:rsidRPr="00405BDA">
              <w:t xml:space="preserve">Supersedes CHCGMB502A. </w:t>
            </w:r>
          </w:p>
          <w:p w:rsidR="00000000" w:rsidRPr="00405BDA" w:rsidP="00405BDA">
            <w:pPr>
              <w:pStyle w:val="BodyText"/>
            </w:pPr>
            <w:r w:rsidRPr="00405BDA">
              <w:t>Significant changes to the elements and performance criteria. New evidence requirements for assessment including volume and frequency requirements. Significant</w:t>
            </w:r>
            <w:r w:rsidRPr="00405BDA">
              <w:t xml:space="preserve"> change to knowledge evidence.</w:t>
            </w:r>
          </w:p>
        </w:tc>
      </w:tr>
    </w:tbl>
    <w:p w:rsidR="00000000" w:rsidRPr="00405BDA" w:rsidP="00405BDA">
      <w:pPr>
        <w:pStyle w:val="BodyText"/>
      </w:pPr>
    </w:p>
    <w:p w:rsidR="00000000" w:rsidRPr="00405BDA" w:rsidP="00405BDA">
      <w:pPr>
        <w:pStyle w:val="AllowPageBreak"/>
      </w:pPr>
    </w:p>
    <w:p w:rsidR="00000000" w:rsidRPr="00405BDA" w:rsidP="00405BDA">
      <w:pPr>
        <w:pStyle w:val="Heading1"/>
      </w:pPr>
      <w:bookmarkStart w:id="2" w:name="O_815128"/>
      <w:bookmarkEnd w:id="2"/>
      <w:r w:rsidRPr="00405BDA">
        <w:t>Performance Evidence</w:t>
      </w:r>
    </w:p>
    <w:p w:rsidR="00000000" w:rsidRPr="00405BDA" w:rsidP="00F24CD2">
      <w:pPr>
        <w:pStyle w:val="BodyText"/>
      </w:pPr>
      <w:r w:rsidRPr="00405BDA">
        <w:t>The candidate must show evidence of the ability to complete tasks outlined in elements and performance criteria of this unit, manage tasks and manage contingencies in the context of the</w:t>
      </w:r>
      <w:r w:rsidRPr="00405BDA">
        <w:t xml:space="preserve"> job role. There must be evidence that the candidate has:</w:t>
      </w:r>
    </w:p>
    <w:p w:rsidR="00000000" w:rsidRPr="00405BDA" w:rsidP="00405BDA">
      <w:pPr>
        <w:pStyle w:val="ListBullet"/>
      </w:pPr>
      <w:r w:rsidRPr="00405BDA">
        <w:t>worked collaboratively with at least 3 clients who gamble to harmful levels, including:</w:t>
      </w:r>
    </w:p>
    <w:p w:rsidR="00000000" w:rsidRPr="00405BDA" w:rsidP="00405BDA">
      <w:pPr>
        <w:pStyle w:val="ListBullet2"/>
      </w:pPr>
      <w:r w:rsidRPr="00405BDA">
        <w:t>assessing and documenting client issues</w:t>
      </w:r>
    </w:p>
    <w:p w:rsidR="00000000" w:rsidRPr="00405BDA" w:rsidP="00405BDA">
      <w:pPr>
        <w:pStyle w:val="ListBullet2"/>
      </w:pPr>
      <w:r w:rsidRPr="00405BDA">
        <w:t xml:space="preserve">developing individualised case plans that identify strategies to assist them in to overcome problems associated with gambling </w:t>
      </w:r>
    </w:p>
    <w:p w:rsidR="00000000" w:rsidRPr="00405BDA" w:rsidP="00405BDA">
      <w:pPr>
        <w:pStyle w:val="ListBullet"/>
      </w:pPr>
      <w:r w:rsidRPr="00405BDA">
        <w:t>used the following communication skills in work with clients:</w:t>
      </w:r>
    </w:p>
    <w:p w:rsidR="00000000" w:rsidRPr="00405BDA" w:rsidP="00405BDA">
      <w:pPr>
        <w:pStyle w:val="ListBullet2"/>
      </w:pPr>
      <w:r w:rsidRPr="00405BDA">
        <w:t>effective use of body language</w:t>
      </w:r>
    </w:p>
    <w:p w:rsidR="00000000" w:rsidRPr="00405BDA" w:rsidP="00405BDA">
      <w:pPr>
        <w:pStyle w:val="ListBullet2"/>
      </w:pPr>
      <w:r w:rsidRPr="00405BDA">
        <w:t>paraphrasing</w:t>
      </w:r>
    </w:p>
    <w:p w:rsidR="00000000" w:rsidRPr="00405BDA" w:rsidP="00405BDA">
      <w:pPr>
        <w:pStyle w:val="ListBullet2"/>
      </w:pPr>
      <w:r w:rsidRPr="00405BDA">
        <w:t>reflecting feelings</w:t>
      </w:r>
    </w:p>
    <w:p w:rsidR="00000000" w:rsidRPr="00405BDA" w:rsidP="00405BDA">
      <w:pPr>
        <w:pStyle w:val="ListBullet2"/>
      </w:pPr>
      <w:r w:rsidRPr="00405BDA">
        <w:t>o</w:t>
      </w:r>
      <w:r w:rsidRPr="00405BDA">
        <w:t>pen and closed questioning or probing</w:t>
      </w:r>
    </w:p>
    <w:p w:rsidR="00000000" w:rsidRPr="00405BDA" w:rsidP="00405BDA">
      <w:pPr>
        <w:pStyle w:val="ListBullet2"/>
      </w:pPr>
      <w:r w:rsidRPr="00405BDA">
        <w:t>summarising</w:t>
      </w:r>
    </w:p>
    <w:p w:rsidR="00000000" w:rsidRPr="00405BDA" w:rsidP="00405BDA">
      <w:pPr>
        <w:pStyle w:val="ListBullet2"/>
      </w:pPr>
      <w:r w:rsidRPr="00405BDA">
        <w:t>reframing</w:t>
      </w:r>
    </w:p>
    <w:p w:rsidR="00000000" w:rsidRPr="00405BDA" w:rsidP="00405BDA">
      <w:pPr>
        <w:pStyle w:val="ListBullet2"/>
      </w:pPr>
      <w:r w:rsidRPr="00405BDA">
        <w:t>exploring options</w:t>
      </w:r>
    </w:p>
    <w:p w:rsidR="00000000" w:rsidRPr="00405BDA" w:rsidP="00405BDA">
      <w:pPr>
        <w:pStyle w:val="ListBullet2"/>
      </w:pPr>
      <w:r w:rsidRPr="00405BDA">
        <w:t>use of normalising statements.</w:t>
      </w:r>
    </w:p>
    <w:p w:rsidR="00000000" w:rsidRPr="00405BDA" w:rsidP="00405BDA">
      <w:pPr>
        <w:pStyle w:val="AllowPageBreak"/>
      </w:pPr>
    </w:p>
    <w:p w:rsidR="00000000" w:rsidRPr="00405BDA" w:rsidP="00405BDA">
      <w:pPr>
        <w:pStyle w:val="Heading1"/>
      </w:pPr>
      <w:bookmarkStart w:id="3" w:name="O_815129"/>
      <w:bookmarkEnd w:id="3"/>
      <w:r w:rsidRPr="00405BDA">
        <w:t>Knowledge Evidence</w:t>
      </w:r>
    </w:p>
    <w:p w:rsidR="00000000" w:rsidRPr="00405BDA" w:rsidP="00F24CD2">
      <w:pPr>
        <w:pStyle w:val="BodyText"/>
      </w:pPr>
      <w:r w:rsidRPr="00405BDA">
        <w:t>The candidate must be able to demonstrate essential knowledge required to effectively complete tasks outlined i</w:t>
      </w:r>
      <w:r w:rsidRPr="00405BDA">
        <w:t>n elements and performance criteria of this unit, manage tasks and manage contingencies in the context of the work role. This includes knowledge of:</w:t>
      </w:r>
    </w:p>
    <w:p w:rsidR="00000000" w:rsidRPr="00405BDA" w:rsidP="00405BDA">
      <w:pPr>
        <w:pStyle w:val="ListBullet"/>
      </w:pPr>
      <w:r w:rsidRPr="00405BDA">
        <w:t>legal and ethical considerations (national, state/territory and local) for problem gambling, and how these</w:t>
      </w:r>
      <w:r w:rsidRPr="00405BDA">
        <w:t xml:space="preserve"> are applied in organisations and individual practice:</w:t>
      </w:r>
    </w:p>
    <w:p w:rsidR="00000000" w:rsidRPr="00405BDA" w:rsidP="00405BDA">
      <w:pPr>
        <w:pStyle w:val="ListBullet2"/>
      </w:pPr>
      <w:r w:rsidRPr="00405BDA">
        <w:t xml:space="preserve">codes of conduct </w:t>
      </w:r>
    </w:p>
    <w:p w:rsidR="00000000" w:rsidRPr="00405BDA" w:rsidP="00405BDA">
      <w:pPr>
        <w:pStyle w:val="ListBullet2"/>
      </w:pPr>
      <w:r w:rsidRPr="00405BDA">
        <w:t>discrimination</w:t>
      </w:r>
    </w:p>
    <w:p w:rsidR="00000000" w:rsidRPr="00405BDA" w:rsidP="00405BDA">
      <w:pPr>
        <w:pStyle w:val="ListBullet2"/>
      </w:pPr>
      <w:r w:rsidRPr="00405BDA">
        <w:t xml:space="preserve">duty of care </w:t>
      </w:r>
    </w:p>
    <w:p w:rsidR="00000000" w:rsidRPr="00405BDA" w:rsidP="00405BDA">
      <w:pPr>
        <w:pStyle w:val="ListBullet2"/>
      </w:pPr>
      <w:r w:rsidRPr="00405BDA">
        <w:t xml:space="preserve">human rights </w:t>
      </w:r>
    </w:p>
    <w:p w:rsidR="00000000" w:rsidRPr="00405BDA" w:rsidP="00405BDA">
      <w:pPr>
        <w:pStyle w:val="ListBullet2"/>
      </w:pPr>
      <w:r w:rsidRPr="00405BDA">
        <w:t>privacy, confidentiality and disclosure</w:t>
      </w:r>
    </w:p>
    <w:p w:rsidR="00000000" w:rsidRPr="00405BDA" w:rsidP="00405BDA">
      <w:pPr>
        <w:pStyle w:val="ListBullet2"/>
      </w:pPr>
      <w:r w:rsidRPr="00405BDA">
        <w:t xml:space="preserve">records management </w:t>
      </w:r>
    </w:p>
    <w:p w:rsidR="00000000" w:rsidRPr="00405BDA" w:rsidP="00405BDA">
      <w:pPr>
        <w:pStyle w:val="ListBullet2"/>
      </w:pPr>
      <w:r w:rsidRPr="00405BDA">
        <w:t>rights and responsibilities of workers, employers and clients</w:t>
      </w:r>
    </w:p>
    <w:p w:rsidR="00000000" w:rsidRPr="00405BDA" w:rsidP="00405BDA">
      <w:pPr>
        <w:pStyle w:val="ListBullet2"/>
      </w:pPr>
      <w:r w:rsidRPr="00405BDA">
        <w:t>specific legislation that affects gambling, including:</w:t>
      </w:r>
    </w:p>
    <w:p w:rsidR="00000000" w:rsidRPr="00405BDA" w:rsidP="00405BDA">
      <w:pPr>
        <w:pStyle w:val="ListBullet3"/>
      </w:pPr>
      <w:r w:rsidRPr="00405BDA">
        <w:t xml:space="preserve">state/territory Responsible Conduct of Gaming </w:t>
      </w:r>
    </w:p>
    <w:p w:rsidR="00000000" w:rsidRPr="00405BDA" w:rsidP="00405BDA">
      <w:pPr>
        <w:pStyle w:val="ListBullet2"/>
      </w:pPr>
      <w:r w:rsidRPr="00405BDA">
        <w:t xml:space="preserve">work role boundaries – responsibilities and limitations </w:t>
      </w:r>
    </w:p>
    <w:p w:rsidR="00000000" w:rsidRPr="00405BDA" w:rsidP="00405BDA">
      <w:pPr>
        <w:pStyle w:val="ListBullet2"/>
      </w:pPr>
      <w:r w:rsidRPr="00405BDA">
        <w:t>work health and safety</w:t>
      </w:r>
    </w:p>
    <w:p w:rsidR="00000000" w:rsidRPr="00405BDA" w:rsidP="00405BDA">
      <w:pPr>
        <w:pStyle w:val="ListBullet"/>
      </w:pPr>
      <w:r w:rsidRPr="00405BDA">
        <w:t>types of gambling services in Australia and the different ways they are made available</w:t>
      </w:r>
    </w:p>
    <w:p w:rsidR="00000000" w:rsidRPr="00405BDA" w:rsidP="00405BDA">
      <w:pPr>
        <w:pStyle w:val="ListBullet"/>
      </w:pPr>
      <w:r w:rsidRPr="00405BDA">
        <w:t>key gambling industry stakeholders and their interrelationships</w:t>
      </w:r>
    </w:p>
    <w:p w:rsidR="00000000" w:rsidRPr="00405BDA" w:rsidP="00405BDA">
      <w:pPr>
        <w:pStyle w:val="ListBullet"/>
      </w:pPr>
      <w:r w:rsidRPr="00405BDA">
        <w:t>context for work in problem gambling, including:</w:t>
      </w:r>
    </w:p>
    <w:p w:rsidR="00000000" w:rsidRPr="00405BDA" w:rsidP="00405BDA">
      <w:pPr>
        <w:pStyle w:val="ListBullet2"/>
      </w:pPr>
      <w:r w:rsidRPr="00405BDA">
        <w:t xml:space="preserve">sector values and philosophies </w:t>
      </w:r>
    </w:p>
    <w:p w:rsidR="00000000" w:rsidRPr="00405BDA" w:rsidP="00405BDA">
      <w:pPr>
        <w:pStyle w:val="ListBullet2"/>
      </w:pPr>
      <w:r w:rsidRPr="00405BDA">
        <w:t>historical – changing a</w:t>
      </w:r>
      <w:r w:rsidRPr="00405BDA">
        <w:t>ttitudes and approaches</w:t>
      </w:r>
    </w:p>
    <w:p w:rsidR="00000000" w:rsidRPr="00405BDA" w:rsidP="00405BDA">
      <w:pPr>
        <w:pStyle w:val="ListBullet2"/>
      </w:pPr>
      <w:r w:rsidRPr="00405BDA">
        <w:t>cultural – factors that motivate people to gamble</w:t>
      </w:r>
    </w:p>
    <w:p w:rsidR="00000000" w:rsidRPr="00405BDA" w:rsidP="00405BDA">
      <w:pPr>
        <w:pStyle w:val="ListBullet2"/>
      </w:pPr>
      <w:r w:rsidRPr="00405BDA">
        <w:t>political – current policy context</w:t>
      </w:r>
    </w:p>
    <w:p w:rsidR="00000000" w:rsidRPr="00405BDA" w:rsidP="00405BDA">
      <w:pPr>
        <w:pStyle w:val="ListBullet2"/>
      </w:pPr>
      <w:r w:rsidRPr="00405BDA">
        <w:t>economic – links between economic conditions and levels of gambling, socioeconomic patterns, state revenue generation</w:t>
      </w:r>
    </w:p>
    <w:p w:rsidR="00000000" w:rsidRPr="00405BDA" w:rsidP="00405BDA">
      <w:pPr>
        <w:pStyle w:val="ListBullet"/>
      </w:pPr>
      <w:r w:rsidRPr="00405BDA">
        <w:t>definitions and key indicators of problem gambling</w:t>
      </w:r>
    </w:p>
    <w:p w:rsidR="00000000" w:rsidRPr="00405BDA" w:rsidP="00405BDA">
      <w:pPr>
        <w:pStyle w:val="ListBullet"/>
      </w:pPr>
      <w:r w:rsidRPr="00405BDA">
        <w:t>stages of problem gambling</w:t>
      </w:r>
    </w:p>
    <w:p w:rsidR="00000000" w:rsidRPr="00405BDA" w:rsidP="00405BDA">
      <w:pPr>
        <w:pStyle w:val="ListBullet"/>
      </w:pPr>
      <w:r w:rsidRPr="00405BDA">
        <w:t xml:space="preserve">features of responsible gambling </w:t>
      </w:r>
    </w:p>
    <w:p w:rsidR="00000000" w:rsidRPr="00405BDA" w:rsidP="00405BDA">
      <w:pPr>
        <w:pStyle w:val="ListBullet"/>
      </w:pPr>
      <w:r w:rsidRPr="00405BDA">
        <w:t>graduated risks of some forms of gambling</w:t>
      </w:r>
    </w:p>
    <w:p w:rsidR="00000000" w:rsidRPr="00405BDA" w:rsidP="00405BDA">
      <w:pPr>
        <w:pStyle w:val="ListBullet"/>
      </w:pPr>
      <w:r w:rsidRPr="00405BDA">
        <w:t>potential impacts of problem gambling</w:t>
      </w:r>
    </w:p>
    <w:p w:rsidR="00000000" w:rsidRPr="00405BDA" w:rsidP="00405BDA">
      <w:pPr>
        <w:pStyle w:val="ListBullet"/>
      </w:pPr>
      <w:r w:rsidRPr="00405BDA">
        <w:t xml:space="preserve">different models of work in problem gambling, when and how they </w:t>
      </w:r>
      <w:r w:rsidRPr="00405BDA">
        <w:t>are used, including:</w:t>
      </w:r>
    </w:p>
    <w:p w:rsidR="00000000" w:rsidRPr="00405BDA" w:rsidP="00405BDA">
      <w:pPr>
        <w:pStyle w:val="ListBullet2"/>
      </w:pPr>
      <w:r w:rsidRPr="00405BDA">
        <w:t>individual counselling and therapy</w:t>
      </w:r>
    </w:p>
    <w:p w:rsidR="00000000" w:rsidRPr="00405BDA" w:rsidP="00405BDA">
      <w:pPr>
        <w:pStyle w:val="ListBullet2"/>
      </w:pPr>
      <w:r w:rsidRPr="00405BDA">
        <w:t>internet and telephone counselling</w:t>
      </w:r>
    </w:p>
    <w:p w:rsidR="00000000" w:rsidRPr="00405BDA" w:rsidP="00405BDA">
      <w:pPr>
        <w:pStyle w:val="ListBullet2"/>
      </w:pPr>
      <w:r w:rsidRPr="00405BDA">
        <w:t>working with families and relationship counselling</w:t>
      </w:r>
    </w:p>
    <w:p w:rsidR="00000000" w:rsidRPr="00405BDA" w:rsidP="00405BDA">
      <w:pPr>
        <w:pStyle w:val="ListBullet2"/>
      </w:pPr>
      <w:r w:rsidRPr="00405BDA">
        <w:t>community awareness, development and education</w:t>
      </w:r>
    </w:p>
    <w:p w:rsidR="00000000" w:rsidRPr="00405BDA" w:rsidP="00405BDA">
      <w:pPr>
        <w:pStyle w:val="ListBullet2"/>
      </w:pPr>
      <w:r w:rsidRPr="00405BDA">
        <w:t>assessment and referral services</w:t>
      </w:r>
    </w:p>
    <w:p w:rsidR="00000000" w:rsidRPr="00405BDA" w:rsidP="00405BDA">
      <w:pPr>
        <w:pStyle w:val="ListBullet2"/>
      </w:pPr>
      <w:r w:rsidRPr="00405BDA">
        <w:t>outpatient services</w:t>
      </w:r>
    </w:p>
    <w:p w:rsidR="00000000" w:rsidRPr="00405BDA" w:rsidP="00405BDA">
      <w:pPr>
        <w:pStyle w:val="ListBullet2"/>
      </w:pPr>
      <w:r w:rsidRPr="00405BDA">
        <w:t>peer support/self help</w:t>
      </w:r>
    </w:p>
    <w:p w:rsidR="00000000" w:rsidRPr="00405BDA" w:rsidP="00405BDA">
      <w:pPr>
        <w:pStyle w:val="ListBullet2"/>
      </w:pPr>
      <w:r w:rsidRPr="00405BDA">
        <w:t>crisis situation responses</w:t>
      </w:r>
    </w:p>
    <w:p w:rsidR="00000000" w:rsidRPr="00405BDA" w:rsidP="00405BDA">
      <w:pPr>
        <w:pStyle w:val="ListBullet2"/>
      </w:pPr>
      <w:r w:rsidRPr="00405BDA">
        <w:t>relapse prevention</w:t>
      </w:r>
    </w:p>
    <w:p w:rsidR="00000000" w:rsidRPr="00405BDA" w:rsidP="00405BDA">
      <w:pPr>
        <w:pStyle w:val="ListBullet2"/>
      </w:pPr>
      <w:r w:rsidRPr="00405BDA">
        <w:t>harm minimisation</w:t>
      </w:r>
    </w:p>
    <w:p w:rsidR="00000000" w:rsidRPr="00405BDA" w:rsidP="00405BDA">
      <w:pPr>
        <w:pStyle w:val="ListBullet2"/>
      </w:pPr>
      <w:r w:rsidRPr="00405BDA">
        <w:t>group work</w:t>
      </w:r>
    </w:p>
    <w:p w:rsidR="00000000" w:rsidRPr="00405BDA" w:rsidP="00405BDA">
      <w:pPr>
        <w:pStyle w:val="ListBullet2"/>
      </w:pPr>
      <w:r w:rsidRPr="00405BDA">
        <w:t>financial counselling</w:t>
      </w:r>
    </w:p>
    <w:p w:rsidR="00000000" w:rsidRPr="00405BDA" w:rsidP="00405BDA">
      <w:pPr>
        <w:pStyle w:val="ListBullet2"/>
      </w:pPr>
      <w:r w:rsidRPr="00405BDA">
        <w:t>case management</w:t>
      </w:r>
    </w:p>
    <w:p w:rsidR="00000000" w:rsidRPr="00405BDA" w:rsidP="00405BDA">
      <w:pPr>
        <w:pStyle w:val="ListBullet2"/>
      </w:pPr>
      <w:r w:rsidRPr="00405BDA">
        <w:t>residential and inpatient services</w:t>
      </w:r>
    </w:p>
    <w:p w:rsidR="00000000" w:rsidRPr="00405BDA" w:rsidP="00405BDA">
      <w:pPr>
        <w:pStyle w:val="ListBullet"/>
      </w:pPr>
      <w:r w:rsidRPr="00405BDA">
        <w:t>existence and meaning of myths, chance, odds, randomness, gambling cycle</w:t>
      </w:r>
    </w:p>
    <w:p w:rsidR="00000000" w:rsidRPr="00405BDA" w:rsidP="00405BDA">
      <w:pPr>
        <w:pStyle w:val="ListBullet"/>
      </w:pPr>
      <w:r w:rsidRPr="00405BDA">
        <w:t>problem gam</w:t>
      </w:r>
      <w:r w:rsidRPr="00405BDA">
        <w:t>bling assessment processes, including:</w:t>
      </w:r>
    </w:p>
    <w:p w:rsidR="00000000" w:rsidRPr="00405BDA" w:rsidP="00405BDA">
      <w:pPr>
        <w:pStyle w:val="ListBullet2"/>
      </w:pPr>
      <w:r w:rsidRPr="00405BDA">
        <w:t xml:space="preserve">range of issues to be covered </w:t>
      </w:r>
    </w:p>
    <w:p w:rsidR="00000000" w:rsidRPr="00405BDA" w:rsidP="00405BDA">
      <w:pPr>
        <w:pStyle w:val="ListBullet2"/>
      </w:pPr>
      <w:r w:rsidRPr="00405BDA">
        <w:t>types of assessment screens and tools</w:t>
      </w:r>
    </w:p>
    <w:p w:rsidR="00000000" w:rsidRPr="00405BDA" w:rsidP="00405BDA">
      <w:pPr>
        <w:pStyle w:val="ListBullet"/>
      </w:pPr>
      <w:r w:rsidRPr="00405BDA">
        <w:t>factors influencing the current status of the client including:</w:t>
      </w:r>
    </w:p>
    <w:p w:rsidR="00000000" w:rsidRPr="00405BDA" w:rsidP="00405BDA">
      <w:pPr>
        <w:pStyle w:val="ListBullet2"/>
      </w:pPr>
      <w:r w:rsidRPr="00405BDA">
        <w:t>current or baseline levels of gambling behaviour</w:t>
      </w:r>
    </w:p>
    <w:p w:rsidR="00000000" w:rsidRPr="00405BDA" w:rsidP="00405BDA">
      <w:pPr>
        <w:pStyle w:val="ListBullet2"/>
      </w:pPr>
      <w:r w:rsidRPr="00405BDA">
        <w:t>readiness to change</w:t>
      </w:r>
    </w:p>
    <w:p w:rsidR="00000000" w:rsidRPr="00405BDA" w:rsidP="00405BDA">
      <w:pPr>
        <w:pStyle w:val="ListBullet2"/>
      </w:pPr>
      <w:r w:rsidRPr="00405BDA">
        <w:t>physical, emotional, financial, legal and psychosocial state and immediate needs in these areas</w:t>
      </w:r>
    </w:p>
    <w:p w:rsidR="00000000" w:rsidRPr="00405BDA" w:rsidP="00405BDA">
      <w:pPr>
        <w:pStyle w:val="ListBullet2"/>
      </w:pPr>
      <w:r w:rsidRPr="00405BDA">
        <w:t>gambling and other issues in the family</w:t>
      </w:r>
    </w:p>
    <w:p w:rsidR="00000000" w:rsidRPr="00405BDA" w:rsidP="00405BDA">
      <w:pPr>
        <w:pStyle w:val="ListBullet"/>
      </w:pPr>
      <w:r w:rsidRPr="00405BDA">
        <w:t>factors for consideration when working with different types of clients:</w:t>
      </w:r>
    </w:p>
    <w:p w:rsidR="00000000" w:rsidRPr="00405BDA" w:rsidP="00405BDA">
      <w:pPr>
        <w:pStyle w:val="ListBullet2"/>
      </w:pPr>
      <w:r w:rsidRPr="00405BDA">
        <w:t>client of different ages</w:t>
      </w:r>
    </w:p>
    <w:p w:rsidR="00000000" w:rsidRPr="00405BDA" w:rsidP="00405BDA">
      <w:pPr>
        <w:pStyle w:val="ListBullet2"/>
      </w:pPr>
      <w:r w:rsidRPr="00405BDA">
        <w:t>different gender comm</w:t>
      </w:r>
      <w:r w:rsidRPr="00405BDA">
        <w:t>unication styles</w:t>
      </w:r>
    </w:p>
    <w:p w:rsidR="00000000" w:rsidRPr="00405BDA" w:rsidP="00405BDA">
      <w:pPr>
        <w:pStyle w:val="ListBullet2"/>
      </w:pPr>
      <w:r w:rsidRPr="00405BDA">
        <w:t>mandated and voluntary clients</w:t>
      </w:r>
    </w:p>
    <w:p w:rsidR="00000000" w:rsidRPr="00405BDA" w:rsidP="00405BDA">
      <w:pPr>
        <w:pStyle w:val="ListBullet2"/>
      </w:pPr>
      <w:r w:rsidRPr="00405BDA">
        <w:t>Aboriginal and/or Torres Strait Islander people</w:t>
      </w:r>
    </w:p>
    <w:p w:rsidR="00000000" w:rsidRPr="00405BDA" w:rsidP="00405BDA">
      <w:pPr>
        <w:pStyle w:val="ListBullet2"/>
      </w:pPr>
      <w:r w:rsidRPr="00405BDA">
        <w:t>culturally and linguistically diverse people</w:t>
      </w:r>
    </w:p>
    <w:p w:rsidR="00000000" w:rsidRPr="00405BDA" w:rsidP="00405BDA">
      <w:pPr>
        <w:pStyle w:val="ListBullet"/>
      </w:pPr>
      <w:r w:rsidRPr="00405BDA">
        <w:t>considerations when working with clients at risk of self-harm, suicide or with mental health issues</w:t>
      </w:r>
    </w:p>
    <w:p w:rsidR="00000000" w:rsidRPr="00405BDA" w:rsidP="00405BDA">
      <w:pPr>
        <w:pStyle w:val="ListBullet"/>
      </w:pPr>
      <w:r w:rsidRPr="00405BDA">
        <w:t>coexisting iss</w:t>
      </w:r>
      <w:r w:rsidRPr="00405BDA">
        <w:t>ues potentially impacting on the client, how to respond and sources for referral:</w:t>
      </w:r>
    </w:p>
    <w:p w:rsidR="00000000" w:rsidRPr="00405BDA" w:rsidP="00405BDA">
      <w:pPr>
        <w:pStyle w:val="ListBullet2"/>
      </w:pPr>
      <w:r w:rsidRPr="00405BDA">
        <w:t>housing</w:t>
      </w:r>
    </w:p>
    <w:p w:rsidR="00000000" w:rsidRPr="00405BDA" w:rsidP="00405BDA">
      <w:pPr>
        <w:pStyle w:val="ListBullet2"/>
      </w:pPr>
      <w:r w:rsidRPr="00405BDA">
        <w:t>employment</w:t>
      </w:r>
    </w:p>
    <w:p w:rsidR="00000000" w:rsidRPr="00405BDA" w:rsidP="00405BDA">
      <w:pPr>
        <w:pStyle w:val="ListBullet2"/>
      </w:pPr>
      <w:r w:rsidRPr="00405BDA">
        <w:t>financial</w:t>
      </w:r>
    </w:p>
    <w:p w:rsidR="00000000" w:rsidRPr="00405BDA" w:rsidP="00405BDA">
      <w:pPr>
        <w:pStyle w:val="ListBullet2"/>
      </w:pPr>
      <w:r w:rsidRPr="00405BDA">
        <w:t>legal</w:t>
      </w:r>
    </w:p>
    <w:p w:rsidR="00000000" w:rsidRPr="00405BDA" w:rsidP="00405BDA">
      <w:pPr>
        <w:pStyle w:val="ListBullet2"/>
      </w:pPr>
      <w:r w:rsidRPr="00405BDA">
        <w:t xml:space="preserve">relationship </w:t>
      </w:r>
    </w:p>
    <w:p w:rsidR="00000000" w:rsidRPr="00405BDA" w:rsidP="00405BDA">
      <w:pPr>
        <w:pStyle w:val="ListBullet"/>
      </w:pPr>
      <w:r w:rsidRPr="00405BDA">
        <w:t>case management principles and processes</w:t>
      </w:r>
    </w:p>
    <w:p w:rsidR="00000000" w:rsidRPr="00405BDA" w:rsidP="00405BDA">
      <w:pPr>
        <w:pStyle w:val="ListBullet"/>
      </w:pPr>
      <w:r w:rsidRPr="00405BDA">
        <w:t>referral agencies for people with problem gambling</w:t>
      </w:r>
    </w:p>
    <w:p w:rsidR="00000000" w:rsidRPr="00405BDA" w:rsidP="00405BDA">
      <w:pPr>
        <w:pStyle w:val="ListBullet"/>
      </w:pPr>
      <w:r w:rsidRPr="00405BDA">
        <w:t>communication techniques, including:</w:t>
      </w:r>
    </w:p>
    <w:p w:rsidR="00000000" w:rsidRPr="00405BDA" w:rsidP="00405BDA">
      <w:pPr>
        <w:pStyle w:val="ListBullet2"/>
      </w:pPr>
      <w:r w:rsidRPr="00405BDA">
        <w:t>effective use of body language</w:t>
      </w:r>
    </w:p>
    <w:p w:rsidR="00000000" w:rsidRPr="00405BDA" w:rsidP="00405BDA">
      <w:pPr>
        <w:pStyle w:val="ListBullet2"/>
      </w:pPr>
      <w:r w:rsidRPr="00405BDA">
        <w:t>paraphrasing</w:t>
      </w:r>
    </w:p>
    <w:p w:rsidR="00000000" w:rsidRPr="00405BDA" w:rsidP="00405BDA">
      <w:pPr>
        <w:pStyle w:val="ListBullet2"/>
      </w:pPr>
      <w:r w:rsidRPr="00405BDA">
        <w:t>reflecting feelings</w:t>
      </w:r>
    </w:p>
    <w:p w:rsidR="00000000" w:rsidRPr="00405BDA" w:rsidP="00405BDA">
      <w:pPr>
        <w:pStyle w:val="ListBullet2"/>
      </w:pPr>
      <w:r w:rsidRPr="00405BDA">
        <w:t>open and closed questioning or probing</w:t>
      </w:r>
    </w:p>
    <w:p w:rsidR="00000000" w:rsidRPr="00405BDA" w:rsidP="00405BDA">
      <w:pPr>
        <w:pStyle w:val="ListBullet2"/>
      </w:pPr>
      <w:r w:rsidRPr="00405BDA">
        <w:t>summarising</w:t>
      </w:r>
    </w:p>
    <w:p w:rsidR="00000000" w:rsidRPr="00405BDA" w:rsidP="00405BDA">
      <w:pPr>
        <w:pStyle w:val="ListBullet2"/>
      </w:pPr>
      <w:r w:rsidRPr="00405BDA">
        <w:t>reframing</w:t>
      </w:r>
    </w:p>
    <w:p w:rsidR="00000000" w:rsidRPr="00405BDA" w:rsidP="00405BDA">
      <w:pPr>
        <w:pStyle w:val="ListBullet2"/>
      </w:pPr>
      <w:r w:rsidRPr="00405BDA">
        <w:t>exploring options</w:t>
      </w:r>
    </w:p>
    <w:p w:rsidR="00000000" w:rsidRPr="00405BDA" w:rsidP="00405BDA">
      <w:pPr>
        <w:pStyle w:val="ListBullet2"/>
      </w:pPr>
      <w:r w:rsidRPr="00405BDA">
        <w:t>use of normalising statements</w:t>
      </w:r>
    </w:p>
    <w:p w:rsidR="00000000" w:rsidRPr="00405BDA" w:rsidP="00405BDA">
      <w:pPr>
        <w:pStyle w:val="ListBullet"/>
      </w:pPr>
      <w:r w:rsidRPr="00405BDA">
        <w:t>referral options and availability.</w:t>
      </w:r>
    </w:p>
    <w:p w:rsidR="00000000" w:rsidRPr="00405BDA" w:rsidP="00405BDA">
      <w:pPr>
        <w:pStyle w:val="AllowPageBreak"/>
      </w:pPr>
    </w:p>
    <w:p w:rsidR="00000000" w:rsidRPr="00405BDA" w:rsidP="00405BDA">
      <w:pPr>
        <w:pStyle w:val="Heading1"/>
      </w:pPr>
      <w:bookmarkStart w:id="4" w:name="O_815130"/>
      <w:bookmarkEnd w:id="4"/>
      <w:r w:rsidRPr="00405BDA">
        <w:t>Assessment Conditions</w:t>
      </w:r>
    </w:p>
    <w:p w:rsidR="00000000" w:rsidRPr="00405BDA" w:rsidP="00F24CD2">
      <w:pPr>
        <w:pStyle w:val="BodyText"/>
      </w:pPr>
      <w:r w:rsidRPr="00405BDA">
        <w:t xml:space="preserve">Skills must have been demonstrated in the workplace or in a simulated environment that reflects workplace conditions. The following conditions must be met for this unit: </w:t>
      </w:r>
    </w:p>
    <w:p w:rsidR="00000000" w:rsidRPr="00405BDA" w:rsidP="00405BDA">
      <w:pPr>
        <w:pStyle w:val="ListBullet"/>
      </w:pPr>
      <w:r w:rsidRPr="00405BDA">
        <w:t>use of suitable facilities, equipment and resources, including:</w:t>
      </w:r>
    </w:p>
    <w:p w:rsidR="00000000" w:rsidRPr="00405BDA" w:rsidP="00405BDA">
      <w:pPr>
        <w:pStyle w:val="ListBullet2"/>
      </w:pPr>
      <w:r w:rsidRPr="00405BDA">
        <w:t xml:space="preserve">client information </w:t>
      </w:r>
    </w:p>
    <w:p w:rsidR="00000000" w:rsidRPr="00405BDA" w:rsidP="00405BDA">
      <w:pPr>
        <w:pStyle w:val="ListBullet2"/>
      </w:pPr>
      <w:r w:rsidRPr="00405BDA">
        <w:t>problem gambling assessment tools</w:t>
      </w:r>
    </w:p>
    <w:p w:rsidR="00000000" w:rsidRPr="00405BDA" w:rsidP="00405BDA">
      <w:pPr>
        <w:pStyle w:val="ListBullet"/>
      </w:pPr>
      <w:r w:rsidRPr="00405BDA">
        <w:t>modelling of industry operating conditions, including:</w:t>
      </w:r>
    </w:p>
    <w:p w:rsidR="00000000" w:rsidRPr="00405BDA" w:rsidP="00405BDA">
      <w:pPr>
        <w:pStyle w:val="ListBullet2"/>
      </w:pPr>
      <w:r w:rsidRPr="00405BDA">
        <w:t>scenarios that involve complex interactions with other people.</w:t>
      </w:r>
    </w:p>
    <w:p w:rsidR="00000000" w:rsidRPr="00405BDA" w:rsidP="00405BDA">
      <w:pPr>
        <w:pStyle w:val="BodyText"/>
      </w:pPr>
    </w:p>
    <w:p w:rsidR="00000000" w:rsidRPr="00405BDA" w:rsidP="00F24CD2">
      <w:pPr>
        <w:pStyle w:val="BodyText"/>
      </w:pPr>
      <w:r w:rsidRPr="00405BDA">
        <w:t>Assessors must s</w:t>
      </w:r>
      <w:r w:rsidRPr="00405BDA">
        <w:t>atisfy the Standards for Registered Training Organisations (RTOs) 2015/AQTF mandatory competency requirements for assessors.</w:t>
      </w:r>
    </w:p>
    <w:p w:rsidR="00000000" w:rsidRPr="00405BDA" w:rsidP="00405BDA">
      <w:pPr>
        <w:pStyle w:val="Heading1"/>
      </w:pPr>
      <w:bookmarkStart w:id="5" w:name="O_815133"/>
      <w:bookmarkEnd w:id="5"/>
      <w:r w:rsidRPr="00405BDA">
        <w:t>Links</w:t>
      </w:r>
    </w:p>
    <w:p w:rsidR="00000000" w:rsidRPr="00405BDA" w:rsidP="00F24CD2">
      <w:pPr>
        <w:pStyle w:val="BodyText"/>
      </w:pPr>
      <w:r w:rsidRPr="00405B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E2027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405BDA" w:rsidP="00405BDA"/>
    <w:sectPr w:rsidSect="00405BD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DA" w:rsidRPr="00F24CD2" w:rsidP="00F24C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2" w:rsidP="00405B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4CD2" w:rsidP="00405B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4CD2" w:rsidP="00405B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BDA" w:rsidRPr="00F24CD2" w:rsidP="00F24C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B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4CD2" w:rsidRPr="002D2AF8" w:rsidP="00405B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CHCGMB001 Assess the needs of clients with problem gambling issues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F24CD2" w:rsidP="00405B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8F639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92CE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ACF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B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B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B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B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B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B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B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B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B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B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B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BDA"/>
  </w:style>
  <w:style w:type="character" w:customStyle="1" w:styleId="Heading1Char">
    <w:name w:val="Heading 1 Char"/>
    <w:basedOn w:val="DefaultParagraphFont"/>
    <w:link w:val="Heading1"/>
    <w:rsid w:val="00405B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B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B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BD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BDA"/>
    <w:rPr>
      <w:b/>
      <w:spacing w:val="0"/>
    </w:rPr>
  </w:style>
  <w:style w:type="paragraph" w:styleId="ListBullet2">
    <w:name w:val="List Bullet 2"/>
    <w:basedOn w:val="List2"/>
    <w:rsid w:val="00405BD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05BDA"/>
    <w:rPr>
      <w:i/>
    </w:rPr>
  </w:style>
  <w:style w:type="paragraph" w:customStyle="1" w:styleId="SuperHeading">
    <w:name w:val="SuperHeading"/>
    <w:basedOn w:val="Normal"/>
    <w:rsid w:val="00405B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B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05BD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05B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B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B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B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B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B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B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B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B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B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B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B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B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B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B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B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B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B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B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B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B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5B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B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B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B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B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B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B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B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BD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5B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B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B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BDA"/>
  </w:style>
  <w:style w:type="paragraph" w:styleId="TableofFigures">
    <w:name w:val="table of figures"/>
    <w:basedOn w:val="Normal"/>
    <w:next w:val="Normal"/>
    <w:semiHidden/>
    <w:rsid w:val="00405B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BD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05BDA"/>
    <w:rPr>
      <w:rFonts w:ascii="Wingdings" w:hAnsi="Wingdings"/>
    </w:rPr>
  </w:style>
  <w:style w:type="paragraph" w:customStyle="1" w:styleId="TableHeading">
    <w:name w:val="Table Heading"/>
    <w:basedOn w:val="HeadingBase"/>
    <w:rsid w:val="00405B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BDA"/>
    <w:rPr>
      <w:color w:val="0033CC"/>
      <w:u w:val="none"/>
    </w:rPr>
  </w:style>
  <w:style w:type="paragraph" w:customStyle="1" w:styleId="BodyTextRight">
    <w:name w:val="Body Text Right"/>
    <w:basedOn w:val="BodyText"/>
    <w:rsid w:val="00405B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B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BD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B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B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B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BDA"/>
    <w:rPr>
      <w:sz w:val="32"/>
    </w:rPr>
  </w:style>
  <w:style w:type="paragraph" w:customStyle="1" w:styleId="HeadingProcedure">
    <w:name w:val="Heading Procedure"/>
    <w:basedOn w:val="HeadingBase"/>
    <w:next w:val="Normal"/>
    <w:rsid w:val="00405B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BDA"/>
    <w:pPr>
      <w:spacing w:before="60" w:after="60"/>
    </w:pPr>
  </w:style>
  <w:style w:type="paragraph" w:styleId="ListContinue">
    <w:name w:val="List Continue"/>
    <w:basedOn w:val="List"/>
    <w:rsid w:val="00405BDA"/>
    <w:pPr>
      <w:ind w:firstLine="0"/>
    </w:pPr>
  </w:style>
  <w:style w:type="paragraph" w:customStyle="1" w:styleId="ListNote">
    <w:name w:val="List Note"/>
    <w:basedOn w:val="List"/>
    <w:rsid w:val="00405B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B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B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BDA"/>
    <w:rPr>
      <w:rFonts w:ascii="Courier New" w:hAnsi="Courier New"/>
    </w:rPr>
  </w:style>
  <w:style w:type="paragraph" w:customStyle="1" w:styleId="NoteBullet">
    <w:name w:val="Note Bullet"/>
    <w:basedOn w:val="Note"/>
    <w:rsid w:val="00405B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B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B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B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BD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05B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B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BDA"/>
    <w:rPr>
      <w:b/>
      <w:smallCaps/>
    </w:rPr>
  </w:style>
  <w:style w:type="paragraph" w:customStyle="1" w:styleId="TableListNumber">
    <w:name w:val="Table List Number"/>
    <w:basedOn w:val="ListNumber"/>
    <w:rsid w:val="00405B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B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BDA"/>
    <w:pPr>
      <w:numPr>
        <w:numId w:val="10"/>
      </w:numPr>
    </w:pPr>
  </w:style>
  <w:style w:type="paragraph" w:customStyle="1" w:styleId="ListAlpha2">
    <w:name w:val="List Alpha 2"/>
    <w:basedOn w:val="List2"/>
    <w:rsid w:val="00405BDA"/>
    <w:pPr>
      <w:numPr>
        <w:numId w:val="9"/>
      </w:numPr>
    </w:pPr>
  </w:style>
  <w:style w:type="paragraph" w:styleId="List2">
    <w:name w:val="List 2"/>
    <w:basedOn w:val="BodyText"/>
    <w:rsid w:val="00405B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B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B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BD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05BD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05BDA"/>
    <w:pPr>
      <w:numPr>
        <w:numId w:val="5"/>
      </w:numPr>
    </w:pPr>
  </w:style>
  <w:style w:type="paragraph" w:styleId="ListContinue2">
    <w:name w:val="List Continue 2"/>
    <w:basedOn w:val="List2"/>
    <w:rsid w:val="00405BDA"/>
    <w:pPr>
      <w:ind w:firstLine="0"/>
    </w:pPr>
  </w:style>
  <w:style w:type="paragraph" w:styleId="ListContinue3">
    <w:name w:val="List Continue 3"/>
    <w:basedOn w:val="List3"/>
    <w:rsid w:val="00405BDA"/>
    <w:pPr>
      <w:ind w:left="1021" w:firstLine="0"/>
    </w:pPr>
  </w:style>
  <w:style w:type="paragraph" w:styleId="ListContinue4">
    <w:name w:val="List Continue 4"/>
    <w:basedOn w:val="List4"/>
    <w:rsid w:val="00405BDA"/>
    <w:pPr>
      <w:ind w:firstLine="0"/>
    </w:pPr>
  </w:style>
  <w:style w:type="paragraph" w:styleId="ListContinue5">
    <w:name w:val="List Continue 5"/>
    <w:basedOn w:val="List5"/>
    <w:rsid w:val="00405BDA"/>
    <w:pPr>
      <w:ind w:firstLine="0"/>
    </w:pPr>
  </w:style>
  <w:style w:type="paragraph" w:styleId="ListNumber3">
    <w:name w:val="List Number 3"/>
    <w:basedOn w:val="List3"/>
    <w:rsid w:val="00405BDA"/>
    <w:pPr>
      <w:numPr>
        <w:numId w:val="6"/>
      </w:numPr>
    </w:pPr>
  </w:style>
  <w:style w:type="paragraph" w:styleId="ListNumber4">
    <w:name w:val="List Number 4"/>
    <w:basedOn w:val="List4"/>
    <w:rsid w:val="00405BDA"/>
    <w:pPr>
      <w:numPr>
        <w:numId w:val="7"/>
      </w:numPr>
    </w:pPr>
  </w:style>
  <w:style w:type="paragraph" w:styleId="ListNumber5">
    <w:name w:val="List Number 5"/>
    <w:basedOn w:val="List5"/>
    <w:rsid w:val="00405BDA"/>
    <w:pPr>
      <w:numPr>
        <w:numId w:val="8"/>
      </w:numPr>
    </w:pPr>
  </w:style>
  <w:style w:type="paragraph" w:styleId="BlockText">
    <w:name w:val="Block Text"/>
    <w:basedOn w:val="Normal"/>
    <w:rsid w:val="00405B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B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BDA"/>
    <w:rPr>
      <w:sz w:val="16"/>
      <w:vertAlign w:val="superscript"/>
    </w:rPr>
  </w:style>
  <w:style w:type="character" w:customStyle="1" w:styleId="Symbols">
    <w:name w:val="Symbols"/>
    <w:basedOn w:val="DefaultParagraphFont"/>
    <w:rsid w:val="00405BDA"/>
    <w:rPr>
      <w:rFonts w:ascii="Symbol" w:hAnsi="Symbol"/>
    </w:rPr>
  </w:style>
  <w:style w:type="character" w:customStyle="1" w:styleId="MenuOptions">
    <w:name w:val="Menu Options"/>
    <w:basedOn w:val="DefaultParagraphFont"/>
    <w:rsid w:val="00405B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BDA"/>
    <w:rPr>
      <w:b/>
    </w:rPr>
  </w:style>
  <w:style w:type="character" w:customStyle="1" w:styleId="Underlined">
    <w:name w:val="Underlined"/>
    <w:basedOn w:val="DefaultParagraphFont"/>
    <w:rsid w:val="00405BDA"/>
    <w:rPr>
      <w:u w:val="single"/>
    </w:rPr>
  </w:style>
  <w:style w:type="paragraph" w:customStyle="1" w:styleId="TableBodyTextRight">
    <w:name w:val="Table Body Text Right"/>
    <w:basedOn w:val="TableBodyText"/>
    <w:rsid w:val="00405B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BDA"/>
    <w:rPr>
      <w:sz w:val="18"/>
    </w:rPr>
  </w:style>
  <w:style w:type="paragraph" w:customStyle="1" w:styleId="BodySmallRight">
    <w:name w:val="Body Small Right"/>
    <w:basedOn w:val="BodyTextRight"/>
    <w:rsid w:val="00405BDA"/>
    <w:rPr>
      <w:sz w:val="18"/>
      <w:szCs w:val="18"/>
    </w:rPr>
  </w:style>
  <w:style w:type="paragraph" w:customStyle="1" w:styleId="MarginEdition">
    <w:name w:val="Margin Edition"/>
    <w:basedOn w:val="MarginNote"/>
    <w:rsid w:val="00405B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BDA"/>
    <w:rPr>
      <w:sz w:val="2"/>
      <w:szCs w:val="2"/>
    </w:rPr>
  </w:style>
  <w:style w:type="character" w:customStyle="1" w:styleId="Small">
    <w:name w:val="Small"/>
    <w:basedOn w:val="DefaultParagraphFont"/>
    <w:rsid w:val="00405BDA"/>
    <w:rPr>
      <w:sz w:val="16"/>
    </w:rPr>
  </w:style>
  <w:style w:type="paragraph" w:customStyle="1" w:styleId="WideTable">
    <w:name w:val="Wide Table"/>
    <w:basedOn w:val="Normal"/>
    <w:rsid w:val="00405B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BDA"/>
  </w:style>
  <w:style w:type="paragraph" w:styleId="Quote">
    <w:name w:val="Quote"/>
    <w:basedOn w:val="Heading1"/>
    <w:link w:val="QuoteChar"/>
    <w:qFormat/>
    <w:rsid w:val="00405B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B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BDA"/>
    <w:pPr>
      <w:pageBreakBefore/>
    </w:pPr>
  </w:style>
  <w:style w:type="paragraph" w:customStyle="1" w:styleId="Border">
    <w:name w:val="Border"/>
    <w:basedOn w:val="Normal"/>
    <w:qFormat/>
    <w:rsid w:val="00405B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B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B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B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B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B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B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B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B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BDA"/>
    <w:rPr>
      <w:u w:val="single"/>
    </w:rPr>
  </w:style>
  <w:style w:type="character" w:customStyle="1" w:styleId="BoldandItalics">
    <w:name w:val="Bold and Italics"/>
    <w:qFormat/>
    <w:rsid w:val="00405BDA"/>
    <w:rPr>
      <w:b/>
      <w:i/>
      <w:u w:val="none"/>
    </w:rPr>
  </w:style>
  <w:style w:type="paragraph" w:styleId="BalloonText">
    <w:name w:val="Balloon Text"/>
    <w:basedOn w:val="Normal"/>
    <w:link w:val="BalloonTextChar"/>
    <w:rsid w:val="00405B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B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B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B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B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B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BDA"/>
    <w:pPr>
      <w:spacing w:before="0" w:after="0"/>
    </w:pPr>
  </w:style>
  <w:style w:type="paragraph" w:customStyle="1" w:styleId="BodyTextBold">
    <w:name w:val="Body Text Bold"/>
    <w:basedOn w:val="BodyText"/>
    <w:qFormat/>
    <w:rsid w:val="00405BDA"/>
    <w:rPr>
      <w:b/>
    </w:rPr>
  </w:style>
  <w:style w:type="character" w:styleId="Hyperlink">
    <w:name w:val="Hyperlink"/>
    <w:basedOn w:val="DefaultParagraphFont"/>
    <w:uiPriority w:val="99"/>
    <w:unhideWhenUsed/>
    <w:rsid w:val="00F24C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715</Words>
  <Characters>4814</Characters>
  <Application>Microsoft Office Word</Application>
  <DocSecurity>0</DocSecurity>
  <Lines>141</Lines>
  <Paragraphs>128</Paragraphs>
  <ScaleCrop>false</ScaleCrop>
  <Company>Author-it Software Corporation Ltd.</Company>
  <LinksUpToDate>false</LinksUpToDate>
  <CharactersWithSpaces>5401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CHCGMB001 Assess the needs of clients with problem gambling issues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2023-07-02T02:19:00Z</dcterms:created>
  <dcterms:modified xsi:type="dcterms:W3CDTF">2023-07-02T02:19:00Z</dcterms:modified>
</cp:coreProperties>
</file>