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179E" w:rsidP="003E17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CHCFIN009 Provide financial counselling and systemic advocacy within a social justice framework</w:t>
      </w:r>
      <w:r>
        <w:fldChar w:fldCharType="end"/>
      </w:r>
    </w:p>
    <w:p w:rsidR="003E179E" w:rsidP="003E179E">
      <w:pPr>
        <w:pStyle w:val="Version"/>
        <w:sectPr w:rsidSect="00E04F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4F18" w:rsidP="00E04F18">
      <w:pPr>
        <w:pStyle w:val="SuperHeading"/>
      </w:pPr>
      <w:r w:rsidRPr="00E04F18">
        <w:t>Assessment Requirements for CHCFIN009 Provide financial counselling and systemic advocacy within a social justice framework</w:t>
      </w:r>
    </w:p>
    <w:p w:rsidR="00000000" w:rsidRPr="00E04F18" w:rsidP="00E04F18">
      <w:pPr>
        <w:pStyle w:val="Heading1"/>
      </w:pPr>
      <w:bookmarkStart w:id="1" w:name="O_1279884"/>
      <w:bookmarkEnd w:id="1"/>
      <w:r w:rsidRPr="00E04F18">
        <w:t>Modification History</w:t>
      </w:r>
    </w:p>
    <w:p w:rsidR="00000000" w:rsidRPr="00E04F18" w:rsidP="003E179E">
      <w:pPr>
        <w:pStyle w:val="BodyText"/>
      </w:pPr>
      <w:r w:rsidRPr="00E04F18">
        <w:t>Not applicable.</w:t>
      </w:r>
    </w:p>
    <w:p w:rsidR="00000000" w:rsidRPr="00E04F18" w:rsidP="00E04F18">
      <w:pPr>
        <w:pStyle w:val="Heading1"/>
      </w:pPr>
      <w:bookmarkStart w:id="2" w:name="O_1279885"/>
      <w:bookmarkEnd w:id="2"/>
      <w:r w:rsidRPr="00E04F18">
        <w:t>Performance Evidence</w:t>
      </w:r>
    </w:p>
    <w:p w:rsidR="00000000" w:rsidRPr="00E04F18" w:rsidP="003E179E">
      <w:pPr>
        <w:pStyle w:val="BodyText"/>
      </w:pPr>
      <w:r w:rsidRPr="00E04F18">
        <w:t>Evidence of the ability to complete tasks outlined in elements and performance criteria of this unit in the context of the job role, and:</w:t>
      </w:r>
    </w:p>
    <w:p w:rsidR="00000000" w:rsidRPr="00E04F18" w:rsidP="00E04F18">
      <w:pPr>
        <w:pStyle w:val="ListBullet"/>
      </w:pPr>
      <w:r w:rsidRPr="00E04F18">
        <w:t>document one case study for use in systemic advocacy including:</w:t>
      </w:r>
    </w:p>
    <w:p w:rsidR="00000000" w:rsidRPr="00E04F18" w:rsidP="00E04F18">
      <w:pPr>
        <w:pStyle w:val="ListBullet2"/>
      </w:pPr>
      <w:r w:rsidRPr="00E04F18">
        <w:t>overview of client circumstances</w:t>
      </w:r>
    </w:p>
    <w:p w:rsidR="00000000" w:rsidRPr="00E04F18" w:rsidP="00E04F18">
      <w:pPr>
        <w:pStyle w:val="ListBullet2"/>
      </w:pPr>
      <w:r w:rsidRPr="00E04F18">
        <w:t>explanation of syst</w:t>
      </w:r>
      <w:r w:rsidRPr="00E04F18">
        <w:t>emic issue</w:t>
      </w:r>
    </w:p>
    <w:p w:rsidR="00000000" w:rsidRPr="00E04F18" w:rsidP="00E04F18">
      <w:pPr>
        <w:pStyle w:val="ListBullet2"/>
      </w:pPr>
      <w:r w:rsidRPr="00E04F18">
        <w:t>target audience for advocacy</w:t>
      </w:r>
    </w:p>
    <w:p w:rsidR="00000000" w:rsidRPr="00E04F18" w:rsidP="00E04F18">
      <w:pPr>
        <w:pStyle w:val="ListBullet2"/>
      </w:pPr>
      <w:r w:rsidRPr="00E04F18">
        <w:t>written evidence for complaint</w:t>
      </w:r>
    </w:p>
    <w:p w:rsidR="00000000" w:rsidRPr="00E04F18" w:rsidP="00E04F18">
      <w:pPr>
        <w:pStyle w:val="ListBullet"/>
      </w:pPr>
      <w:r w:rsidRPr="00E04F18">
        <w:t>perform the activities outlined in the performance criteria of this unit during a period of 220 hours of work in a financial counselling agency that has met the requirements for the Au</w:t>
      </w:r>
      <w:r w:rsidRPr="00E04F18">
        <w:t>stralian Securities and Investments Commission (ASIC) exemptions from holding a financial services or credit licence or in an appropriate simulated environment. These 220 hours may be applied collectively across all units of competency that include the req</w:t>
      </w:r>
      <w:r w:rsidRPr="00E04F18">
        <w:t>uirement for workplace hours for the purposes of assessment.</w:t>
      </w:r>
    </w:p>
    <w:p w:rsidR="00000000" w:rsidRPr="00E04F18" w:rsidP="00E04F18">
      <w:pPr>
        <w:pStyle w:val="AllowPageBreak"/>
      </w:pPr>
    </w:p>
    <w:p w:rsidR="00000000" w:rsidRPr="00E04F18" w:rsidP="00E04F18">
      <w:pPr>
        <w:pStyle w:val="Heading1"/>
      </w:pPr>
      <w:bookmarkStart w:id="3" w:name="O_1279886"/>
      <w:bookmarkEnd w:id="3"/>
      <w:r w:rsidRPr="00E04F18">
        <w:t>Knowledge Evidence</w:t>
      </w:r>
    </w:p>
    <w:p w:rsidR="00000000" w:rsidRPr="00E04F18" w:rsidP="003E179E">
      <w:pPr>
        <w:pStyle w:val="BodyText"/>
      </w:pPr>
      <w:r w:rsidRPr="00E04F18">
        <w:t>Demonstrated knowledge required to complete the tasks outlined in elements and performance criteria of this unit:</w:t>
      </w:r>
    </w:p>
    <w:p w:rsidR="00000000" w:rsidRPr="00E04F18" w:rsidP="00E04F18">
      <w:pPr>
        <w:pStyle w:val="ListBullet"/>
      </w:pPr>
      <w:r w:rsidRPr="00E04F18">
        <w:t xml:space="preserve">social justice framework, including:  </w:t>
      </w:r>
    </w:p>
    <w:p w:rsidR="00000000" w:rsidRPr="00E04F18" w:rsidP="00E04F18">
      <w:pPr>
        <w:pStyle w:val="ListBullet2"/>
      </w:pPr>
      <w:r w:rsidRPr="00E04F18">
        <w:t xml:space="preserve">understanding systemic causes of inequality </w:t>
      </w:r>
    </w:p>
    <w:p w:rsidR="00000000" w:rsidRPr="00E04F18" w:rsidP="00E04F18">
      <w:pPr>
        <w:pStyle w:val="ListBullet"/>
      </w:pPr>
      <w:r w:rsidRPr="00E04F18">
        <w:t xml:space="preserve">being aware of the impact of structures of power on vulnerable people: </w:t>
      </w:r>
    </w:p>
    <w:p w:rsidR="00000000" w:rsidRPr="00E04F18" w:rsidP="00E04F18">
      <w:pPr>
        <w:pStyle w:val="ListBullet2"/>
      </w:pPr>
      <w:r w:rsidRPr="00E04F18">
        <w:t xml:space="preserve">intergenerational trauma </w:t>
      </w:r>
    </w:p>
    <w:p w:rsidR="00000000" w:rsidRPr="00E04F18" w:rsidP="00E04F18">
      <w:pPr>
        <w:pStyle w:val="ListBullet2"/>
      </w:pPr>
      <w:r w:rsidRPr="00E04F18">
        <w:t>decision making under scarcity</w:t>
      </w:r>
    </w:p>
    <w:p w:rsidR="00000000" w:rsidRPr="00E04F18" w:rsidP="00E04F18">
      <w:pPr>
        <w:pStyle w:val="ListBullet"/>
      </w:pPr>
      <w:r w:rsidRPr="00E04F18">
        <w:t>history of the financial counselling sector:</w:t>
      </w:r>
    </w:p>
    <w:p w:rsidR="00000000" w:rsidRPr="00E04F18" w:rsidP="00E04F18">
      <w:pPr>
        <w:pStyle w:val="ListBullet2"/>
      </w:pPr>
      <w:r w:rsidRPr="00E04F18">
        <w:t>social justice beginnings</w:t>
      </w:r>
    </w:p>
    <w:p w:rsidR="00000000" w:rsidRPr="00E04F18" w:rsidP="00E04F18">
      <w:pPr>
        <w:pStyle w:val="ListBullet2"/>
      </w:pPr>
      <w:r w:rsidRPr="00E04F18">
        <w:t>campaig</w:t>
      </w:r>
      <w:r w:rsidRPr="00E04F18">
        <w:t>ns for change</w:t>
      </w:r>
    </w:p>
    <w:p w:rsidR="00000000" w:rsidRPr="00E04F18" w:rsidP="00E04F18">
      <w:pPr>
        <w:pStyle w:val="ListBullet"/>
      </w:pPr>
      <w:r w:rsidRPr="00E04F18">
        <w:t>Australian Financial Counselling Code of Ethical Practice</w:t>
      </w:r>
    </w:p>
    <w:p w:rsidR="00000000" w:rsidRPr="00E04F18" w:rsidP="00E04F18">
      <w:pPr>
        <w:pStyle w:val="ListBullet"/>
      </w:pPr>
      <w:r w:rsidRPr="00E04F18">
        <w:t>trauma informed practice</w:t>
      </w:r>
    </w:p>
    <w:p w:rsidR="00000000" w:rsidRPr="00E04F18" w:rsidP="00E04F18">
      <w:pPr>
        <w:pStyle w:val="ListBullet"/>
      </w:pPr>
      <w:r w:rsidRPr="00E04F18">
        <w:t>client-centred, strengths-based approaches to financial counselling and other models consistent with these approaches</w:t>
      </w:r>
    </w:p>
    <w:p w:rsidR="00000000" w:rsidRPr="00E04F18" w:rsidP="00E04F18">
      <w:pPr>
        <w:pStyle w:val="ListBullet"/>
      </w:pPr>
      <w:r w:rsidRPr="00E04F18">
        <w:t>work health and safety</w:t>
      </w:r>
    </w:p>
    <w:p w:rsidR="00000000" w:rsidRPr="00E04F18" w:rsidP="00E04F18">
      <w:pPr>
        <w:pStyle w:val="ListBullet"/>
      </w:pPr>
      <w:r w:rsidRPr="00E04F18">
        <w:t>scope and limitat</w:t>
      </w:r>
      <w:r w:rsidRPr="00E04F18">
        <w:t>ions of the financial counselling role</w:t>
      </w:r>
    </w:p>
    <w:p w:rsidR="00000000" w:rsidRPr="00E04F18" w:rsidP="00E04F18">
      <w:pPr>
        <w:pStyle w:val="ListBullet"/>
      </w:pPr>
      <w:r w:rsidRPr="00E04F18">
        <w:t>practitioner and client boundaries, particularly with regard to the provision of therapeutic counselling</w:t>
      </w:r>
    </w:p>
    <w:p w:rsidR="00000000" w:rsidRPr="00E04F18" w:rsidP="00E04F18">
      <w:pPr>
        <w:pStyle w:val="ListBullet"/>
      </w:pPr>
      <w:r w:rsidRPr="00E04F18">
        <w:t>models for self-care</w:t>
      </w:r>
    </w:p>
    <w:p w:rsidR="00000000" w:rsidRPr="00E04F18" w:rsidP="00E04F18">
      <w:pPr>
        <w:pStyle w:val="ListBullet"/>
      </w:pPr>
      <w:r w:rsidRPr="00E04F18">
        <w:t>indicators of the presence of systemic issues, including:</w:t>
      </w:r>
    </w:p>
    <w:p w:rsidR="00000000" w:rsidRPr="00E04F18" w:rsidP="00E04F18">
      <w:pPr>
        <w:pStyle w:val="ListBullet2"/>
      </w:pPr>
      <w:r w:rsidRPr="00E04F18">
        <w:t>unfair outcomes permitted by existing systems</w:t>
      </w:r>
    </w:p>
    <w:p w:rsidR="00000000" w:rsidRPr="00E04F18" w:rsidP="00E04F18">
      <w:pPr>
        <w:pStyle w:val="ListBullet2"/>
      </w:pPr>
      <w:r w:rsidRPr="00E04F18">
        <w:t>patterns of poor outcomes associated with creditors, organisations, industry or government</w:t>
      </w:r>
    </w:p>
    <w:p w:rsidR="00000000" w:rsidRPr="00E04F18" w:rsidP="00E04F18">
      <w:pPr>
        <w:pStyle w:val="ListBullet2"/>
      </w:pPr>
      <w:r w:rsidRPr="00E04F18">
        <w:t>poor outcomes for clients associated with new products</w:t>
      </w:r>
    </w:p>
    <w:p w:rsidR="00000000" w:rsidRPr="00E04F18" w:rsidP="00E04F18">
      <w:pPr>
        <w:pStyle w:val="ListBullet2"/>
      </w:pPr>
      <w:r w:rsidRPr="00E04F18">
        <w:t>reports from industry or regulators</w:t>
      </w:r>
    </w:p>
    <w:p w:rsidR="00000000" w:rsidRPr="00E04F18" w:rsidP="00E04F18">
      <w:pPr>
        <w:pStyle w:val="ListBullet2"/>
      </w:pPr>
      <w:r w:rsidRPr="00E04F18">
        <w:t>identification of structures</w:t>
      </w:r>
      <w:r w:rsidRPr="00E04F18">
        <w:t xml:space="preserve"> which adversely affect positive client outcomes</w:t>
      </w:r>
    </w:p>
    <w:p w:rsidR="00000000" w:rsidRPr="00E04F18" w:rsidP="00E04F18">
      <w:pPr>
        <w:pStyle w:val="ListBullet"/>
      </w:pPr>
      <w:r w:rsidRPr="00E04F18">
        <w:t>structure and role of peak industry bodies in the financial counselling sector</w:t>
      </w:r>
    </w:p>
    <w:p w:rsidR="00000000" w:rsidRPr="00E04F18" w:rsidP="00E04F18">
      <w:pPr>
        <w:pStyle w:val="ListBullet"/>
      </w:pPr>
      <w:r w:rsidRPr="00E04F18">
        <w:t>stakeholders who play a role in systemic advocacy, including:</w:t>
      </w:r>
    </w:p>
    <w:p w:rsidR="00000000" w:rsidRPr="00E04F18" w:rsidP="00E04F18">
      <w:pPr>
        <w:pStyle w:val="ListBullet2"/>
      </w:pPr>
      <w:r w:rsidRPr="00E04F18">
        <w:t>governments</w:t>
      </w:r>
    </w:p>
    <w:p w:rsidR="00000000" w:rsidRPr="00E04F18" w:rsidP="00E04F18">
      <w:pPr>
        <w:pStyle w:val="ListBullet2"/>
      </w:pPr>
      <w:r w:rsidRPr="00E04F18">
        <w:t>regulators with a consumer protection remit</w:t>
      </w:r>
    </w:p>
    <w:p w:rsidR="00000000" w:rsidRPr="00E04F18" w:rsidP="00E04F18">
      <w:pPr>
        <w:pStyle w:val="ListBullet2"/>
      </w:pPr>
      <w:r w:rsidRPr="00E04F18">
        <w:t>local MP</w:t>
      </w:r>
    </w:p>
    <w:p w:rsidR="00000000" w:rsidRPr="00E04F18" w:rsidP="00E04F18">
      <w:pPr>
        <w:pStyle w:val="ListBullet2"/>
      </w:pPr>
      <w:r w:rsidRPr="00E04F18">
        <w:t>media</w:t>
      </w:r>
    </w:p>
    <w:p w:rsidR="00000000" w:rsidRPr="00E04F18" w:rsidP="00E04F18">
      <w:pPr>
        <w:pStyle w:val="ListBullet2"/>
      </w:pPr>
      <w:r w:rsidRPr="00E04F18">
        <w:t>peak industry bodies</w:t>
      </w:r>
    </w:p>
    <w:p w:rsidR="00000000" w:rsidRPr="00E04F18" w:rsidP="00E04F18">
      <w:pPr>
        <w:pStyle w:val="ListBullet"/>
      </w:pPr>
      <w:r w:rsidRPr="00E04F18">
        <w:t>procedures for making a complaint to regulators:</w:t>
      </w:r>
    </w:p>
    <w:p w:rsidR="00000000" w:rsidRPr="00E04F18" w:rsidP="00E04F18">
      <w:pPr>
        <w:pStyle w:val="ListBullet2"/>
      </w:pPr>
      <w:r w:rsidRPr="00E04F18">
        <w:t>the complaints process</w:t>
      </w:r>
    </w:p>
    <w:p w:rsidR="00000000" w:rsidRPr="00E04F18" w:rsidP="00E04F18">
      <w:pPr>
        <w:pStyle w:val="ListBullet2"/>
      </w:pPr>
      <w:r w:rsidRPr="00E04F18">
        <w:t>bodies to complain to</w:t>
      </w:r>
    </w:p>
    <w:p w:rsidR="00000000" w:rsidRPr="00E04F18" w:rsidP="00E04F18">
      <w:pPr>
        <w:pStyle w:val="ListBullet2"/>
      </w:pPr>
      <w:r w:rsidRPr="00E04F18">
        <w:t>how to draft a complaint to a regulator</w:t>
      </w:r>
    </w:p>
    <w:p w:rsidR="00000000" w:rsidRPr="00E04F18" w:rsidP="00E04F18">
      <w:pPr>
        <w:pStyle w:val="ListBullet2"/>
      </w:pPr>
      <w:r w:rsidRPr="00E04F18">
        <w:t>what evidence is required</w:t>
      </w:r>
    </w:p>
    <w:p w:rsidR="00000000" w:rsidRPr="00E04F18" w:rsidP="00E04F18">
      <w:pPr>
        <w:pStyle w:val="ListBullet2"/>
      </w:pPr>
      <w:r w:rsidRPr="00E04F18">
        <w:t>why this is important</w:t>
      </w:r>
    </w:p>
    <w:p w:rsidR="00000000" w:rsidRPr="00E04F18" w:rsidP="00E04F18">
      <w:pPr>
        <w:pStyle w:val="ListBullet"/>
      </w:pPr>
      <w:r w:rsidRPr="00E04F18">
        <w:t>aspects of informed consent, including:</w:t>
      </w:r>
    </w:p>
    <w:p w:rsidR="00000000" w:rsidRPr="00E04F18" w:rsidP="00E04F18">
      <w:pPr>
        <w:pStyle w:val="ListBullet2"/>
      </w:pPr>
      <w:r w:rsidRPr="00E04F18">
        <w:t>privacy statement</w:t>
      </w:r>
    </w:p>
    <w:p w:rsidR="00000000" w:rsidRPr="00E04F18" w:rsidP="00E04F18">
      <w:pPr>
        <w:pStyle w:val="ListBullet2"/>
      </w:pPr>
      <w:r w:rsidRPr="00E04F18">
        <w:t>checking for understanding</w:t>
      </w:r>
    </w:p>
    <w:p w:rsidR="00000000" w:rsidRPr="00E04F18" w:rsidP="00E04F18">
      <w:pPr>
        <w:pStyle w:val="ListBullet2"/>
      </w:pPr>
      <w:r w:rsidRPr="00E04F18">
        <w:t>varying or ending agreement</w:t>
      </w:r>
    </w:p>
    <w:p w:rsidR="00000000" w:rsidRPr="00E04F18" w:rsidP="00E04F18">
      <w:pPr>
        <w:pStyle w:val="ListBullet2"/>
      </w:pPr>
      <w:r w:rsidRPr="00E04F18">
        <w:t>third party authority forms</w:t>
      </w:r>
    </w:p>
    <w:p w:rsidR="00000000" w:rsidRPr="00E04F18" w:rsidP="00E04F18">
      <w:pPr>
        <w:pStyle w:val="ListBullet"/>
      </w:pPr>
      <w:r w:rsidRPr="00E04F18">
        <w:t>process for writing case studies that support systemic advocacy:</w:t>
      </w:r>
    </w:p>
    <w:p w:rsidR="00000000" w:rsidRPr="00E04F18" w:rsidP="00E04F18">
      <w:pPr>
        <w:pStyle w:val="ListBullet2"/>
      </w:pPr>
      <w:r w:rsidRPr="00E04F18">
        <w:t>targeting case study to appropriate recipient</w:t>
      </w:r>
    </w:p>
    <w:p w:rsidR="00000000" w:rsidRPr="00E04F18" w:rsidP="00E04F18">
      <w:pPr>
        <w:pStyle w:val="ListBullet2"/>
      </w:pPr>
      <w:r w:rsidRPr="00E04F18">
        <w:t>clearly stating the problem or systemic is</w:t>
      </w:r>
      <w:r w:rsidRPr="00E04F18">
        <w:t>sue</w:t>
      </w:r>
    </w:p>
    <w:p w:rsidR="00000000" w:rsidRPr="00E04F18" w:rsidP="00E04F18">
      <w:pPr>
        <w:pStyle w:val="ListBullet2"/>
      </w:pPr>
      <w:r w:rsidRPr="00E04F18">
        <w:t>providing details of client situation</w:t>
      </w:r>
    </w:p>
    <w:p w:rsidR="00000000" w:rsidRPr="00E04F18" w:rsidP="00E04F18">
      <w:pPr>
        <w:pStyle w:val="ListBullet2"/>
      </w:pPr>
      <w:r w:rsidRPr="00E04F18">
        <w:t>explaining the detrimental impact of the systemic issue on the financial and personal situation of client</w:t>
      </w:r>
    </w:p>
    <w:p w:rsidR="00000000" w:rsidRPr="00E04F18" w:rsidP="00E04F18">
      <w:pPr>
        <w:pStyle w:val="ListBullet2"/>
      </w:pPr>
      <w:r w:rsidRPr="00E04F18">
        <w:t>course of action that may address the issue</w:t>
      </w:r>
    </w:p>
    <w:p w:rsidR="00000000" w:rsidRPr="00E04F18" w:rsidP="00E04F18">
      <w:pPr>
        <w:pStyle w:val="ListBullet"/>
      </w:pPr>
      <w:r w:rsidRPr="00E04F18">
        <w:t>key sources of information and resources including:</w:t>
      </w:r>
    </w:p>
    <w:p w:rsidR="00000000" w:rsidRPr="00E04F18" w:rsidP="00E04F18">
      <w:pPr>
        <w:pStyle w:val="ListBullet2"/>
      </w:pPr>
      <w:r w:rsidRPr="00E04F18">
        <w:t>National Debt Helpline (NDH) website</w:t>
      </w:r>
    </w:p>
    <w:p w:rsidR="00000000" w:rsidRPr="00E04F18" w:rsidP="00E04F18">
      <w:pPr>
        <w:pStyle w:val="ListBullet2"/>
      </w:pPr>
      <w:r w:rsidRPr="00E04F18">
        <w:t>financial counselling peak body resources.</w:t>
      </w:r>
    </w:p>
    <w:p w:rsidR="00000000" w:rsidRPr="00E04F18" w:rsidP="00E04F18">
      <w:pPr>
        <w:pStyle w:val="AllowPageBreak"/>
      </w:pPr>
    </w:p>
    <w:p w:rsidR="00000000" w:rsidRPr="00E04F18" w:rsidP="00E04F18">
      <w:pPr>
        <w:pStyle w:val="Heading1"/>
      </w:pPr>
      <w:bookmarkStart w:id="4" w:name="O_1279887"/>
      <w:bookmarkEnd w:id="4"/>
      <w:r w:rsidRPr="00E04F18">
        <w:t>Assessment Conditions</w:t>
      </w:r>
    </w:p>
    <w:p w:rsidR="00000000" w:rsidRPr="00E04F18" w:rsidP="003E179E">
      <w:pPr>
        <w:pStyle w:val="BodyText"/>
      </w:pPr>
      <w:r w:rsidRPr="00E04F18">
        <w:t>Skills must be demonstrated in the workplace or a simulated workplace environment. Where a simulated environment is used for the purpos</w:t>
      </w:r>
      <w:r w:rsidRPr="00E04F18">
        <w:t>es of assessment, simulations and scenarios must be included that provide the full range of context and situations that would occur in the workplace.</w:t>
      </w:r>
    </w:p>
    <w:p w:rsidR="00000000" w:rsidRPr="00E04F18" w:rsidP="003E179E">
      <w:pPr>
        <w:pStyle w:val="BodyText"/>
      </w:pPr>
      <w:r w:rsidRPr="00E04F18">
        <w:t>Assessment must ensure access to:</w:t>
      </w:r>
    </w:p>
    <w:p w:rsidR="00000000" w:rsidRPr="00E04F18" w:rsidP="00E04F18">
      <w:pPr>
        <w:pStyle w:val="ListBullet"/>
      </w:pPr>
      <w:r w:rsidRPr="00E04F18">
        <w:t>suitable facilities, equipment and resources, including:</w:t>
      </w:r>
    </w:p>
    <w:p w:rsidR="00000000" w:rsidRPr="00E04F18" w:rsidP="00E04F18">
      <w:pPr>
        <w:pStyle w:val="ListBullet2"/>
      </w:pPr>
      <w:r w:rsidRPr="00E04F18">
        <w:t>client inform</w:t>
      </w:r>
      <w:r w:rsidRPr="00E04F18">
        <w:t>ation</w:t>
      </w:r>
    </w:p>
    <w:p w:rsidR="00000000" w:rsidRPr="00E04F18" w:rsidP="00E04F18">
      <w:pPr>
        <w:pStyle w:val="ListBullet2"/>
      </w:pPr>
      <w:r w:rsidRPr="00E04F18">
        <w:t>organisational policies, procedures and resources</w:t>
      </w:r>
    </w:p>
    <w:p w:rsidR="00000000" w:rsidRPr="00E04F18" w:rsidP="00E04F18">
      <w:pPr>
        <w:pStyle w:val="ListBullet2"/>
      </w:pPr>
      <w:r w:rsidRPr="00E04F18">
        <w:t>interactions with clients</w:t>
      </w:r>
    </w:p>
    <w:p w:rsidR="00000000" w:rsidRPr="00E04F18" w:rsidP="00E04F18">
      <w:pPr>
        <w:pStyle w:val="ListBullet2"/>
      </w:pPr>
      <w:r w:rsidRPr="00E04F18">
        <w:t>where necessary - scenarios and case studies that that involve complex financial situations and problem solving</w:t>
      </w:r>
    </w:p>
    <w:p w:rsidR="00000000" w:rsidRPr="00E04F18" w:rsidP="00E04F18">
      <w:pPr>
        <w:pStyle w:val="ListBullet2"/>
      </w:pPr>
      <w:r w:rsidRPr="00E04F18">
        <w:t>interaction with other people.</w:t>
      </w:r>
    </w:p>
    <w:p w:rsidR="00000000" w:rsidRPr="00E04F18" w:rsidP="003E179E">
      <w:pPr>
        <w:pStyle w:val="BodyText"/>
      </w:pPr>
      <w:r w:rsidRPr="00E04F18">
        <w:t>Assessors must satisfy the Standards for Registered Training Organisations’ requirements for assessors.</w:t>
      </w:r>
    </w:p>
    <w:p w:rsidR="00000000" w:rsidRPr="00E04F18" w:rsidP="00E04F18">
      <w:pPr>
        <w:pStyle w:val="Heading1"/>
      </w:pPr>
      <w:bookmarkStart w:id="5" w:name="O_1279890"/>
      <w:bookmarkEnd w:id="5"/>
      <w:r w:rsidRPr="00E04F18">
        <w:t>Links</w:t>
      </w:r>
    </w:p>
    <w:p w:rsidR="00000000" w:rsidRPr="00E04F18" w:rsidP="003E179E">
      <w:pPr>
        <w:pStyle w:val="BodyText"/>
      </w:pPr>
      <w:r w:rsidRPr="00E04F1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F352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04F18" w:rsidP="00E04F18"/>
    <w:sectPr w:rsidSect="00E04F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F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F18" w:rsidRPr="003E179E" w:rsidP="003E17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F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79E" w:rsidP="00E04F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179E" w:rsidP="00E04F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E179E" w:rsidP="00E04F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F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7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F18" w:rsidRPr="003E179E" w:rsidP="003E17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F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79E" w:rsidRPr="002D2AF8" w:rsidP="00E04F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CHCFIN009 Provide financial counselling and systemic advocacy within a social justice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E179E" w:rsidP="00E04F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140D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D6E9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B6D3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F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F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F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F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F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F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F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F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F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F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F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F18"/>
  </w:style>
  <w:style w:type="character" w:customStyle="1" w:styleId="Heading1Char">
    <w:name w:val="Heading 1 Char"/>
    <w:basedOn w:val="DefaultParagraphFont"/>
    <w:link w:val="Heading1"/>
    <w:rsid w:val="00E04F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F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F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4F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4F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4F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F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4F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F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F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F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F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F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F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F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F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F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F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F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F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F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F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F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F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4F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4F18"/>
    <w:rPr>
      <w:b/>
      <w:spacing w:val="0"/>
    </w:rPr>
  </w:style>
  <w:style w:type="paragraph" w:customStyle="1" w:styleId="SuperTitle">
    <w:name w:val="SuperTitle"/>
    <w:basedOn w:val="Title"/>
    <w:rsid w:val="00E04F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F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F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4F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F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F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F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F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F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F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F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F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4F18"/>
    <w:rPr>
      <w:i/>
    </w:rPr>
  </w:style>
  <w:style w:type="paragraph" w:styleId="Caption">
    <w:name w:val="caption"/>
    <w:basedOn w:val="BodyText"/>
    <w:next w:val="Normal"/>
    <w:qFormat/>
    <w:rsid w:val="00E04F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F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F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F18"/>
  </w:style>
  <w:style w:type="paragraph" w:styleId="TableofFigures">
    <w:name w:val="table of figures"/>
    <w:basedOn w:val="Normal"/>
    <w:next w:val="Normal"/>
    <w:semiHidden/>
    <w:rsid w:val="00E04F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F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4F18"/>
    <w:rPr>
      <w:rFonts w:ascii="Wingdings" w:hAnsi="Wingdings"/>
    </w:rPr>
  </w:style>
  <w:style w:type="paragraph" w:customStyle="1" w:styleId="TableHeading">
    <w:name w:val="Table Heading"/>
    <w:basedOn w:val="HeadingBase"/>
    <w:rsid w:val="00E04F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F18"/>
    <w:rPr>
      <w:color w:val="0033CC"/>
      <w:u w:val="none"/>
    </w:rPr>
  </w:style>
  <w:style w:type="paragraph" w:customStyle="1" w:styleId="BodyTextRight">
    <w:name w:val="Body Text Right"/>
    <w:basedOn w:val="BodyText"/>
    <w:rsid w:val="00E04F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F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F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F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F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F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F18"/>
    <w:rPr>
      <w:sz w:val="32"/>
    </w:rPr>
  </w:style>
  <w:style w:type="paragraph" w:customStyle="1" w:styleId="HeadingProcedure">
    <w:name w:val="Heading Procedure"/>
    <w:basedOn w:val="HeadingBase"/>
    <w:next w:val="Normal"/>
    <w:rsid w:val="00E04F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F18"/>
    <w:pPr>
      <w:spacing w:before="60" w:after="60"/>
    </w:pPr>
  </w:style>
  <w:style w:type="paragraph" w:styleId="ListContinue">
    <w:name w:val="List Continue"/>
    <w:basedOn w:val="List"/>
    <w:rsid w:val="00E04F18"/>
    <w:pPr>
      <w:ind w:firstLine="0"/>
    </w:pPr>
  </w:style>
  <w:style w:type="paragraph" w:customStyle="1" w:styleId="ListNote">
    <w:name w:val="List Note"/>
    <w:basedOn w:val="List"/>
    <w:rsid w:val="00E04F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F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F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F18"/>
    <w:rPr>
      <w:rFonts w:ascii="Courier New" w:hAnsi="Courier New"/>
    </w:rPr>
  </w:style>
  <w:style w:type="paragraph" w:customStyle="1" w:styleId="NoteBullet">
    <w:name w:val="Note Bullet"/>
    <w:basedOn w:val="Note"/>
    <w:rsid w:val="00E04F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F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F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F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F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4F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F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F18"/>
    <w:rPr>
      <w:b/>
      <w:smallCaps/>
    </w:rPr>
  </w:style>
  <w:style w:type="paragraph" w:customStyle="1" w:styleId="TableListNumber">
    <w:name w:val="Table List Number"/>
    <w:basedOn w:val="ListNumber"/>
    <w:rsid w:val="00E04F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F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F18"/>
    <w:pPr>
      <w:numPr>
        <w:numId w:val="9"/>
      </w:numPr>
    </w:pPr>
  </w:style>
  <w:style w:type="paragraph" w:customStyle="1" w:styleId="ListAlpha2">
    <w:name w:val="List Alpha 2"/>
    <w:basedOn w:val="List2"/>
    <w:rsid w:val="00E04F18"/>
    <w:pPr>
      <w:numPr>
        <w:numId w:val="8"/>
      </w:numPr>
    </w:pPr>
  </w:style>
  <w:style w:type="paragraph" w:styleId="List2">
    <w:name w:val="List 2"/>
    <w:basedOn w:val="BodyText"/>
    <w:rsid w:val="00E04F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F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F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F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F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F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4F18"/>
    <w:pPr>
      <w:numPr>
        <w:numId w:val="4"/>
      </w:numPr>
    </w:pPr>
  </w:style>
  <w:style w:type="paragraph" w:styleId="ListContinue2">
    <w:name w:val="List Continue 2"/>
    <w:basedOn w:val="List2"/>
    <w:rsid w:val="00E04F18"/>
    <w:pPr>
      <w:ind w:firstLine="0"/>
    </w:pPr>
  </w:style>
  <w:style w:type="paragraph" w:styleId="ListContinue3">
    <w:name w:val="List Continue 3"/>
    <w:basedOn w:val="List3"/>
    <w:rsid w:val="00E04F18"/>
    <w:pPr>
      <w:ind w:left="1021" w:firstLine="0"/>
    </w:pPr>
  </w:style>
  <w:style w:type="paragraph" w:styleId="ListContinue4">
    <w:name w:val="List Continue 4"/>
    <w:basedOn w:val="List4"/>
    <w:rsid w:val="00E04F18"/>
    <w:pPr>
      <w:ind w:firstLine="0"/>
    </w:pPr>
  </w:style>
  <w:style w:type="paragraph" w:styleId="ListContinue5">
    <w:name w:val="List Continue 5"/>
    <w:basedOn w:val="List5"/>
    <w:rsid w:val="00E04F18"/>
    <w:pPr>
      <w:ind w:firstLine="0"/>
    </w:pPr>
  </w:style>
  <w:style w:type="paragraph" w:styleId="ListNumber3">
    <w:name w:val="List Number 3"/>
    <w:basedOn w:val="List3"/>
    <w:rsid w:val="00E04F18"/>
    <w:pPr>
      <w:numPr>
        <w:numId w:val="5"/>
      </w:numPr>
    </w:pPr>
  </w:style>
  <w:style w:type="paragraph" w:styleId="ListNumber4">
    <w:name w:val="List Number 4"/>
    <w:basedOn w:val="List4"/>
    <w:rsid w:val="00E04F18"/>
    <w:pPr>
      <w:numPr>
        <w:numId w:val="6"/>
      </w:numPr>
    </w:pPr>
  </w:style>
  <w:style w:type="paragraph" w:styleId="ListNumber5">
    <w:name w:val="List Number 5"/>
    <w:basedOn w:val="List5"/>
    <w:rsid w:val="00E04F18"/>
    <w:pPr>
      <w:numPr>
        <w:numId w:val="7"/>
      </w:numPr>
    </w:pPr>
  </w:style>
  <w:style w:type="paragraph" w:styleId="BlockText">
    <w:name w:val="Block Text"/>
    <w:basedOn w:val="Normal"/>
    <w:rsid w:val="00E04F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F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F18"/>
    <w:rPr>
      <w:sz w:val="16"/>
      <w:vertAlign w:val="superscript"/>
    </w:rPr>
  </w:style>
  <w:style w:type="character" w:customStyle="1" w:styleId="Symbols">
    <w:name w:val="Symbols"/>
    <w:basedOn w:val="DefaultParagraphFont"/>
    <w:rsid w:val="00E04F18"/>
    <w:rPr>
      <w:rFonts w:ascii="Symbol" w:hAnsi="Symbol"/>
    </w:rPr>
  </w:style>
  <w:style w:type="character" w:customStyle="1" w:styleId="MenuOptions">
    <w:name w:val="Menu Options"/>
    <w:basedOn w:val="DefaultParagraphFont"/>
    <w:rsid w:val="00E04F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F18"/>
    <w:rPr>
      <w:b/>
    </w:rPr>
  </w:style>
  <w:style w:type="character" w:customStyle="1" w:styleId="Underlined">
    <w:name w:val="Underlined"/>
    <w:basedOn w:val="DefaultParagraphFont"/>
    <w:rsid w:val="00E04F18"/>
    <w:rPr>
      <w:u w:val="single"/>
    </w:rPr>
  </w:style>
  <w:style w:type="paragraph" w:customStyle="1" w:styleId="TableBodyTextRight">
    <w:name w:val="Table Body Text Right"/>
    <w:basedOn w:val="TableBodyText"/>
    <w:rsid w:val="00E04F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F18"/>
    <w:rPr>
      <w:sz w:val="18"/>
    </w:rPr>
  </w:style>
  <w:style w:type="paragraph" w:customStyle="1" w:styleId="BodySmallRight">
    <w:name w:val="Body Small Right"/>
    <w:basedOn w:val="BodyTextRight"/>
    <w:rsid w:val="00E04F18"/>
    <w:rPr>
      <w:sz w:val="18"/>
      <w:szCs w:val="18"/>
    </w:rPr>
  </w:style>
  <w:style w:type="paragraph" w:customStyle="1" w:styleId="MarginEdition">
    <w:name w:val="Margin Edition"/>
    <w:basedOn w:val="MarginNote"/>
    <w:rsid w:val="00E04F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F18"/>
    <w:rPr>
      <w:sz w:val="2"/>
      <w:szCs w:val="2"/>
    </w:rPr>
  </w:style>
  <w:style w:type="character" w:customStyle="1" w:styleId="Small">
    <w:name w:val="Small"/>
    <w:basedOn w:val="DefaultParagraphFont"/>
    <w:rsid w:val="00E04F18"/>
    <w:rPr>
      <w:sz w:val="16"/>
    </w:rPr>
  </w:style>
  <w:style w:type="paragraph" w:customStyle="1" w:styleId="WideTable">
    <w:name w:val="Wide Table"/>
    <w:basedOn w:val="Normal"/>
    <w:rsid w:val="00E04F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F18"/>
  </w:style>
  <w:style w:type="paragraph" w:styleId="Quote">
    <w:name w:val="Quote"/>
    <w:basedOn w:val="Heading1"/>
    <w:link w:val="QuoteChar"/>
    <w:qFormat/>
    <w:rsid w:val="00E04F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F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F18"/>
    <w:pPr>
      <w:pageBreakBefore/>
    </w:pPr>
  </w:style>
  <w:style w:type="paragraph" w:customStyle="1" w:styleId="Border">
    <w:name w:val="Border"/>
    <w:basedOn w:val="Normal"/>
    <w:qFormat/>
    <w:rsid w:val="00E04F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F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F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F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F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F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F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F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F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F18"/>
    <w:rPr>
      <w:u w:val="single"/>
    </w:rPr>
  </w:style>
  <w:style w:type="character" w:customStyle="1" w:styleId="BoldandItalics">
    <w:name w:val="Bold and Italics"/>
    <w:qFormat/>
    <w:rsid w:val="00E04F18"/>
    <w:rPr>
      <w:b/>
      <w:i/>
      <w:u w:val="none"/>
    </w:rPr>
  </w:style>
  <w:style w:type="paragraph" w:styleId="BalloonText">
    <w:name w:val="Balloon Text"/>
    <w:basedOn w:val="Normal"/>
    <w:link w:val="BalloonTextChar"/>
    <w:rsid w:val="00E04F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F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F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F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F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F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F18"/>
    <w:pPr>
      <w:spacing w:before="0" w:after="0"/>
    </w:pPr>
  </w:style>
  <w:style w:type="paragraph" w:customStyle="1" w:styleId="BodyTextBold">
    <w:name w:val="Body Text Bold"/>
    <w:basedOn w:val="BodyText"/>
    <w:qFormat/>
    <w:rsid w:val="00E04F18"/>
    <w:rPr>
      <w:b/>
    </w:rPr>
  </w:style>
  <w:style w:type="character" w:styleId="Hyperlink">
    <w:name w:val="Hyperlink"/>
    <w:basedOn w:val="DefaultParagraphFont"/>
    <w:uiPriority w:val="99"/>
    <w:unhideWhenUsed/>
    <w:rsid w:val="003E17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3854</Characters>
  <Application>Microsoft Office Word</Application>
  <DocSecurity>0</DocSecurity>
  <Lines>104</Lines>
  <Paragraphs>87</Paragraphs>
  <ScaleCrop>false</ScaleCrop>
  <Company>Author-it Software Corporation Ltd.</Company>
  <LinksUpToDate>false</LinksUpToDate>
  <CharactersWithSpaces>4363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CHCFIN009 Provide financial counselling and systemic advocacy within a social justice framework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2023-07-01T03:03:00Z</dcterms:created>
  <dcterms:modified xsi:type="dcterms:W3CDTF">2023-07-01T03:03:00Z</dcterms:modified>
</cp:coreProperties>
</file>