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6D2" w:rsidP="006C76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CHCFIN006 Establish the financial counselling relationship</w:t>
      </w:r>
      <w:r>
        <w:fldChar w:fldCharType="end"/>
      </w:r>
    </w:p>
    <w:p w:rsidR="006C76D2" w:rsidP="006C76D2">
      <w:pPr>
        <w:pStyle w:val="Version"/>
        <w:sectPr w:rsidSect="00A75D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D58" w:rsidP="00A75D58">
      <w:pPr>
        <w:pStyle w:val="SuperHeading"/>
      </w:pPr>
      <w:r w:rsidRPr="00A75D58">
        <w:t>Assessment Requirements for CHCFIN006 Establish the financial counselling relationship</w:t>
      </w:r>
    </w:p>
    <w:p w:rsidR="00000000" w:rsidRPr="00A75D58" w:rsidP="00A75D58">
      <w:pPr>
        <w:pStyle w:val="Heading1"/>
      </w:pPr>
      <w:bookmarkStart w:id="1" w:name="O_1279827"/>
      <w:bookmarkEnd w:id="1"/>
      <w:r w:rsidRPr="00A75D58">
        <w:t>Modification History</w:t>
      </w:r>
    </w:p>
    <w:p w:rsidR="00000000" w:rsidRPr="00A75D58" w:rsidP="006C76D2">
      <w:pPr>
        <w:pStyle w:val="BodyText"/>
      </w:pPr>
      <w:r w:rsidRPr="00A75D58">
        <w:t>Not applicable.</w:t>
      </w:r>
    </w:p>
    <w:p w:rsidR="00000000" w:rsidRPr="00A75D58" w:rsidP="00A75D58">
      <w:pPr>
        <w:pStyle w:val="Heading1"/>
      </w:pPr>
      <w:bookmarkStart w:id="2" w:name="O_1279828"/>
      <w:bookmarkEnd w:id="2"/>
      <w:r w:rsidRPr="00A75D58">
        <w:t>Performance Evidence</w:t>
      </w:r>
    </w:p>
    <w:p w:rsidR="00000000" w:rsidRPr="00A75D58" w:rsidP="006C76D2">
      <w:pPr>
        <w:pStyle w:val="BodyText"/>
      </w:pPr>
      <w:r w:rsidRPr="00A75D58">
        <w:t>Evidence of the ability</w:t>
      </w:r>
      <w:r w:rsidRPr="00A75D58">
        <w:t xml:space="preserve"> to complete tasks outlined in elements and performance criteria of this unit in the context of the job role, and:</w:t>
      </w:r>
    </w:p>
    <w:p w:rsidR="00000000" w:rsidRPr="00A75D58" w:rsidP="00A75D58">
      <w:pPr>
        <w:pStyle w:val="ListBullet"/>
      </w:pPr>
      <w:r w:rsidRPr="00A75D58">
        <w:t>conduct initial consultation meeting for at least five clients according to organisational practice</w:t>
      </w:r>
    </w:p>
    <w:p w:rsidR="00000000" w:rsidRPr="00A75D58" w:rsidP="00A75D58">
      <w:pPr>
        <w:pStyle w:val="ListBullet"/>
      </w:pPr>
      <w:r w:rsidRPr="00A75D58">
        <w:t>for the above clients establish client f</w:t>
      </w:r>
      <w:r w:rsidRPr="00A75D58">
        <w:t>ile according to organisational requirements including:</w:t>
      </w:r>
    </w:p>
    <w:p w:rsidR="00000000" w:rsidRPr="00A75D58" w:rsidP="00A75D58">
      <w:pPr>
        <w:pStyle w:val="ListBullet2"/>
      </w:pPr>
      <w:r w:rsidRPr="00A75D58">
        <w:t>confirm client details</w:t>
      </w:r>
    </w:p>
    <w:p w:rsidR="00000000" w:rsidRPr="00A75D58" w:rsidP="00A75D58">
      <w:pPr>
        <w:pStyle w:val="ListBullet2"/>
      </w:pPr>
      <w:r w:rsidRPr="00A75D58">
        <w:t>determine financial position or situation</w:t>
      </w:r>
    </w:p>
    <w:p w:rsidR="00000000" w:rsidRPr="00A75D58" w:rsidP="00A75D58">
      <w:pPr>
        <w:pStyle w:val="ListBullet2"/>
      </w:pPr>
      <w:r w:rsidRPr="00A75D58">
        <w:t>assess capacity to meet financial obligations</w:t>
      </w:r>
    </w:p>
    <w:p w:rsidR="00000000" w:rsidRPr="00A75D58" w:rsidP="00A75D58">
      <w:pPr>
        <w:pStyle w:val="ListBullet2"/>
      </w:pPr>
      <w:r w:rsidRPr="00A75D58">
        <w:t>identify additional information for follow up meeting</w:t>
      </w:r>
    </w:p>
    <w:p w:rsidR="00000000" w:rsidRPr="00A75D58" w:rsidP="00A75D58">
      <w:pPr>
        <w:pStyle w:val="ListBullet2"/>
      </w:pPr>
      <w:r w:rsidRPr="00A75D58">
        <w:t>confirm understanding of client an</w:t>
      </w:r>
      <w:r w:rsidRPr="00A75D58">
        <w:t>d service responsibilities</w:t>
      </w:r>
    </w:p>
    <w:p w:rsidR="00000000" w:rsidRPr="00A75D58" w:rsidP="00A75D58">
      <w:pPr>
        <w:pStyle w:val="ListBullet"/>
      </w:pPr>
      <w:r w:rsidRPr="00A75D58">
        <w:t>perform the activities outlined in the performance criteria of this unit during a period of 220 hours of work in a financial counselling agency that has met the requirements for the Australian Securities and Investments Commissi</w:t>
      </w:r>
      <w:r w:rsidRPr="00A75D58">
        <w:t>on (ASIC) exemptions from holding a financial services or credit licence or in a simulated environment. These 220 hours may be applied collectively across all units of competency that include the requirement for workplace hours for the purposes of assessme</w:t>
      </w:r>
      <w:r w:rsidRPr="00A75D58">
        <w:t>nt.</w:t>
      </w:r>
    </w:p>
    <w:p w:rsidR="00000000" w:rsidRPr="00A75D58" w:rsidP="00A75D58">
      <w:pPr>
        <w:pStyle w:val="AllowPageBreak"/>
      </w:pPr>
    </w:p>
    <w:p w:rsidR="00000000" w:rsidRPr="00A75D58" w:rsidP="00A75D58">
      <w:pPr>
        <w:pStyle w:val="Heading1"/>
      </w:pPr>
      <w:bookmarkStart w:id="3" w:name="O_1279829"/>
      <w:bookmarkEnd w:id="3"/>
      <w:r w:rsidRPr="00A75D58">
        <w:t>Knowledge Evidence</w:t>
      </w:r>
    </w:p>
    <w:p w:rsidR="00000000" w:rsidRPr="00A75D58" w:rsidP="006C76D2">
      <w:pPr>
        <w:pStyle w:val="BodyText"/>
      </w:pPr>
      <w:r w:rsidRPr="00A75D58">
        <w:t>Demonstrated knowledge required to complete the tasks outlined in elements and performance criteria of this unit:</w:t>
      </w:r>
    </w:p>
    <w:p w:rsidR="00000000" w:rsidRPr="00A75D58" w:rsidP="00A75D58">
      <w:pPr>
        <w:pStyle w:val="ListBullet"/>
      </w:pPr>
      <w:r w:rsidRPr="00A75D58">
        <w:t>financial counselling role, including:</w:t>
      </w:r>
    </w:p>
    <w:p w:rsidR="00000000" w:rsidRPr="00A75D58" w:rsidP="00A75D58">
      <w:pPr>
        <w:pStyle w:val="ListBullet2"/>
      </w:pPr>
      <w:r w:rsidRPr="00A75D58">
        <w:t>giving advice to and sharing information with clients</w:t>
      </w:r>
    </w:p>
    <w:p w:rsidR="00000000" w:rsidRPr="00A75D58" w:rsidP="00A75D58">
      <w:pPr>
        <w:pStyle w:val="ListBullet2"/>
      </w:pPr>
      <w:r w:rsidRPr="00A75D58">
        <w:t>representing client and acting on the client’s behalf</w:t>
      </w:r>
    </w:p>
    <w:p w:rsidR="00000000" w:rsidRPr="00A75D58" w:rsidP="00A75D58">
      <w:pPr>
        <w:pStyle w:val="ListBullet2"/>
      </w:pPr>
      <w:r w:rsidRPr="00A75D58">
        <w:t>duty to act in the client’s best interests</w:t>
      </w:r>
    </w:p>
    <w:p w:rsidR="00000000" w:rsidRPr="00A75D58" w:rsidP="00A75D58">
      <w:pPr>
        <w:pStyle w:val="ListBullet2"/>
      </w:pPr>
      <w:r w:rsidRPr="00A75D58">
        <w:t>ethical obligations, including as set out in the Australian Financial Counselling Code of Ethical Practice</w:t>
      </w:r>
    </w:p>
    <w:p w:rsidR="00000000" w:rsidRPr="00A75D58" w:rsidP="00A75D58">
      <w:pPr>
        <w:pStyle w:val="ListBullet2"/>
      </w:pPr>
      <w:r w:rsidRPr="00A75D58">
        <w:t>having expertise in a range of areas relating to fin</w:t>
      </w:r>
      <w:r w:rsidRPr="00A75D58">
        <w:t>ancial difficulty</w:t>
      </w:r>
    </w:p>
    <w:p w:rsidR="00000000" w:rsidRPr="00A75D58" w:rsidP="00A75D58">
      <w:pPr>
        <w:pStyle w:val="ListBullet2"/>
      </w:pPr>
      <w:r w:rsidRPr="00A75D58">
        <w:t>financial counsellors are not:</w:t>
      </w:r>
    </w:p>
    <w:p w:rsidR="00000000" w:rsidRPr="00A75D58" w:rsidP="00A75D58">
      <w:pPr>
        <w:pStyle w:val="ListBullet3"/>
      </w:pPr>
      <w:r w:rsidRPr="00A75D58">
        <w:t>financial planners or accountants</w:t>
      </w:r>
    </w:p>
    <w:p w:rsidR="00000000" w:rsidRPr="00A75D58" w:rsidP="00A75D58">
      <w:pPr>
        <w:pStyle w:val="ListBullet3"/>
      </w:pPr>
      <w:r w:rsidRPr="00A75D58">
        <w:t>providers of emergency relief and material aid</w:t>
      </w:r>
    </w:p>
    <w:p w:rsidR="00000000" w:rsidRPr="00A75D58" w:rsidP="00A75D58">
      <w:pPr>
        <w:pStyle w:val="ListBullet3"/>
      </w:pPr>
      <w:r w:rsidRPr="00A75D58">
        <w:t>finance brokers</w:t>
      </w:r>
    </w:p>
    <w:p w:rsidR="00000000" w:rsidRPr="00A75D58" w:rsidP="00A75D58">
      <w:pPr>
        <w:pStyle w:val="ListBullet3"/>
      </w:pPr>
      <w:r w:rsidRPr="00A75D58">
        <w:t>legal advisors or solicitors</w:t>
      </w:r>
    </w:p>
    <w:p w:rsidR="00000000" w:rsidRPr="00A75D58" w:rsidP="00A75D58">
      <w:pPr>
        <w:pStyle w:val="ListBullet3"/>
      </w:pPr>
      <w:r w:rsidRPr="00A75D58">
        <w:t>therapeutic counsellors</w:t>
      </w:r>
    </w:p>
    <w:p w:rsidR="00000000" w:rsidRPr="00A75D58" w:rsidP="00A75D58">
      <w:pPr>
        <w:pStyle w:val="ListBullet3"/>
      </w:pPr>
      <w:r w:rsidRPr="00A75D58">
        <w:t>business advisors</w:t>
      </w:r>
    </w:p>
    <w:p w:rsidR="00000000" w:rsidRPr="00A75D58" w:rsidP="00A75D58">
      <w:pPr>
        <w:pStyle w:val="ListBullet3"/>
      </w:pPr>
      <w:r w:rsidRPr="00A75D58">
        <w:t>tax agents</w:t>
      </w:r>
    </w:p>
    <w:p w:rsidR="00000000" w:rsidRPr="00A75D58" w:rsidP="00A75D58">
      <w:pPr>
        <w:pStyle w:val="ListBullet"/>
      </w:pPr>
      <w:r w:rsidRPr="00A75D58">
        <w:t>agency intake and screening processes, including:</w:t>
      </w:r>
    </w:p>
    <w:p w:rsidR="00000000" w:rsidRPr="00A75D58" w:rsidP="00A75D58">
      <w:pPr>
        <w:pStyle w:val="ListBullet2"/>
      </w:pPr>
      <w:r w:rsidRPr="00A75D58">
        <w:t>risk assessment</w:t>
      </w:r>
    </w:p>
    <w:p w:rsidR="00000000" w:rsidRPr="00A75D58" w:rsidP="00A75D58">
      <w:pPr>
        <w:pStyle w:val="ListBullet2"/>
      </w:pPr>
      <w:r w:rsidRPr="00A75D58">
        <w:t xml:space="preserve">screening tools </w:t>
      </w:r>
    </w:p>
    <w:p w:rsidR="00000000" w:rsidRPr="00A75D58" w:rsidP="00A75D58">
      <w:pPr>
        <w:pStyle w:val="ListBullet2"/>
      </w:pPr>
      <w:r w:rsidRPr="00A75D58">
        <w:t>referral protocols</w:t>
      </w:r>
    </w:p>
    <w:p w:rsidR="00000000" w:rsidRPr="00A75D58" w:rsidP="00A75D58">
      <w:pPr>
        <w:pStyle w:val="ListBullet2"/>
      </w:pPr>
      <w:r w:rsidRPr="00A75D58">
        <w:t>situations where the client is outside the scope of the service, such as the need for specialist counselling</w:t>
      </w:r>
    </w:p>
    <w:p w:rsidR="00000000" w:rsidRPr="00A75D58" w:rsidP="00A75D58">
      <w:pPr>
        <w:pStyle w:val="ListBullet"/>
      </w:pPr>
      <w:r w:rsidRPr="00A75D58">
        <w:t>criteria for assessing suitability for service, including:</w:t>
      </w:r>
    </w:p>
    <w:p w:rsidR="00000000" w:rsidRPr="00A75D58" w:rsidP="00A75D58">
      <w:pPr>
        <w:pStyle w:val="ListBullet2"/>
      </w:pPr>
      <w:r w:rsidRPr="00A75D58">
        <w:t>individual factors:</w:t>
      </w:r>
    </w:p>
    <w:p w:rsidR="00000000" w:rsidRPr="00A75D58" w:rsidP="00A75D58">
      <w:pPr>
        <w:pStyle w:val="ListBullet3"/>
      </w:pPr>
      <w:r w:rsidRPr="00A75D58">
        <w:t>safety</w:t>
      </w:r>
    </w:p>
    <w:p w:rsidR="00000000" w:rsidRPr="00A75D58" w:rsidP="00A75D58">
      <w:pPr>
        <w:pStyle w:val="ListBullet3"/>
      </w:pPr>
      <w:r w:rsidRPr="00A75D58">
        <w:t>capacity to make decisions</w:t>
      </w:r>
    </w:p>
    <w:p w:rsidR="00000000" w:rsidRPr="00A75D58" w:rsidP="00A75D58">
      <w:pPr>
        <w:pStyle w:val="ListBullet3"/>
      </w:pPr>
      <w:r w:rsidRPr="00A75D58">
        <w:t>urgency/assets at risk, other vulnerabilities</w:t>
      </w:r>
    </w:p>
    <w:p w:rsidR="00000000" w:rsidRPr="00A75D58" w:rsidP="00A75D58">
      <w:pPr>
        <w:pStyle w:val="ListBullet2"/>
      </w:pPr>
      <w:r w:rsidRPr="00A75D58">
        <w:t>agency intake criteria:</w:t>
      </w:r>
    </w:p>
    <w:p w:rsidR="00000000" w:rsidRPr="00A75D58" w:rsidP="00A75D58">
      <w:pPr>
        <w:pStyle w:val="ListBullet3"/>
      </w:pPr>
      <w:r w:rsidRPr="00A75D58">
        <w:t>funding agreement requirements</w:t>
      </w:r>
    </w:p>
    <w:p w:rsidR="00000000" w:rsidRPr="00A75D58" w:rsidP="00A75D58">
      <w:pPr>
        <w:pStyle w:val="ListBullet3"/>
      </w:pPr>
      <w:r w:rsidRPr="00A75D58">
        <w:t>any resource constraints</w:t>
      </w:r>
    </w:p>
    <w:p w:rsidR="00000000" w:rsidRPr="00A75D58" w:rsidP="00A75D58">
      <w:pPr>
        <w:pStyle w:val="ListBullet"/>
      </w:pPr>
      <w:r w:rsidRPr="00A75D58">
        <w:t>situations where conflicts can arise and how they are managed so that the financial counsellor is clear about who is the client:</w:t>
      </w:r>
    </w:p>
    <w:p w:rsidR="00000000" w:rsidRPr="00A75D58" w:rsidP="00A75D58">
      <w:pPr>
        <w:pStyle w:val="ListBullet2"/>
      </w:pPr>
      <w:r w:rsidRPr="00A75D58">
        <w:t>involving parties with conflicting needs</w:t>
      </w:r>
    </w:p>
    <w:p w:rsidR="00000000" w:rsidRPr="00A75D58" w:rsidP="00A75D58">
      <w:pPr>
        <w:pStyle w:val="ListBullet2"/>
      </w:pPr>
      <w:r w:rsidRPr="00A75D58">
        <w:t>involving a current client and a former client</w:t>
      </w:r>
    </w:p>
    <w:p w:rsidR="00000000" w:rsidRPr="00A75D58" w:rsidP="00A75D58">
      <w:pPr>
        <w:pStyle w:val="ListBullet2"/>
      </w:pPr>
      <w:r w:rsidRPr="00A75D58">
        <w:t>involving the client and the financial counsellor’s interests</w:t>
      </w:r>
    </w:p>
    <w:p w:rsidR="00000000" w:rsidRPr="00A75D58" w:rsidP="00A75D58">
      <w:pPr>
        <w:pStyle w:val="ListBullet2"/>
      </w:pPr>
      <w:r w:rsidRPr="00A75D58">
        <w:t>providing services to families or couples</w:t>
      </w:r>
    </w:p>
    <w:p w:rsidR="00000000" w:rsidRPr="00A75D58" w:rsidP="00A75D58">
      <w:pPr>
        <w:pStyle w:val="ListBullet2"/>
      </w:pPr>
      <w:r w:rsidRPr="00A75D58">
        <w:t>providing services where there is a power of attorney</w:t>
      </w:r>
    </w:p>
    <w:p w:rsidR="00000000" w:rsidRPr="00A75D58" w:rsidP="00A75D58">
      <w:pPr>
        <w:pStyle w:val="ListBullet2"/>
      </w:pPr>
      <w:r w:rsidRPr="00A75D58">
        <w:t>processes for undertaking conflict checks</w:t>
      </w:r>
    </w:p>
    <w:p w:rsidR="00000000" w:rsidRPr="00A75D58" w:rsidP="00A75D58">
      <w:pPr>
        <w:pStyle w:val="ListBullet"/>
      </w:pPr>
      <w:r w:rsidRPr="00A75D58">
        <w:t>rights and responsibilities of workers, employers and c</w:t>
      </w:r>
      <w:r w:rsidRPr="00A75D58">
        <w:t>lients</w:t>
      </w:r>
    </w:p>
    <w:p w:rsidR="00000000" w:rsidRPr="00A75D58" w:rsidP="00A75D58">
      <w:pPr>
        <w:pStyle w:val="ListBullet"/>
      </w:pPr>
      <w:r w:rsidRPr="00A75D58">
        <w:t>relevant client documents, hard copy or online,) such as:</w:t>
      </w:r>
    </w:p>
    <w:p w:rsidR="00000000" w:rsidRPr="00A75D58" w:rsidP="00A75D58">
      <w:pPr>
        <w:pStyle w:val="ListBullet2"/>
      </w:pPr>
      <w:r w:rsidRPr="00A75D58">
        <w:t>income sources (e.g. Centrelink income statements)</w:t>
      </w:r>
    </w:p>
    <w:p w:rsidR="00000000" w:rsidRPr="00A75D58" w:rsidP="00A75D58">
      <w:pPr>
        <w:pStyle w:val="ListBullet2"/>
      </w:pPr>
      <w:r w:rsidRPr="00A75D58">
        <w:t>liability and debt statements</w:t>
      </w:r>
    </w:p>
    <w:p w:rsidR="00000000" w:rsidRPr="00A75D58" w:rsidP="00A75D58">
      <w:pPr>
        <w:pStyle w:val="ListBullet2"/>
      </w:pPr>
      <w:r w:rsidRPr="00A75D58">
        <w:t>legal documents and contracts</w:t>
      </w:r>
    </w:p>
    <w:p w:rsidR="00000000" w:rsidRPr="00A75D58" w:rsidP="00A75D58">
      <w:pPr>
        <w:pStyle w:val="ListBullet2"/>
      </w:pPr>
      <w:r w:rsidRPr="00A75D58">
        <w:t>bills</w:t>
      </w:r>
    </w:p>
    <w:p w:rsidR="00000000" w:rsidRPr="00A75D58" w:rsidP="00A75D58">
      <w:pPr>
        <w:pStyle w:val="ListBullet2"/>
      </w:pPr>
      <w:r w:rsidRPr="00A75D58">
        <w:t>support letters such as medical or other</w:t>
      </w:r>
    </w:p>
    <w:p w:rsidR="00000000" w:rsidRPr="00A75D58" w:rsidP="00A75D58">
      <w:pPr>
        <w:pStyle w:val="ListBullet"/>
      </w:pPr>
      <w:r w:rsidRPr="00A75D58">
        <w:t>client-centred, strengths-based</w:t>
      </w:r>
      <w:r w:rsidRPr="00A75D58">
        <w:t xml:space="preserve"> approaches to financial counselling and other counselling models consistent with these approaches</w:t>
      </w:r>
    </w:p>
    <w:p w:rsidR="00000000" w:rsidRPr="00A75D58" w:rsidP="00A75D58">
      <w:pPr>
        <w:pStyle w:val="ListBullet"/>
      </w:pPr>
      <w:r w:rsidRPr="00A75D58">
        <w:t>aspects of informed consent including:</w:t>
      </w:r>
    </w:p>
    <w:p w:rsidR="00000000" w:rsidRPr="00A75D58" w:rsidP="00A75D58">
      <w:pPr>
        <w:pStyle w:val="ListBullet2"/>
      </w:pPr>
      <w:r w:rsidRPr="00A75D58">
        <w:t>privacy statement</w:t>
      </w:r>
    </w:p>
    <w:p w:rsidR="00000000" w:rsidRPr="00A75D58" w:rsidP="00A75D58">
      <w:pPr>
        <w:pStyle w:val="ListBullet2"/>
      </w:pPr>
      <w:r w:rsidRPr="00A75D58">
        <w:t>checking for understanding</w:t>
      </w:r>
    </w:p>
    <w:p w:rsidR="00000000" w:rsidRPr="00A75D58" w:rsidP="00A75D58">
      <w:pPr>
        <w:pStyle w:val="ListBullet2"/>
      </w:pPr>
      <w:r w:rsidRPr="00A75D58">
        <w:t>varying or ending agreement</w:t>
      </w:r>
    </w:p>
    <w:p w:rsidR="00000000" w:rsidRPr="00A75D58" w:rsidP="00A75D58">
      <w:pPr>
        <w:pStyle w:val="ListBullet"/>
      </w:pPr>
      <w:r w:rsidRPr="00A75D58">
        <w:t>general principles in the law in relation to confidentiality and privacy and any agency policies that may interact with these</w:t>
      </w:r>
    </w:p>
    <w:p w:rsidR="00000000" w:rsidRPr="00A75D58" w:rsidP="00A75D58">
      <w:pPr>
        <w:pStyle w:val="ListBullet"/>
      </w:pPr>
      <w:r w:rsidRPr="00A75D58">
        <w:t>exceptions to confidentiality including:</w:t>
      </w:r>
    </w:p>
    <w:p w:rsidR="00000000" w:rsidRPr="00A75D58" w:rsidP="00A75D58">
      <w:pPr>
        <w:pStyle w:val="ListBullet2"/>
      </w:pPr>
      <w:r w:rsidRPr="00A75D58">
        <w:t>client consent</w:t>
      </w:r>
    </w:p>
    <w:p w:rsidR="00000000" w:rsidRPr="00A75D58" w:rsidP="00A75D58">
      <w:pPr>
        <w:pStyle w:val="ListBullet2"/>
      </w:pPr>
      <w:r w:rsidRPr="00A75D58">
        <w:t>being compelled by law e.g. subpoena</w:t>
      </w:r>
    </w:p>
    <w:p w:rsidR="00000000" w:rsidRPr="00A75D58" w:rsidP="00A75D58">
      <w:pPr>
        <w:pStyle w:val="ListBullet2"/>
      </w:pPr>
      <w:r w:rsidRPr="00A75D58">
        <w:t>prevention of harm to client or anot</w:t>
      </w:r>
      <w:r w:rsidRPr="00A75D58">
        <w:t>her person</w:t>
      </w:r>
    </w:p>
    <w:p w:rsidR="00000000" w:rsidRPr="00A75D58" w:rsidP="00A75D58">
      <w:pPr>
        <w:pStyle w:val="ListBullet2"/>
      </w:pPr>
      <w:r w:rsidRPr="00A75D58">
        <w:t>mandatory reporting</w:t>
      </w:r>
    </w:p>
    <w:p w:rsidR="00000000" w:rsidRPr="00A75D58" w:rsidP="00A75D58">
      <w:pPr>
        <w:pStyle w:val="ListBullet2"/>
      </w:pPr>
      <w:r w:rsidRPr="00A75D58">
        <w:t>other reasons specific to states and territories</w:t>
      </w:r>
    </w:p>
    <w:p w:rsidR="00000000" w:rsidRPr="00A75D58" w:rsidP="00A75D58">
      <w:pPr>
        <w:pStyle w:val="ListBullet2"/>
      </w:pPr>
      <w:r w:rsidRPr="00A75D58">
        <w:t>children in the workplace</w:t>
      </w:r>
    </w:p>
    <w:p w:rsidR="00000000" w:rsidRPr="00A75D58" w:rsidP="00A75D58">
      <w:pPr>
        <w:pStyle w:val="ListBullet"/>
      </w:pPr>
      <w:r w:rsidRPr="00A75D58">
        <w:t>complex needs that may impact advice given:</w:t>
      </w:r>
    </w:p>
    <w:p w:rsidR="00000000" w:rsidRPr="00A75D58" w:rsidP="00A75D58">
      <w:pPr>
        <w:pStyle w:val="ListBullet2"/>
      </w:pPr>
      <w:r w:rsidRPr="00A75D58">
        <w:t>mental illness</w:t>
      </w:r>
    </w:p>
    <w:p w:rsidR="00000000" w:rsidRPr="00A75D58" w:rsidP="00A75D58">
      <w:pPr>
        <w:pStyle w:val="ListBullet2"/>
      </w:pPr>
      <w:r w:rsidRPr="00A75D58">
        <w:t>addictions including:</w:t>
      </w:r>
    </w:p>
    <w:p w:rsidR="00000000" w:rsidRPr="00A75D58" w:rsidP="00A75D58">
      <w:pPr>
        <w:pStyle w:val="ListBullet3"/>
      </w:pPr>
      <w:r w:rsidRPr="00A75D58">
        <w:t>substance abuse, gambling</w:t>
      </w:r>
    </w:p>
    <w:p w:rsidR="00000000" w:rsidRPr="00A75D58" w:rsidP="00A75D58">
      <w:pPr>
        <w:pStyle w:val="ListBullet2"/>
      </w:pPr>
      <w:r w:rsidRPr="00A75D58">
        <w:t>trauma including:</w:t>
      </w:r>
    </w:p>
    <w:p w:rsidR="00000000" w:rsidRPr="00A75D58" w:rsidP="00A75D58">
      <w:pPr>
        <w:pStyle w:val="ListBullet3"/>
      </w:pPr>
      <w:r w:rsidRPr="00A75D58">
        <w:t>family violence, elder abuse, victim of other violence, child abuse</w:t>
      </w:r>
    </w:p>
    <w:p w:rsidR="00000000" w:rsidRPr="00A75D58" w:rsidP="00A75D58">
      <w:pPr>
        <w:pStyle w:val="ListBullet2"/>
      </w:pPr>
      <w:r w:rsidRPr="00A75D58">
        <w:t>disability</w:t>
      </w:r>
    </w:p>
    <w:p w:rsidR="00000000" w:rsidRPr="00A75D58" w:rsidP="00A75D58">
      <w:pPr>
        <w:pStyle w:val="ListBullet2"/>
      </w:pPr>
      <w:r w:rsidRPr="00A75D58">
        <w:t>age</w:t>
      </w:r>
    </w:p>
    <w:p w:rsidR="00000000" w:rsidRPr="00A75D58" w:rsidP="00A75D58">
      <w:pPr>
        <w:pStyle w:val="ListBullet2"/>
      </w:pPr>
      <w:r w:rsidRPr="00A75D58">
        <w:t>poverty</w:t>
      </w:r>
    </w:p>
    <w:p w:rsidR="00000000" w:rsidRPr="00A75D58" w:rsidP="00A75D58">
      <w:pPr>
        <w:pStyle w:val="ListBullet2"/>
      </w:pPr>
      <w:r w:rsidRPr="00A75D58">
        <w:t>homelessness</w:t>
      </w:r>
    </w:p>
    <w:p w:rsidR="00000000" w:rsidRPr="00A75D58" w:rsidP="00A75D58">
      <w:pPr>
        <w:pStyle w:val="ListBullet2"/>
      </w:pPr>
      <w:r w:rsidRPr="00A75D58">
        <w:t>cultural background</w:t>
      </w:r>
    </w:p>
    <w:p w:rsidR="00000000" w:rsidRPr="00A75D58" w:rsidP="00A75D58">
      <w:pPr>
        <w:pStyle w:val="ListBullet"/>
      </w:pPr>
      <w:r w:rsidRPr="00A75D58">
        <w:t>income sources such as:</w:t>
      </w:r>
    </w:p>
    <w:p w:rsidR="00000000" w:rsidRPr="00A75D58" w:rsidP="00A75D58">
      <w:pPr>
        <w:pStyle w:val="ListBullet2"/>
      </w:pPr>
      <w:r w:rsidRPr="00A75D58">
        <w:t>wages and salary</w:t>
      </w:r>
    </w:p>
    <w:p w:rsidR="00000000" w:rsidRPr="00A75D58" w:rsidP="00A75D58">
      <w:pPr>
        <w:pStyle w:val="ListBullet2"/>
      </w:pPr>
      <w:r w:rsidRPr="00A75D58">
        <w:t>Centrelink</w:t>
      </w:r>
    </w:p>
    <w:p w:rsidR="00000000" w:rsidRPr="00A75D58" w:rsidP="00A75D58">
      <w:pPr>
        <w:pStyle w:val="ListBullet2"/>
      </w:pPr>
      <w:r w:rsidRPr="00A75D58">
        <w:t>child support</w:t>
      </w:r>
    </w:p>
    <w:p w:rsidR="00000000" w:rsidRPr="00A75D58" w:rsidP="00A75D58">
      <w:pPr>
        <w:pStyle w:val="ListBullet2"/>
      </w:pPr>
      <w:r w:rsidRPr="00A75D58">
        <w:t>rental or board</w:t>
      </w:r>
    </w:p>
    <w:p w:rsidR="00000000" w:rsidRPr="00A75D58" w:rsidP="00A75D58">
      <w:pPr>
        <w:pStyle w:val="ListBullet2"/>
      </w:pPr>
      <w:r w:rsidRPr="00A75D58">
        <w:t>superannuation income stream or lump sum</w:t>
      </w:r>
    </w:p>
    <w:p w:rsidR="00000000" w:rsidRPr="00A75D58" w:rsidP="00A75D58">
      <w:pPr>
        <w:pStyle w:val="ListBullet2"/>
      </w:pPr>
      <w:r w:rsidRPr="00A75D58">
        <w:t>insurance payment including Total and Permanent Disability (TPD) and income protection</w:t>
      </w:r>
    </w:p>
    <w:p w:rsidR="00000000" w:rsidRPr="00A75D58" w:rsidP="00A75D58">
      <w:pPr>
        <w:pStyle w:val="ListBullet2"/>
      </w:pPr>
      <w:r w:rsidRPr="00A75D58">
        <w:t>business income</w:t>
      </w:r>
    </w:p>
    <w:p w:rsidR="00000000" w:rsidRPr="00A75D58" w:rsidP="00A75D58">
      <w:pPr>
        <w:pStyle w:val="ListBullet2"/>
      </w:pPr>
      <w:r w:rsidRPr="00A75D58">
        <w:t>compensation including workers compensation, injury and accident</w:t>
      </w:r>
    </w:p>
    <w:p w:rsidR="00000000" w:rsidRPr="00A75D58" w:rsidP="00A75D58">
      <w:pPr>
        <w:pStyle w:val="ListBullet2"/>
      </w:pPr>
      <w:r w:rsidRPr="00A75D58">
        <w:t>other income sources</w:t>
      </w:r>
    </w:p>
    <w:p w:rsidR="00000000" w:rsidRPr="00A75D58" w:rsidP="00A75D58">
      <w:pPr>
        <w:pStyle w:val="ListBullet"/>
      </w:pPr>
      <w:r w:rsidRPr="00A75D58">
        <w:t>expenditure support relating to:</w:t>
      </w:r>
    </w:p>
    <w:p w:rsidR="00000000" w:rsidRPr="00A75D58" w:rsidP="00A75D58">
      <w:pPr>
        <w:pStyle w:val="ListBullet2"/>
      </w:pPr>
      <w:r w:rsidRPr="00A75D58">
        <w:t>utilities</w:t>
      </w:r>
    </w:p>
    <w:p w:rsidR="00000000" w:rsidRPr="00A75D58" w:rsidP="00A75D58">
      <w:pPr>
        <w:pStyle w:val="ListBullet2"/>
      </w:pPr>
      <w:r w:rsidRPr="00A75D58">
        <w:t>housing</w:t>
      </w:r>
    </w:p>
    <w:p w:rsidR="00000000" w:rsidRPr="00A75D58" w:rsidP="00A75D58">
      <w:pPr>
        <w:pStyle w:val="ListBullet2"/>
      </w:pPr>
      <w:r w:rsidRPr="00A75D58">
        <w:t>cost of living</w:t>
      </w:r>
    </w:p>
    <w:p w:rsidR="00000000" w:rsidRPr="00A75D58" w:rsidP="00A75D58">
      <w:pPr>
        <w:pStyle w:val="ListBullet2"/>
      </w:pPr>
      <w:r w:rsidRPr="00A75D58">
        <w:t>emergency relief and other assistance:</w:t>
      </w:r>
    </w:p>
    <w:p w:rsidR="00000000" w:rsidRPr="00A75D58" w:rsidP="00A75D58">
      <w:pPr>
        <w:pStyle w:val="ListBullet"/>
      </w:pPr>
      <w:r w:rsidRPr="00A75D58">
        <w:t>key aspects of financial positions, including:</w:t>
      </w:r>
    </w:p>
    <w:p w:rsidR="00000000" w:rsidRPr="00A75D58" w:rsidP="00A75D58">
      <w:pPr>
        <w:pStyle w:val="ListBullet2"/>
      </w:pPr>
      <w:r w:rsidRPr="00A75D58">
        <w:t>income</w:t>
      </w:r>
    </w:p>
    <w:p w:rsidR="00000000" w:rsidRPr="00A75D58" w:rsidP="00A75D58">
      <w:pPr>
        <w:pStyle w:val="ListBullet2"/>
      </w:pPr>
      <w:r w:rsidRPr="00A75D58">
        <w:t>expenses</w:t>
      </w:r>
    </w:p>
    <w:p w:rsidR="00000000" w:rsidRPr="00A75D58" w:rsidP="00A75D58">
      <w:pPr>
        <w:pStyle w:val="ListBullet2"/>
      </w:pPr>
      <w:r w:rsidRPr="00A75D58">
        <w:t>liabilities</w:t>
      </w:r>
    </w:p>
    <w:p w:rsidR="00000000" w:rsidRPr="00A75D58" w:rsidP="00A75D58">
      <w:pPr>
        <w:pStyle w:val="ListBullet2"/>
      </w:pPr>
      <w:r w:rsidRPr="00A75D58">
        <w:t>assets</w:t>
      </w:r>
    </w:p>
    <w:p w:rsidR="00000000" w:rsidRPr="00A75D58" w:rsidP="00A75D58">
      <w:pPr>
        <w:pStyle w:val="ListBullet2"/>
      </w:pPr>
      <w:r w:rsidRPr="00A75D58">
        <w:t>Surplus/ deficit</w:t>
      </w:r>
    </w:p>
    <w:p w:rsidR="00000000" w:rsidRPr="00A75D58" w:rsidP="00A75D58">
      <w:pPr>
        <w:pStyle w:val="ListBullet2"/>
      </w:pPr>
      <w:r w:rsidRPr="00A75D58">
        <w:t>Cash flow for small business</w:t>
      </w:r>
    </w:p>
    <w:p w:rsidR="00000000" w:rsidRPr="00A75D58" w:rsidP="00A75D58">
      <w:pPr>
        <w:pStyle w:val="ListBullet2"/>
      </w:pPr>
      <w:r w:rsidRPr="00A75D58">
        <w:t>equity</w:t>
      </w:r>
    </w:p>
    <w:p w:rsidR="00000000" w:rsidRPr="00A75D58" w:rsidP="00A75D58">
      <w:pPr>
        <w:pStyle w:val="ListBullet"/>
      </w:pPr>
      <w:r w:rsidRPr="00A75D58">
        <w:t>tools for collecting financial information:</w:t>
      </w:r>
    </w:p>
    <w:p w:rsidR="00000000" w:rsidRPr="00A75D58" w:rsidP="00A75D58">
      <w:pPr>
        <w:pStyle w:val="ListBullet2"/>
      </w:pPr>
      <w:r w:rsidRPr="00A75D58">
        <w:t>income and expenses including the Australian Securities and Investments Commission and Money smart website</w:t>
      </w:r>
    </w:p>
    <w:p w:rsidR="00000000" w:rsidRPr="00A75D58" w:rsidP="00A75D58">
      <w:pPr>
        <w:pStyle w:val="ListBullet2"/>
      </w:pPr>
      <w:r w:rsidRPr="00A75D58">
        <w:t>statement of financial position</w:t>
      </w:r>
    </w:p>
    <w:p w:rsidR="00000000" w:rsidRPr="00A75D58" w:rsidP="00A75D58">
      <w:pPr>
        <w:pStyle w:val="ListBullet2"/>
      </w:pPr>
      <w:r w:rsidRPr="00A75D58">
        <w:t>intake and assessment form</w:t>
      </w:r>
    </w:p>
    <w:p w:rsidR="00000000" w:rsidRPr="00A75D58" w:rsidP="00A75D58">
      <w:pPr>
        <w:pStyle w:val="ListBullet2"/>
      </w:pPr>
      <w:r w:rsidRPr="00A75D58">
        <w:t>financial statements for small business</w:t>
      </w:r>
    </w:p>
    <w:p w:rsidR="00000000" w:rsidRPr="00A75D58" w:rsidP="00A75D58">
      <w:pPr>
        <w:pStyle w:val="ListBullet2"/>
      </w:pPr>
      <w:r w:rsidRPr="00A75D58">
        <w:t>creditor’s list</w:t>
      </w:r>
    </w:p>
    <w:p w:rsidR="00000000" w:rsidRPr="00A75D58" w:rsidP="00A75D58">
      <w:pPr>
        <w:pStyle w:val="ListBullet2"/>
      </w:pPr>
      <w:r w:rsidRPr="00A75D58">
        <w:t xml:space="preserve">assets and liabilities statements </w:t>
      </w:r>
      <w:r w:rsidRPr="00A75D58">
        <w:t>and records</w:t>
      </w:r>
    </w:p>
    <w:p w:rsidR="00000000" w:rsidRPr="00A75D58" w:rsidP="00A75D58">
      <w:pPr>
        <w:pStyle w:val="ListBullet"/>
      </w:pPr>
      <w:r w:rsidRPr="00A75D58">
        <w:t>key information about a debt including:</w:t>
      </w:r>
    </w:p>
    <w:p w:rsidR="00000000" w:rsidRPr="00A75D58" w:rsidP="00A75D58">
      <w:pPr>
        <w:pStyle w:val="ListBullet2"/>
      </w:pPr>
      <w:r w:rsidRPr="00A75D58">
        <w:t>how the debt first came about</w:t>
      </w:r>
    </w:p>
    <w:p w:rsidR="00000000" w:rsidRPr="00A75D58" w:rsidP="00A75D58">
      <w:pPr>
        <w:pStyle w:val="ListBullet2"/>
      </w:pPr>
      <w:r w:rsidRPr="00A75D58">
        <w:t>legal framework applied to it at the time</w:t>
      </w:r>
    </w:p>
    <w:p w:rsidR="00000000" w:rsidRPr="00A75D58" w:rsidP="00A75D58">
      <w:pPr>
        <w:pStyle w:val="ListBullet2"/>
      </w:pPr>
      <w:r w:rsidRPr="00A75D58">
        <w:t>age of the debt</w:t>
      </w:r>
    </w:p>
    <w:p w:rsidR="00000000" w:rsidRPr="00A75D58" w:rsidP="00A75D58">
      <w:pPr>
        <w:pStyle w:val="ListBullet2"/>
      </w:pPr>
      <w:r w:rsidRPr="00A75D58">
        <w:t>contract</w:t>
      </w:r>
    </w:p>
    <w:p w:rsidR="00000000" w:rsidRPr="00A75D58" w:rsidP="00A75D58">
      <w:pPr>
        <w:pStyle w:val="ListBullet2"/>
      </w:pPr>
      <w:r w:rsidRPr="00A75D58">
        <w:t>stage of collection of the debt and enforcement activity</w:t>
      </w:r>
    </w:p>
    <w:p w:rsidR="00000000" w:rsidRPr="00A75D58" w:rsidP="00A75D58">
      <w:pPr>
        <w:pStyle w:val="ListBullet2"/>
      </w:pPr>
      <w:r w:rsidRPr="00A75D58">
        <w:t>legal liability for the debt or ownership of the debt</w:t>
      </w:r>
    </w:p>
    <w:p w:rsidR="00000000" w:rsidRPr="00A75D58" w:rsidP="00A75D58">
      <w:pPr>
        <w:pStyle w:val="ListBullet"/>
      </w:pPr>
      <w:r w:rsidRPr="00A75D58">
        <w:t>resources for clients:</w:t>
      </w:r>
    </w:p>
    <w:p w:rsidR="00000000" w:rsidRPr="00A75D58" w:rsidP="00A75D58">
      <w:pPr>
        <w:pStyle w:val="ListBullet2"/>
      </w:pPr>
      <w:r w:rsidRPr="00A75D58">
        <w:t>use of Money Smart resources (ASIC)</w:t>
      </w:r>
    </w:p>
    <w:p w:rsidR="00000000" w:rsidRPr="00A75D58" w:rsidP="00A75D58">
      <w:pPr>
        <w:pStyle w:val="ListBullet2"/>
      </w:pPr>
      <w:r w:rsidRPr="00A75D58">
        <w:t>use of National Debt Helpline website</w:t>
      </w:r>
    </w:p>
    <w:p w:rsidR="00000000" w:rsidRPr="00A75D58" w:rsidP="00A75D58">
      <w:pPr>
        <w:pStyle w:val="ListBullet"/>
      </w:pPr>
      <w:r w:rsidRPr="00A75D58">
        <w:t>types of debt and their features, including:</w:t>
      </w:r>
    </w:p>
    <w:p w:rsidR="00000000" w:rsidRPr="00A75D58" w:rsidP="00A75D58">
      <w:pPr>
        <w:pStyle w:val="ListBullet2"/>
      </w:pPr>
      <w:r w:rsidRPr="00A75D58">
        <w:t>secured or unsecured</w:t>
      </w:r>
    </w:p>
    <w:p w:rsidR="00000000" w:rsidRPr="00A75D58" w:rsidP="00A75D58">
      <w:pPr>
        <w:pStyle w:val="ListBullet2"/>
      </w:pPr>
      <w:r w:rsidRPr="00A75D58">
        <w:t>unsecured credit products including</w:t>
      </w:r>
      <w:r w:rsidRPr="00A75D58">
        <w:t xml:space="preserve"> credit cards, personal loans, Buy Now, Pay Later (BNPL), wage advance, Small Amount Credit Contracts (SACCs) and Medium Amount Credit Contracts (MACCs)</w:t>
      </w:r>
    </w:p>
    <w:p w:rsidR="00000000" w:rsidRPr="00A75D58" w:rsidP="00A75D58">
      <w:pPr>
        <w:pStyle w:val="ListBullet2"/>
      </w:pPr>
      <w:r w:rsidRPr="00A75D58">
        <w:t>consumer leases</w:t>
      </w:r>
    </w:p>
    <w:p w:rsidR="00000000" w:rsidRPr="00A75D58" w:rsidP="00A75D58">
      <w:pPr>
        <w:pStyle w:val="ListBullet2"/>
      </w:pPr>
      <w:r w:rsidRPr="00A75D58">
        <w:t>fringe lenders and predatory lenders</w:t>
      </w:r>
    </w:p>
    <w:p w:rsidR="00000000" w:rsidRPr="00A75D58" w:rsidP="00A75D58">
      <w:pPr>
        <w:pStyle w:val="ListBullet2"/>
      </w:pPr>
      <w:r w:rsidRPr="00A75D58">
        <w:t>joint relationship debts</w:t>
      </w:r>
    </w:p>
    <w:p w:rsidR="00000000" w:rsidRPr="00A75D58" w:rsidP="00A75D58">
      <w:pPr>
        <w:pStyle w:val="ListBullet2"/>
      </w:pPr>
      <w:r w:rsidRPr="00A75D58">
        <w:t>guarantors and co-borrowers</w:t>
      </w:r>
    </w:p>
    <w:p w:rsidR="00000000" w:rsidRPr="00A75D58" w:rsidP="00A75D58">
      <w:pPr>
        <w:pStyle w:val="ListBullet2"/>
      </w:pPr>
      <w:r w:rsidRPr="00A75D58">
        <w:t>tax debts</w:t>
      </w:r>
    </w:p>
    <w:p w:rsidR="00000000" w:rsidRPr="00A75D58" w:rsidP="00A75D58">
      <w:pPr>
        <w:pStyle w:val="ListBullet2"/>
      </w:pPr>
      <w:r w:rsidRPr="00A75D58">
        <w:t>fines and infringements</w:t>
      </w:r>
    </w:p>
    <w:p w:rsidR="00000000" w:rsidRPr="00A75D58" w:rsidP="00A75D58">
      <w:pPr>
        <w:pStyle w:val="ListBullet2"/>
      </w:pPr>
      <w:r w:rsidRPr="00A75D58">
        <w:t>government related debts</w:t>
      </w:r>
    </w:p>
    <w:p w:rsidR="00000000" w:rsidRPr="00A75D58" w:rsidP="00A75D58">
      <w:pPr>
        <w:pStyle w:val="ListBullet"/>
      </w:pPr>
      <w:r w:rsidRPr="00A75D58">
        <w:t>National and State or Territory legislation, codes of practice and guidelines including but not limited to:</w:t>
      </w:r>
    </w:p>
    <w:p w:rsidR="00000000" w:rsidRPr="00A75D58" w:rsidP="00A75D58">
      <w:pPr>
        <w:pStyle w:val="ListBullet2"/>
      </w:pPr>
      <w:r w:rsidRPr="00A75D58">
        <w:t>consumer protection laws</w:t>
      </w:r>
    </w:p>
    <w:p w:rsidR="00000000" w:rsidRPr="00A75D58" w:rsidP="00A75D58">
      <w:pPr>
        <w:pStyle w:val="ListBullet2"/>
      </w:pPr>
      <w:r w:rsidRPr="00A75D58">
        <w:t>regulatory guidance and industry c</w:t>
      </w:r>
      <w:r w:rsidRPr="00A75D58">
        <w:t>odes affecting consumers and small business</w:t>
      </w:r>
    </w:p>
    <w:p w:rsidR="00000000" w:rsidRPr="00A75D58" w:rsidP="00A75D58">
      <w:pPr>
        <w:pStyle w:val="ListBullet2"/>
      </w:pPr>
      <w:r w:rsidRPr="00A75D58">
        <w:t>National Consumer Credit Protection Act 2009 (particularly Schedule 1, National Credit Code and the provisions relating to responsible lending, hardship requirements)</w:t>
      </w:r>
    </w:p>
    <w:p w:rsidR="00000000" w:rsidRPr="00A75D58" w:rsidP="00A75D58">
      <w:pPr>
        <w:pStyle w:val="ListBullet2"/>
      </w:pPr>
      <w:r w:rsidRPr="00A75D58">
        <w:t>Competition and Consumer Act 2010 (particular</w:t>
      </w:r>
      <w:r w:rsidRPr="00A75D58">
        <w:t>ly Schedule 2, The Australian Consumer Law)</w:t>
      </w:r>
    </w:p>
    <w:p w:rsidR="00000000" w:rsidRPr="00A75D58" w:rsidP="00A75D58">
      <w:pPr>
        <w:pStyle w:val="ListBullet2"/>
      </w:pPr>
      <w:r w:rsidRPr="00A75D58">
        <w:t>fair trading acts</w:t>
      </w:r>
    </w:p>
    <w:p w:rsidR="00000000" w:rsidRPr="00A75D58" w:rsidP="00A75D58">
      <w:pPr>
        <w:pStyle w:val="ListBullet2"/>
      </w:pPr>
      <w:r w:rsidRPr="00A75D58">
        <w:t>social security law</w:t>
      </w:r>
    </w:p>
    <w:p w:rsidR="00000000" w:rsidRPr="00A75D58" w:rsidP="00A75D58">
      <w:pPr>
        <w:pStyle w:val="ListBullet2"/>
      </w:pPr>
      <w:r w:rsidRPr="00A75D58">
        <w:t>taxation law</w:t>
      </w:r>
    </w:p>
    <w:p w:rsidR="00000000" w:rsidRPr="00A75D58" w:rsidP="00A75D58">
      <w:pPr>
        <w:pStyle w:val="ListBullet2"/>
      </w:pPr>
      <w:r w:rsidRPr="00A75D58">
        <w:t>Privacy Act and credit reporting code</w:t>
      </w:r>
    </w:p>
    <w:p w:rsidR="00000000" w:rsidRPr="00A75D58" w:rsidP="00A75D58">
      <w:pPr>
        <w:pStyle w:val="ListBullet2"/>
      </w:pPr>
      <w:r w:rsidRPr="00A75D58">
        <w:t>Bankruptcy Act 1966</w:t>
      </w:r>
    </w:p>
    <w:p w:rsidR="00000000" w:rsidRPr="00A75D58" w:rsidP="00A75D58">
      <w:pPr>
        <w:pStyle w:val="ListBullet2"/>
      </w:pPr>
      <w:r w:rsidRPr="00A75D58">
        <w:t>ASIC regulatory guides, ASIC/ACCC debt collection guidelines</w:t>
      </w:r>
    </w:p>
    <w:p w:rsidR="00000000" w:rsidRPr="00A75D58" w:rsidP="00A75D58">
      <w:pPr>
        <w:pStyle w:val="ListBullet2"/>
      </w:pPr>
      <w:r w:rsidRPr="00A75D58">
        <w:t>Banking Code of Practice, Customer Owned Banking Code of Practice, Telecommunications Consumer Protection Code, energy codes, Buy Now Pay Later Code of Practice</w:t>
      </w:r>
    </w:p>
    <w:p w:rsidR="00000000" w:rsidRPr="00A75D58" w:rsidP="00A75D58">
      <w:pPr>
        <w:pStyle w:val="ListBullet2"/>
      </w:pPr>
      <w:r w:rsidRPr="00A75D58">
        <w:t>Open data and the consumer data right</w:t>
      </w:r>
    </w:p>
    <w:p w:rsidR="00000000" w:rsidRPr="00A75D58" w:rsidP="00A75D58">
      <w:pPr>
        <w:pStyle w:val="ListBullet"/>
      </w:pPr>
      <w:r w:rsidRPr="00A75D58">
        <w:t>agency protocols surrounding referral and secondary cons</w:t>
      </w:r>
      <w:r w:rsidRPr="00A75D58">
        <w:t>ultations</w:t>
      </w:r>
    </w:p>
    <w:p w:rsidR="00000000" w:rsidRPr="00A75D58" w:rsidP="00A75D58">
      <w:pPr>
        <w:pStyle w:val="ListBullet"/>
      </w:pPr>
      <w:r w:rsidRPr="00A75D58">
        <w:t>local networks for referral and support, including and not limited to:</w:t>
      </w:r>
    </w:p>
    <w:p w:rsidR="00000000" w:rsidRPr="00A75D58" w:rsidP="00A75D58">
      <w:pPr>
        <w:pStyle w:val="ListBullet2"/>
      </w:pPr>
      <w:r w:rsidRPr="00A75D58">
        <w:t>legal aid</w:t>
      </w:r>
    </w:p>
    <w:p w:rsidR="00000000" w:rsidRPr="00A75D58" w:rsidP="00A75D58">
      <w:pPr>
        <w:pStyle w:val="ListBullet2"/>
      </w:pPr>
      <w:r w:rsidRPr="00A75D58">
        <w:t>family law</w:t>
      </w:r>
    </w:p>
    <w:p w:rsidR="00000000" w:rsidRPr="00A75D58" w:rsidP="00A75D58">
      <w:pPr>
        <w:pStyle w:val="ListBullet2"/>
      </w:pPr>
      <w:r w:rsidRPr="00A75D58">
        <w:t>welfare rights centres</w:t>
      </w:r>
    </w:p>
    <w:p w:rsidR="00000000" w:rsidRPr="00A75D58" w:rsidP="00A75D58">
      <w:pPr>
        <w:pStyle w:val="ListBullet2"/>
      </w:pPr>
      <w:r w:rsidRPr="00A75D58">
        <w:t>community legal centres</w:t>
      </w:r>
    </w:p>
    <w:p w:rsidR="00000000" w:rsidRPr="00A75D58" w:rsidP="00A75D58">
      <w:pPr>
        <w:pStyle w:val="ListBullet2"/>
      </w:pPr>
      <w:r w:rsidRPr="00A75D58">
        <w:t>specialist legal centres</w:t>
      </w:r>
    </w:p>
    <w:p w:rsidR="00000000" w:rsidRPr="00A75D58" w:rsidP="00A75D58">
      <w:pPr>
        <w:pStyle w:val="ListBullet2"/>
      </w:pPr>
      <w:r w:rsidRPr="00A75D58">
        <w:t>mental health support services</w:t>
      </w:r>
    </w:p>
    <w:p w:rsidR="00000000" w:rsidRPr="00A75D58" w:rsidP="00A75D58">
      <w:pPr>
        <w:pStyle w:val="ListBullet2"/>
      </w:pPr>
      <w:r w:rsidRPr="00A75D58">
        <w:t>alcohol and other drug (AOD) support services</w:t>
      </w:r>
    </w:p>
    <w:p w:rsidR="00000000" w:rsidRPr="00A75D58" w:rsidP="00A75D58">
      <w:pPr>
        <w:pStyle w:val="ListBullet2"/>
      </w:pPr>
      <w:r w:rsidRPr="00A75D58">
        <w:t>heal</w:t>
      </w:r>
      <w:r w:rsidRPr="00A75D58">
        <w:t>th services</w:t>
      </w:r>
    </w:p>
    <w:p w:rsidR="00000000" w:rsidRPr="00A75D58" w:rsidP="00A75D58">
      <w:pPr>
        <w:pStyle w:val="ListBullet2"/>
      </w:pPr>
      <w:r w:rsidRPr="00A75D58">
        <w:t>child and family services</w:t>
      </w:r>
    </w:p>
    <w:p w:rsidR="00000000" w:rsidRPr="00A75D58" w:rsidP="00A75D58">
      <w:pPr>
        <w:pStyle w:val="ListBullet2"/>
      </w:pPr>
      <w:r w:rsidRPr="00A75D58">
        <w:t>small business advisory services</w:t>
      </w:r>
    </w:p>
    <w:p w:rsidR="00000000" w:rsidRPr="00A75D58" w:rsidP="00A75D58">
      <w:pPr>
        <w:pStyle w:val="ListBullet2"/>
      </w:pPr>
      <w:r w:rsidRPr="00A75D58">
        <w:t>family violence support services.</w:t>
      </w:r>
    </w:p>
    <w:p w:rsidR="00000000" w:rsidRPr="00A75D58" w:rsidP="00A75D58">
      <w:pPr>
        <w:pStyle w:val="AllowPageBreak"/>
      </w:pPr>
    </w:p>
    <w:p w:rsidR="00000000" w:rsidRPr="00A75D58" w:rsidP="00A75D58">
      <w:pPr>
        <w:pStyle w:val="Heading1"/>
      </w:pPr>
      <w:bookmarkStart w:id="4" w:name="O_1279830"/>
      <w:bookmarkEnd w:id="4"/>
      <w:r w:rsidRPr="00A75D58">
        <w:t>Assessment Conditions</w:t>
      </w:r>
    </w:p>
    <w:p w:rsidR="00000000" w:rsidRPr="00A75D58" w:rsidP="006C76D2">
      <w:pPr>
        <w:pStyle w:val="BodyText"/>
      </w:pPr>
      <w:r w:rsidRPr="00A75D58">
        <w:t>Skills must be demonstrated in the workplace or a simulated workplace environment. Where a simulated environment is used for the purposes of assessment, simulations and scenarios must be included that provide the full range of context and situations that w</w:t>
      </w:r>
      <w:r w:rsidRPr="00A75D58">
        <w:t>ould occur in the workplace.</w:t>
      </w:r>
    </w:p>
    <w:p w:rsidR="00000000" w:rsidRPr="00A75D58" w:rsidP="006C76D2">
      <w:pPr>
        <w:pStyle w:val="BodyText"/>
      </w:pPr>
      <w:r w:rsidRPr="00A75D58">
        <w:t>Assessment must ensure access to:</w:t>
      </w:r>
    </w:p>
    <w:p w:rsidR="00000000" w:rsidRPr="00A75D58" w:rsidP="00A75D58">
      <w:pPr>
        <w:pStyle w:val="ListBullet"/>
      </w:pPr>
      <w:r w:rsidRPr="00A75D58">
        <w:t>suitable facilities, equipment and resources, including:</w:t>
      </w:r>
    </w:p>
    <w:p w:rsidR="00000000" w:rsidRPr="00A75D58" w:rsidP="00A75D58">
      <w:pPr>
        <w:pStyle w:val="ListBullet2"/>
      </w:pPr>
      <w:r w:rsidRPr="00A75D58">
        <w:t>client information</w:t>
      </w:r>
    </w:p>
    <w:p w:rsidR="00000000" w:rsidRPr="00A75D58" w:rsidP="00A75D58">
      <w:pPr>
        <w:pStyle w:val="ListBullet2"/>
      </w:pPr>
      <w:r w:rsidRPr="00A75D58">
        <w:t>organisational policies, procedures and resources</w:t>
      </w:r>
    </w:p>
    <w:p w:rsidR="00000000" w:rsidRPr="00A75D58" w:rsidP="00A75D58">
      <w:pPr>
        <w:pStyle w:val="ListBullet2"/>
      </w:pPr>
      <w:r w:rsidRPr="00A75D58">
        <w:t>interactions with clients</w:t>
      </w:r>
    </w:p>
    <w:p w:rsidR="00000000" w:rsidRPr="00A75D58" w:rsidP="00A75D58">
      <w:pPr>
        <w:pStyle w:val="ListBullet2"/>
      </w:pPr>
      <w:r w:rsidRPr="00A75D58">
        <w:t>where necessary - scenarios and case st</w:t>
      </w:r>
      <w:r w:rsidRPr="00A75D58">
        <w:t>udies that that involve complex financial situations and problem solving</w:t>
      </w:r>
    </w:p>
    <w:p w:rsidR="00000000" w:rsidRPr="00A75D58" w:rsidP="00A75D58">
      <w:pPr>
        <w:pStyle w:val="ListBullet2"/>
      </w:pPr>
      <w:r w:rsidRPr="00A75D58">
        <w:t>interaction with other people.</w:t>
      </w:r>
    </w:p>
    <w:p w:rsidR="00000000" w:rsidRPr="00A75D58" w:rsidP="006C76D2">
      <w:pPr>
        <w:pStyle w:val="BodyText"/>
      </w:pPr>
      <w:r w:rsidRPr="00A75D58">
        <w:t>Assessors must satisfy the Standards for Registered Training Organisations’ requirements for assessors.</w:t>
      </w:r>
    </w:p>
    <w:p w:rsidR="00000000" w:rsidRPr="00A75D58" w:rsidP="00A75D58">
      <w:pPr>
        <w:pStyle w:val="Heading1"/>
      </w:pPr>
      <w:bookmarkStart w:id="5" w:name="O_1279833"/>
      <w:bookmarkEnd w:id="5"/>
      <w:r w:rsidRPr="00A75D58">
        <w:t>Links</w:t>
      </w:r>
    </w:p>
    <w:p w:rsidR="00000000" w:rsidRPr="00A75D58" w:rsidP="006C76D2">
      <w:pPr>
        <w:pStyle w:val="BodyText"/>
      </w:pPr>
      <w:r w:rsidRPr="00A75D58">
        <w:t>Companion Volume implem</w:t>
      </w:r>
      <w:r w:rsidRPr="00A75D58">
        <w:t xml:space="preserve">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8000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75D58" w:rsidP="00A75D58"/>
    <w:sectPr w:rsidSect="00A75D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58" w:rsidRPr="006C76D2" w:rsidP="006C76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D2" w:rsidP="00A75D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76D2" w:rsidP="00A75D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76D2" w:rsidP="00A75D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D58" w:rsidRPr="006C76D2" w:rsidP="006C76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D2" w:rsidRPr="002D2AF8" w:rsidP="00A75D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CHCFIN006 Establish the financial counselling relationship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C76D2" w:rsidP="00A75D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7CB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4A7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A4D3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D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D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D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D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D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D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D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D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D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D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D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D58"/>
  </w:style>
  <w:style w:type="character" w:customStyle="1" w:styleId="Heading1Char">
    <w:name w:val="Heading 1 Char"/>
    <w:basedOn w:val="DefaultParagraphFont"/>
    <w:link w:val="Heading1"/>
    <w:rsid w:val="00A75D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D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D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D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5D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D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D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5D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5D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D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D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D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D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D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D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D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D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D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D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D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D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D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D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D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D58"/>
    <w:rPr>
      <w:b/>
      <w:spacing w:val="0"/>
    </w:rPr>
  </w:style>
  <w:style w:type="paragraph" w:customStyle="1" w:styleId="SuperTitle">
    <w:name w:val="SuperTitle"/>
    <w:basedOn w:val="Title"/>
    <w:rsid w:val="00A75D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D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D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D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D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D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D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D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D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D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D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D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D58"/>
    <w:rPr>
      <w:i/>
    </w:rPr>
  </w:style>
  <w:style w:type="paragraph" w:styleId="Caption">
    <w:name w:val="caption"/>
    <w:basedOn w:val="BodyText"/>
    <w:next w:val="Normal"/>
    <w:qFormat/>
    <w:rsid w:val="00A75D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D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D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D58"/>
  </w:style>
  <w:style w:type="paragraph" w:styleId="TableofFigures">
    <w:name w:val="table of figures"/>
    <w:basedOn w:val="Normal"/>
    <w:next w:val="Normal"/>
    <w:semiHidden/>
    <w:rsid w:val="00A75D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D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5D58"/>
    <w:rPr>
      <w:rFonts w:ascii="Wingdings" w:hAnsi="Wingdings"/>
    </w:rPr>
  </w:style>
  <w:style w:type="paragraph" w:customStyle="1" w:styleId="TableHeading">
    <w:name w:val="Table Heading"/>
    <w:basedOn w:val="HeadingBase"/>
    <w:rsid w:val="00A75D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D58"/>
    <w:rPr>
      <w:color w:val="0033CC"/>
      <w:u w:val="none"/>
    </w:rPr>
  </w:style>
  <w:style w:type="paragraph" w:customStyle="1" w:styleId="BodyTextRight">
    <w:name w:val="Body Text Right"/>
    <w:basedOn w:val="BodyText"/>
    <w:rsid w:val="00A75D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D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D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D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D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D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D58"/>
    <w:rPr>
      <w:sz w:val="32"/>
    </w:rPr>
  </w:style>
  <w:style w:type="paragraph" w:customStyle="1" w:styleId="HeadingProcedure">
    <w:name w:val="Heading Procedure"/>
    <w:basedOn w:val="HeadingBase"/>
    <w:next w:val="Normal"/>
    <w:rsid w:val="00A75D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D58"/>
    <w:pPr>
      <w:spacing w:before="60" w:after="60"/>
    </w:pPr>
  </w:style>
  <w:style w:type="paragraph" w:styleId="ListContinue">
    <w:name w:val="List Continue"/>
    <w:basedOn w:val="List"/>
    <w:rsid w:val="00A75D58"/>
    <w:pPr>
      <w:ind w:firstLine="0"/>
    </w:pPr>
  </w:style>
  <w:style w:type="paragraph" w:customStyle="1" w:styleId="ListNote">
    <w:name w:val="List Note"/>
    <w:basedOn w:val="List"/>
    <w:rsid w:val="00A75D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D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D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D58"/>
    <w:rPr>
      <w:rFonts w:ascii="Courier New" w:hAnsi="Courier New"/>
    </w:rPr>
  </w:style>
  <w:style w:type="paragraph" w:customStyle="1" w:styleId="NoteBullet">
    <w:name w:val="Note Bullet"/>
    <w:basedOn w:val="Note"/>
    <w:rsid w:val="00A75D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D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D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D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D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5D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D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D58"/>
    <w:rPr>
      <w:b/>
      <w:smallCaps/>
    </w:rPr>
  </w:style>
  <w:style w:type="paragraph" w:customStyle="1" w:styleId="TableListNumber">
    <w:name w:val="Table List Number"/>
    <w:basedOn w:val="ListNumber"/>
    <w:rsid w:val="00A75D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D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D58"/>
    <w:pPr>
      <w:numPr>
        <w:numId w:val="10"/>
      </w:numPr>
    </w:pPr>
  </w:style>
  <w:style w:type="paragraph" w:customStyle="1" w:styleId="ListAlpha2">
    <w:name w:val="List Alpha 2"/>
    <w:basedOn w:val="List2"/>
    <w:rsid w:val="00A75D58"/>
    <w:pPr>
      <w:numPr>
        <w:numId w:val="9"/>
      </w:numPr>
    </w:pPr>
  </w:style>
  <w:style w:type="paragraph" w:styleId="List2">
    <w:name w:val="List 2"/>
    <w:basedOn w:val="BodyText"/>
    <w:rsid w:val="00A75D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D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D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D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5D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5D58"/>
    <w:pPr>
      <w:numPr>
        <w:numId w:val="5"/>
      </w:numPr>
    </w:pPr>
  </w:style>
  <w:style w:type="paragraph" w:styleId="ListContinue2">
    <w:name w:val="List Continue 2"/>
    <w:basedOn w:val="List2"/>
    <w:rsid w:val="00A75D58"/>
    <w:pPr>
      <w:ind w:firstLine="0"/>
    </w:pPr>
  </w:style>
  <w:style w:type="paragraph" w:styleId="ListContinue3">
    <w:name w:val="List Continue 3"/>
    <w:basedOn w:val="List3"/>
    <w:rsid w:val="00A75D58"/>
    <w:pPr>
      <w:ind w:left="1021" w:firstLine="0"/>
    </w:pPr>
  </w:style>
  <w:style w:type="paragraph" w:styleId="ListContinue4">
    <w:name w:val="List Continue 4"/>
    <w:basedOn w:val="List4"/>
    <w:rsid w:val="00A75D58"/>
    <w:pPr>
      <w:ind w:firstLine="0"/>
    </w:pPr>
  </w:style>
  <w:style w:type="paragraph" w:styleId="ListContinue5">
    <w:name w:val="List Continue 5"/>
    <w:basedOn w:val="List5"/>
    <w:rsid w:val="00A75D58"/>
    <w:pPr>
      <w:ind w:firstLine="0"/>
    </w:pPr>
  </w:style>
  <w:style w:type="paragraph" w:styleId="ListNumber3">
    <w:name w:val="List Number 3"/>
    <w:basedOn w:val="List3"/>
    <w:rsid w:val="00A75D58"/>
    <w:pPr>
      <w:numPr>
        <w:numId w:val="6"/>
      </w:numPr>
    </w:pPr>
  </w:style>
  <w:style w:type="paragraph" w:styleId="ListNumber4">
    <w:name w:val="List Number 4"/>
    <w:basedOn w:val="List4"/>
    <w:rsid w:val="00A75D58"/>
    <w:pPr>
      <w:numPr>
        <w:numId w:val="7"/>
      </w:numPr>
    </w:pPr>
  </w:style>
  <w:style w:type="paragraph" w:styleId="ListNumber5">
    <w:name w:val="List Number 5"/>
    <w:basedOn w:val="List5"/>
    <w:rsid w:val="00A75D58"/>
    <w:pPr>
      <w:numPr>
        <w:numId w:val="8"/>
      </w:numPr>
    </w:pPr>
  </w:style>
  <w:style w:type="paragraph" w:styleId="BlockText">
    <w:name w:val="Block Text"/>
    <w:basedOn w:val="Normal"/>
    <w:rsid w:val="00A75D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D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D58"/>
    <w:rPr>
      <w:sz w:val="16"/>
      <w:vertAlign w:val="superscript"/>
    </w:rPr>
  </w:style>
  <w:style w:type="character" w:customStyle="1" w:styleId="Symbols">
    <w:name w:val="Symbols"/>
    <w:basedOn w:val="DefaultParagraphFont"/>
    <w:rsid w:val="00A75D58"/>
    <w:rPr>
      <w:rFonts w:ascii="Symbol" w:hAnsi="Symbol"/>
    </w:rPr>
  </w:style>
  <w:style w:type="character" w:customStyle="1" w:styleId="MenuOptions">
    <w:name w:val="Menu Options"/>
    <w:basedOn w:val="DefaultParagraphFont"/>
    <w:rsid w:val="00A75D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D58"/>
    <w:rPr>
      <w:b/>
    </w:rPr>
  </w:style>
  <w:style w:type="character" w:customStyle="1" w:styleId="Underlined">
    <w:name w:val="Underlined"/>
    <w:basedOn w:val="DefaultParagraphFont"/>
    <w:rsid w:val="00A75D58"/>
    <w:rPr>
      <w:u w:val="single"/>
    </w:rPr>
  </w:style>
  <w:style w:type="paragraph" w:customStyle="1" w:styleId="TableBodyTextRight">
    <w:name w:val="Table Body Text Right"/>
    <w:basedOn w:val="TableBodyText"/>
    <w:rsid w:val="00A75D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D58"/>
    <w:rPr>
      <w:sz w:val="18"/>
    </w:rPr>
  </w:style>
  <w:style w:type="paragraph" w:customStyle="1" w:styleId="BodySmallRight">
    <w:name w:val="Body Small Right"/>
    <w:basedOn w:val="BodyTextRight"/>
    <w:rsid w:val="00A75D58"/>
    <w:rPr>
      <w:sz w:val="18"/>
      <w:szCs w:val="18"/>
    </w:rPr>
  </w:style>
  <w:style w:type="paragraph" w:customStyle="1" w:styleId="MarginEdition">
    <w:name w:val="Margin Edition"/>
    <w:basedOn w:val="MarginNote"/>
    <w:rsid w:val="00A75D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D58"/>
    <w:rPr>
      <w:sz w:val="2"/>
      <w:szCs w:val="2"/>
    </w:rPr>
  </w:style>
  <w:style w:type="character" w:customStyle="1" w:styleId="Small">
    <w:name w:val="Small"/>
    <w:basedOn w:val="DefaultParagraphFont"/>
    <w:rsid w:val="00A75D58"/>
    <w:rPr>
      <w:sz w:val="16"/>
    </w:rPr>
  </w:style>
  <w:style w:type="paragraph" w:customStyle="1" w:styleId="WideTable">
    <w:name w:val="Wide Table"/>
    <w:basedOn w:val="Normal"/>
    <w:rsid w:val="00A75D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D58"/>
  </w:style>
  <w:style w:type="paragraph" w:styleId="Quote">
    <w:name w:val="Quote"/>
    <w:basedOn w:val="Heading1"/>
    <w:link w:val="QuoteChar"/>
    <w:qFormat/>
    <w:rsid w:val="00A75D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D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D58"/>
    <w:pPr>
      <w:pageBreakBefore/>
    </w:pPr>
  </w:style>
  <w:style w:type="paragraph" w:customStyle="1" w:styleId="Border">
    <w:name w:val="Border"/>
    <w:basedOn w:val="Normal"/>
    <w:qFormat/>
    <w:rsid w:val="00A75D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D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D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D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D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D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D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D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D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D58"/>
    <w:rPr>
      <w:u w:val="single"/>
    </w:rPr>
  </w:style>
  <w:style w:type="character" w:customStyle="1" w:styleId="BoldandItalics">
    <w:name w:val="Bold and Italics"/>
    <w:qFormat/>
    <w:rsid w:val="00A75D58"/>
    <w:rPr>
      <w:b/>
      <w:i/>
      <w:u w:val="none"/>
    </w:rPr>
  </w:style>
  <w:style w:type="paragraph" w:styleId="BalloonText">
    <w:name w:val="Balloon Text"/>
    <w:basedOn w:val="Normal"/>
    <w:link w:val="BalloonTextChar"/>
    <w:rsid w:val="00A75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D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D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D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D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D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D58"/>
    <w:pPr>
      <w:spacing w:before="0" w:after="0"/>
    </w:pPr>
  </w:style>
  <w:style w:type="paragraph" w:customStyle="1" w:styleId="BodyTextBold">
    <w:name w:val="Body Text Bold"/>
    <w:basedOn w:val="BodyText"/>
    <w:qFormat/>
    <w:rsid w:val="00A75D58"/>
    <w:rPr>
      <w:b/>
    </w:rPr>
  </w:style>
  <w:style w:type="character" w:styleId="Hyperlink">
    <w:name w:val="Hyperlink"/>
    <w:basedOn w:val="DefaultParagraphFont"/>
    <w:uiPriority w:val="99"/>
    <w:unhideWhenUsed/>
    <w:rsid w:val="006C76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1066</Words>
  <Characters>6879</Characters>
  <Application>Microsoft Office Word</Application>
  <DocSecurity>0</DocSecurity>
  <Lines>208</Lines>
  <Paragraphs>193</Paragraphs>
  <ScaleCrop>false</ScaleCrop>
  <Company>Author-it Software Corporation Ltd.</Company>
  <LinksUpToDate>false</LinksUpToDate>
  <CharactersWithSpaces>7752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CHCFIN006 Establish the financial counselling relationship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2023-07-01T04:10:00Z</dcterms:created>
  <dcterms:modified xsi:type="dcterms:W3CDTF">2023-07-01T04:10:00Z</dcterms:modified>
</cp:coreProperties>
</file>