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404" w:rsidP="00B57404">
      <w:pPr>
        <w:pStyle w:val="Title"/>
      </w:pPr>
      <w:r>
        <w:fldChar w:fldCharType="begin"/>
      </w:r>
      <w:r>
        <w:instrText xml:space="preserve"> TITLE   \* MERGEFORMAT </w:instrText>
      </w:r>
      <w:r>
        <w:fldChar w:fldCharType="separate"/>
      </w:r>
      <w:r>
        <w:t>CHCFIN005 Provide responsible online wagering services</w:t>
      </w:r>
      <w:r>
        <w:fldChar w:fldCharType="end"/>
      </w:r>
    </w:p>
    <w:p w:rsidR="00B57404" w:rsidP="00B57404">
      <w:pPr>
        <w:pStyle w:val="Version"/>
        <w:sectPr w:rsidSect="00100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C05" w:rsidP="00100C05">
      <w:pPr>
        <w:pStyle w:val="SuperHeading"/>
      </w:pPr>
      <w:r w:rsidRPr="00100C05">
        <w:t>CHCFIN005 Provide responsible online wagering services</w:t>
      </w:r>
    </w:p>
    <w:p w:rsidR="00000000" w:rsidRPr="00100C05" w:rsidP="00100C05">
      <w:pPr>
        <w:pStyle w:val="Heading1"/>
      </w:pPr>
      <w:bookmarkStart w:id="1" w:name="O_1175142"/>
      <w:bookmarkEnd w:id="1"/>
      <w:r w:rsidRPr="00100C05">
        <w:t>Modification History</w:t>
      </w:r>
    </w:p>
    <w:p w:rsidR="00000000" w:rsidRPr="00100C05" w:rsidP="00B57404">
      <w:pPr>
        <w:pStyle w:val="BodyText"/>
      </w:pPr>
      <w:r w:rsidRPr="00100C05">
        <w:t xml:space="preserve">Release 1. CHCFIN005 Provide responsible online wagering services. New unit. No equivalent unit. </w:t>
      </w:r>
    </w:p>
    <w:p w:rsidR="00000000" w:rsidRPr="00100C05" w:rsidP="00100C05">
      <w:pPr>
        <w:pStyle w:val="Heading1"/>
      </w:pPr>
      <w:bookmarkStart w:id="2" w:name="O_1175143"/>
      <w:bookmarkEnd w:id="2"/>
      <w:r w:rsidRPr="00100C05">
        <w:t>Application</w:t>
      </w:r>
    </w:p>
    <w:p w:rsidR="00000000" w:rsidRPr="00100C05" w:rsidP="00B57404">
      <w:pPr>
        <w:pStyle w:val="BodyText"/>
      </w:pPr>
      <w:r w:rsidRPr="00100C05">
        <w:t>This unit describes the performance outcomes, skills and knowledge required to provide r</w:t>
      </w:r>
      <w:r w:rsidRPr="00100C05">
        <w:t>esponsible online wagering services, and to assist those customers who may be at risk of or are already experiencing harm from online wagering.</w:t>
      </w:r>
    </w:p>
    <w:p w:rsidR="00000000" w:rsidRPr="00100C05" w:rsidP="00B57404">
      <w:pPr>
        <w:pStyle w:val="BodyText"/>
      </w:pPr>
      <w:r w:rsidRPr="00100C05">
        <w:t xml:space="preserve">Responsible provision of online wagering services must be undertaken whenever such services are provided and is </w:t>
      </w:r>
      <w:r w:rsidRPr="00100C05">
        <w:t>an essential skill for all personnel involved in the provision of wagering services, or with the capacity to influence wagering services. This may include online wagering that is conducted using any telecommunication service.</w:t>
      </w:r>
    </w:p>
    <w:p w:rsidR="00000000" w:rsidRPr="00100C05" w:rsidP="00B57404">
      <w:pPr>
        <w:pStyle w:val="BodyText"/>
      </w:pPr>
      <w:r w:rsidRPr="00100C05">
        <w:t>Job roles within online wageri</w:t>
      </w:r>
      <w:r w:rsidRPr="00100C05">
        <w:t>ng services may include supervisory and management and operational or customer service staff involved in the provision of online wagering services including customer account managers, responsible gaming officers and marketing and communications staff.</w:t>
      </w:r>
    </w:p>
    <w:p w:rsidR="00000000" w:rsidRPr="00100C05" w:rsidP="00B57404">
      <w:pPr>
        <w:pStyle w:val="BodyText"/>
      </w:pPr>
      <w:r w:rsidRPr="00100C05">
        <w:t xml:space="preserve">The </w:t>
      </w:r>
      <w:r w:rsidRPr="00100C05">
        <w:t>unit also relates to satisfying the requirements for providing responsible online wagering services under state and territory legislation. The terms used to describe this vary across state and territory regulatory bodies and can include Responsible Conduct</w:t>
      </w:r>
      <w:r w:rsidRPr="00100C05">
        <w:t xml:space="preserve"> of Gambling (RCG), Responsible Service of Gaming, or Responsible Service of Gambling (RSG).</w:t>
      </w:r>
    </w:p>
    <w:p w:rsidR="00000000" w:rsidRPr="00100C05" w:rsidP="00B57404">
      <w:pPr>
        <w:pStyle w:val="BodyText"/>
      </w:pPr>
      <w:r w:rsidRPr="00100C05">
        <w:t>Under differing state and territory legislation this may be a required certification unit for certain nominated personnel operating online wagering services.</w:t>
      </w:r>
    </w:p>
    <w:p w:rsidR="00000000" w:rsidRPr="00100C05" w:rsidP="00B57404">
      <w:pPr>
        <w:pStyle w:val="BodyText"/>
      </w:pPr>
      <w:r w:rsidRPr="00100C05">
        <w:t>No oc</w:t>
      </w:r>
      <w:r w:rsidRPr="00100C05">
        <w:t>cupational licensing, certification or specific legislative requirements apply to this unit at the time of publication.</w:t>
      </w:r>
    </w:p>
    <w:p w:rsidR="00000000" w:rsidRPr="00100C05" w:rsidP="00B57404">
      <w:pPr>
        <w:pStyle w:val="BodyText"/>
      </w:pPr>
      <w:r w:rsidRPr="00100C05">
        <w:t>Those developing training to support this unit must consult the relevant state and territory gaming licensing authority to determine any</w:t>
      </w:r>
      <w:r w:rsidRPr="00100C05">
        <w:t xml:space="preserve"> specific State/Territory regulation that is applicable at the time of training delivery, as well as accreditation arrangements for courses, trainers and assessors.</w:t>
      </w:r>
    </w:p>
    <w:p w:rsidR="00000000" w:rsidRPr="00100C05" w:rsidP="00100C05">
      <w:pPr>
        <w:pStyle w:val="Heading1"/>
      </w:pPr>
      <w:bookmarkStart w:id="3" w:name="O_1175144"/>
      <w:bookmarkEnd w:id="3"/>
      <w:r w:rsidRPr="00100C05">
        <w:t>Pre-requisite Unit</w:t>
      </w:r>
    </w:p>
    <w:p w:rsidR="00000000" w:rsidRPr="00100C05" w:rsidP="00B57404">
      <w:pPr>
        <w:pStyle w:val="BodyText"/>
      </w:pPr>
      <w:r w:rsidRPr="00100C05">
        <w:t xml:space="preserve">Nil </w:t>
      </w:r>
    </w:p>
    <w:p w:rsidR="00000000" w:rsidRPr="00100C05" w:rsidP="00100C05">
      <w:pPr>
        <w:pStyle w:val="Heading1"/>
      </w:pPr>
      <w:bookmarkStart w:id="4" w:name="O_1175146"/>
      <w:bookmarkEnd w:id="4"/>
      <w:r w:rsidRPr="00100C05">
        <w:t>Unit Sector</w:t>
      </w:r>
    </w:p>
    <w:p w:rsidR="00000000" w:rsidRPr="00100C05" w:rsidP="00B57404">
      <w:pPr>
        <w:pStyle w:val="BodyText"/>
      </w:pPr>
      <w:r w:rsidRPr="00100C05">
        <w:t>Community Service</w:t>
      </w:r>
      <w:r w:rsidRPr="00100C05">
        <w:t>s</w:t>
      </w:r>
    </w:p>
    <w:p w:rsidR="00000000" w:rsidRPr="00100C05" w:rsidP="00100C05">
      <w:pPr>
        <w:pStyle w:val="Heading1"/>
      </w:pPr>
      <w:bookmarkStart w:id="5" w:name="O_1175147"/>
      <w:bookmarkEnd w:id="5"/>
      <w:r w:rsidRPr="00100C05">
        <w:t>Elements and Performance Criteria</w:t>
      </w:r>
    </w:p>
    <w:tbl>
      <w:tblPr>
        <w:tblW w:w="0" w:type="auto"/>
        <w:tblLayout w:type="fixed"/>
        <w:tblCellMar>
          <w:left w:w="62" w:type="dxa"/>
          <w:right w:w="62" w:type="dxa"/>
        </w:tblCellMar>
        <w:tblLook w:val="0000"/>
      </w:tblPr>
      <w:tblGrid>
        <w:gridCol w:w="2694"/>
        <w:gridCol w:w="6350"/>
      </w:tblGrid>
      <w:tr w:rsidTr="00100C05">
        <w:tblPrEx>
          <w:tblW w:w="0" w:type="auto"/>
          <w:tblLayout w:type="fixed"/>
          <w:tblCellMar>
            <w:left w:w="62" w:type="dxa"/>
            <w:right w:w="62" w:type="dxa"/>
          </w:tblCellMar>
          <w:tblLook w:val="0000"/>
        </w:tblPrEx>
        <w:trPr>
          <w:trHeight w:val="344"/>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BodyText"/>
            </w:pPr>
            <w:r w:rsidRPr="00100C05">
              <w:rPr>
                <w:rStyle w:val="SpecialBold"/>
              </w:rPr>
              <w:t>ELEMENTS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rPr>
                <w:rStyle w:val="SpecialBold"/>
              </w:rPr>
              <w:t>PERFORMANCE</w:t>
            </w:r>
            <w:r w:rsidRPr="00100C05">
              <w:t xml:space="preserve"> </w:t>
            </w:r>
            <w:r w:rsidRPr="00100C05">
              <w:rPr>
                <w:rStyle w:val="SpecialBold"/>
              </w:rPr>
              <w:t>CRITERIA</w:t>
            </w:r>
          </w:p>
        </w:tc>
      </w:tr>
      <w:tr w:rsidTr="00100C05">
        <w:tblPrEx>
          <w:tblW w:w="0" w:type="auto"/>
          <w:tblLayout w:type="fixed"/>
          <w:tblCellMar>
            <w:left w:w="62" w:type="dxa"/>
            <w:right w:w="62" w:type="dxa"/>
          </w:tblCellMar>
          <w:tblLook w:val="0000"/>
        </w:tblPrEx>
        <w:trPr>
          <w:trHeight w:val="516"/>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BodyText"/>
            </w:pPr>
            <w:r w:rsidRPr="00100C05">
              <w:rPr>
                <w:rStyle w:val="Emphasis"/>
              </w:rPr>
              <w:t>Elements describe the essential outcomes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rPr>
                <w:rStyle w:val="Emphasis"/>
              </w:rPr>
              <w:t>Performance criteria describe the performance needed to demonstrate achievement of the element.</w:t>
            </w:r>
          </w:p>
        </w:tc>
      </w:tr>
      <w:tr w:rsidTr="00100C05">
        <w:tblPrEx>
          <w:tblW w:w="0" w:type="auto"/>
          <w:tblLayout w:type="fixed"/>
          <w:tblCellMar>
            <w:left w:w="62" w:type="dxa"/>
            <w:right w:w="62" w:type="dxa"/>
          </w:tblCellMar>
          <w:tblLook w:val="0000"/>
        </w:tblPrEx>
        <w:trPr>
          <w:trHeight w:val="3016"/>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List"/>
              <w:rPr>
                <w:lang w:val="en-NZ"/>
              </w:rPr>
            </w:pPr>
            <w:r w:rsidRPr="00100C05">
              <w:t>1.  Comply with legislative and regulatory requirements and industry and organisational codes of conduct for online wagering.</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
            </w:pPr>
            <w:r w:rsidRPr="00100C05">
              <w:t>1.1. Evaluate contents of relevant legislation, regulatory information and industry codes of conduct and their significance to own</w:t>
            </w:r>
            <w:r w:rsidRPr="00100C05">
              <w:t xml:space="preserve"> job role. </w:t>
            </w:r>
          </w:p>
          <w:p w:rsidR="00000000" w:rsidRPr="00100C05" w:rsidP="00100C05">
            <w:pPr>
              <w:pStyle w:val="List"/>
            </w:pPr>
            <w:r w:rsidRPr="00100C05">
              <w:t>1.2. Clarify requirements of regulations and codes of practice with relevant personnel to ensure understanding and compliance.</w:t>
            </w:r>
          </w:p>
          <w:p w:rsidR="00000000" w:rsidRPr="00100C05" w:rsidP="00100C05">
            <w:pPr>
              <w:pStyle w:val="List"/>
            </w:pPr>
            <w:r w:rsidRPr="00100C05">
              <w:t>1.3. Act according to regulatory requirements and principles of relevant codes of conduct, seeking advice from releva</w:t>
            </w:r>
            <w:r w:rsidRPr="00100C05">
              <w:t>nt person or authority when issues arise.</w:t>
            </w:r>
          </w:p>
          <w:p w:rsidR="00000000" w:rsidP="00100C05">
            <w:pPr>
              <w:pStyle w:val="List"/>
              <w:rPr>
                <w:lang w:val="en-NZ"/>
              </w:rPr>
            </w:pPr>
            <w:r w:rsidRPr="00100C05">
              <w:t xml:space="preserve">1.4. Identify conflicts of interest between responsible wagering and own role and report to the appropriate person, according to organisational policies and procedures. </w:t>
            </w:r>
          </w:p>
        </w:tc>
      </w:tr>
      <w:tr w:rsidTr="00100C05">
        <w:tblPrEx>
          <w:tblW w:w="0" w:type="auto"/>
          <w:tblLayout w:type="fixed"/>
          <w:tblCellMar>
            <w:left w:w="62" w:type="dxa"/>
            <w:right w:w="62" w:type="dxa"/>
          </w:tblCellMar>
          <w:tblLook w:val="0000"/>
        </w:tblPrEx>
        <w:trPr>
          <w:trHeight w:val="325"/>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List"/>
              <w:rPr>
                <w:lang w:val="en-NZ"/>
              </w:rPr>
            </w:pPr>
            <w:r w:rsidRPr="00100C05">
              <w:t>2.  Implement responsible online wagering p</w:t>
            </w:r>
            <w:r w:rsidRPr="00100C05">
              <w:t>ractices.</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
            </w:pPr>
            <w:r w:rsidRPr="00100C05">
              <w:t xml:space="preserve">2.1. Carry out duties of own job role using responsible gambling service practices and adhering to principles of harm minimisation and </w:t>
            </w:r>
            <w:r w:rsidRPr="00100C05">
              <w:t>reduction, according to relevant state and territory legislation and industry and organisational policy and codes of conduct.</w:t>
            </w:r>
          </w:p>
          <w:p w:rsidR="00000000" w:rsidRPr="00100C05" w:rsidP="00100C05">
            <w:pPr>
              <w:pStyle w:val="List"/>
            </w:pPr>
            <w:r w:rsidRPr="00100C05">
              <w:t xml:space="preserve">2.2. Support customers to engage in safe online wagering practices. </w:t>
            </w:r>
          </w:p>
          <w:p w:rsidR="00000000" w:rsidRPr="00100C05" w:rsidP="00100C05">
            <w:pPr>
              <w:pStyle w:val="List"/>
            </w:pPr>
            <w:r w:rsidRPr="00100C05">
              <w:t>2.3. Proactively monitor customer wagering behaviour to ident</w:t>
            </w:r>
            <w:r w:rsidRPr="00100C05">
              <w:t>ify opportunities for intervention or referral aimed at prevention of gambling harm.</w:t>
            </w:r>
          </w:p>
          <w:p w:rsidR="00000000" w:rsidRPr="00100C05" w:rsidP="00100C05">
            <w:pPr>
              <w:pStyle w:val="List"/>
            </w:pPr>
            <w:r w:rsidRPr="00100C05">
              <w:t>2.4. Identify customers at risk of harm from online wagering and take action to mitigate and reduce harm within scope of own job role.</w:t>
            </w:r>
          </w:p>
          <w:p w:rsidR="00000000" w:rsidRPr="00100C05" w:rsidP="00100C05">
            <w:pPr>
              <w:pStyle w:val="List"/>
            </w:pPr>
            <w:r w:rsidRPr="00100C05">
              <w:t>2.5. Identify behaviours of customer</w:t>
            </w:r>
            <w:r w:rsidRPr="00100C05">
              <w:t>s that indicate the need for exclusion due to potentially harmful online wagering.</w:t>
            </w:r>
          </w:p>
          <w:p w:rsidR="00000000" w:rsidRPr="00100C05" w:rsidP="00100C05">
            <w:pPr>
              <w:pStyle w:val="List"/>
            </w:pPr>
            <w:r w:rsidRPr="00100C05">
              <w:t>2.6. Maintain accurate records of gambling</w:t>
            </w:r>
            <w:r w:rsidRPr="00100C05">
              <w:noBreakHyphen/>
              <w:t>related incidents and associated staff action according to regulatory, industry and organisational policy and procedures and withi</w:t>
            </w:r>
            <w:r w:rsidRPr="00100C05">
              <w:t>n scope of own job role.</w:t>
            </w:r>
          </w:p>
          <w:p w:rsidR="00000000" w:rsidP="00100C05">
            <w:pPr>
              <w:pStyle w:val="List"/>
              <w:rPr>
                <w:lang w:val="en-NZ"/>
              </w:rPr>
            </w:pPr>
            <w:r w:rsidRPr="00100C05">
              <w:t>2.7. Respond to complaints sensitively, courteously and respectfully and refer to relevant person or authority as required.</w:t>
            </w:r>
          </w:p>
        </w:tc>
      </w:tr>
      <w:tr w:rsidTr="00100C05">
        <w:tblPrEx>
          <w:tblW w:w="0" w:type="auto"/>
          <w:tblLayout w:type="fixed"/>
          <w:tblCellMar>
            <w:left w:w="62" w:type="dxa"/>
            <w:right w:w="62" w:type="dxa"/>
          </w:tblCellMar>
          <w:tblLook w:val="0000"/>
        </w:tblPrEx>
        <w:trPr>
          <w:trHeight w:val="325"/>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List"/>
              <w:rPr>
                <w:lang w:val="en-NZ"/>
              </w:rPr>
            </w:pPr>
            <w:r w:rsidRPr="00100C05">
              <w:t xml:space="preserve">3.  Provide information and assistance to customers regarding gambling harm and </w:t>
            </w:r>
            <w:r w:rsidRPr="00100C05">
              <w:t xml:space="preserve">harm minimisation. </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
            </w:pPr>
            <w:r w:rsidRPr="00100C05">
              <w:t>3.1. P</w:t>
            </w:r>
            <w:r w:rsidRPr="00100C05">
              <w:t>rovide information on impacts of harm from gambling and gambling harm minimisation and reduction to customers to enable them to make informed decisions about their participation.</w:t>
            </w:r>
          </w:p>
          <w:p w:rsidR="00000000" w:rsidRPr="00100C05" w:rsidP="00100C05">
            <w:pPr>
              <w:pStyle w:val="List"/>
            </w:pPr>
            <w:r w:rsidRPr="00100C05">
              <w:t>3.2. Discuss support service options and benefits of seeking support with cus</w:t>
            </w:r>
            <w:r w:rsidRPr="00100C05">
              <w:t>tomer.</w:t>
            </w:r>
          </w:p>
          <w:p w:rsidR="00000000" w:rsidRPr="00100C05" w:rsidP="00100C05">
            <w:pPr>
              <w:pStyle w:val="List"/>
            </w:pPr>
            <w:r w:rsidRPr="00100C05">
              <w:t xml:space="preserve">3.3. Follow procedures for exclusion, including self-exclusion, according to legislation, industry and organisational policy, and confidentiality and privacy requirements. </w:t>
            </w:r>
          </w:p>
          <w:p w:rsidR="00000000" w:rsidRPr="00100C05" w:rsidP="00100C05">
            <w:pPr>
              <w:pStyle w:val="List"/>
            </w:pPr>
            <w:r w:rsidRPr="00100C05">
              <w:t>3.4. Provide customer with referral options using appropriate method of comm</w:t>
            </w:r>
            <w:r w:rsidRPr="00100C05">
              <w:t>unication according to level of potential risk of harm associated with online wagering.</w:t>
            </w:r>
          </w:p>
          <w:p w:rsidR="00000000" w:rsidRPr="00100C05" w:rsidP="00100C05">
            <w:pPr>
              <w:pStyle w:val="List"/>
            </w:pPr>
            <w:r w:rsidRPr="00100C05">
              <w:t>3.5. Provide customer with information on how to lodge complaints with regulators or others as required.</w:t>
            </w:r>
          </w:p>
          <w:p w:rsidR="00000000" w:rsidP="00100C05">
            <w:pPr>
              <w:pStyle w:val="List"/>
              <w:rPr>
                <w:lang w:val="en-NZ"/>
              </w:rPr>
            </w:pPr>
            <w:r w:rsidRPr="00100C05">
              <w:t>3.6. Communicate with customers in a timely, professional and p</w:t>
            </w:r>
            <w:r w:rsidRPr="00100C05">
              <w:t>ositive manner that displays empathy and provides validation.</w:t>
            </w:r>
          </w:p>
        </w:tc>
      </w:tr>
      <w:tr w:rsidTr="00100C05">
        <w:tblPrEx>
          <w:tblW w:w="0" w:type="auto"/>
          <w:tblLayout w:type="fixed"/>
          <w:tblCellMar>
            <w:left w:w="62" w:type="dxa"/>
            <w:right w:w="62" w:type="dxa"/>
          </w:tblCellMar>
          <w:tblLook w:val="0000"/>
        </w:tblPrEx>
        <w:trPr>
          <w:trHeight w:val="4770"/>
        </w:trPr>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4.  Mitigate risks relating to online wagering.</w:t>
            </w:r>
          </w:p>
        </w:tc>
        <w:tc>
          <w:tcPr>
            <w:tcW w:w="6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
            </w:pPr>
            <w:r w:rsidRPr="00100C05">
              <w:t xml:space="preserve">4.1. Use filtering processes to verify identification and prevent access by those under 18 years of age. </w:t>
            </w:r>
          </w:p>
          <w:p w:rsidR="00000000" w:rsidRPr="00100C05" w:rsidP="00100C05">
            <w:pPr>
              <w:pStyle w:val="List"/>
            </w:pPr>
            <w:r w:rsidRPr="00100C05">
              <w:t>4.2. Immediately close customer account</w:t>
            </w:r>
            <w:r w:rsidRPr="00100C05">
              <w:t xml:space="preserve"> if identification processes show customer is a minor.</w:t>
            </w:r>
          </w:p>
          <w:p w:rsidR="00000000" w:rsidRPr="00100C05" w:rsidP="00100C05">
            <w:pPr>
              <w:pStyle w:val="List"/>
            </w:pPr>
            <w:r w:rsidRPr="00100C05">
              <w:t>4.3. Use filtering processes to identify excluded customers and immediately close customer account when excluded customer is identified.</w:t>
            </w:r>
          </w:p>
          <w:p w:rsidR="00000000" w:rsidRPr="00100C05" w:rsidP="00100C05">
            <w:pPr>
              <w:pStyle w:val="List"/>
            </w:pPr>
            <w:r w:rsidRPr="00100C05">
              <w:t>4.4. Remove excluded customers from marketing communications and</w:t>
            </w:r>
            <w:r w:rsidRPr="00100C05">
              <w:t xml:space="preserve"> advertising and promotion database to ensure they are not encouraged to return to wagering.</w:t>
            </w:r>
          </w:p>
          <w:p w:rsidR="00000000" w:rsidRPr="00100C05" w:rsidP="00100C05">
            <w:pPr>
              <w:pStyle w:val="List"/>
            </w:pPr>
            <w:r w:rsidRPr="00100C05">
              <w:t xml:space="preserve">4.5. Ensure advertising and promotion to customers provides information on risks and potential harm of gambling and online wagering in </w:t>
            </w:r>
            <w:r w:rsidRPr="00100C05">
              <w:t xml:space="preserve">line with relevant legislative frameworks.  </w:t>
            </w:r>
          </w:p>
          <w:p w:rsidR="00000000" w:rsidRPr="00100C05" w:rsidP="00100C05">
            <w:pPr>
              <w:pStyle w:val="List"/>
            </w:pPr>
            <w:r w:rsidRPr="00100C05">
              <w:t>4.6. Protect confidentiality and privacy of information provided by customers according to regulations and organisational policies and procedures.</w:t>
            </w:r>
          </w:p>
        </w:tc>
      </w:tr>
    </w:tbl>
    <w:p w:rsidR="00000000" w:rsidRPr="00100C05" w:rsidP="00100C05">
      <w:pPr>
        <w:pStyle w:val="BodyText"/>
      </w:pPr>
    </w:p>
    <w:p w:rsidR="00000000" w:rsidRPr="00100C05" w:rsidP="00100C05">
      <w:pPr>
        <w:pStyle w:val="AllowPageBreak"/>
      </w:pPr>
    </w:p>
    <w:p w:rsidR="00000000" w:rsidRPr="00100C05" w:rsidP="00100C05">
      <w:pPr>
        <w:pStyle w:val="Heading1"/>
      </w:pPr>
      <w:bookmarkStart w:id="6" w:name="O_1175148"/>
      <w:bookmarkEnd w:id="6"/>
      <w:r w:rsidRPr="00100C05">
        <w:t>Foundation Skills</w:t>
      </w:r>
    </w:p>
    <w:tbl>
      <w:tblPr>
        <w:tblW w:w="0" w:type="auto"/>
        <w:tblLayout w:type="fixed"/>
        <w:tblCellMar>
          <w:left w:w="62" w:type="dxa"/>
          <w:right w:w="62" w:type="dxa"/>
        </w:tblCellMar>
        <w:tblLook w:val="0000"/>
      </w:tblPr>
      <w:tblGrid>
        <w:gridCol w:w="2728"/>
        <w:gridCol w:w="6429"/>
      </w:tblGrid>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00C05" w:rsidP="00100C05">
            <w:pPr>
              <w:pStyle w:val="BodyText"/>
            </w:pPr>
            <w:r w:rsidRPr="00100C05">
              <w:rPr>
                <w:rStyle w:val="SpecialBold"/>
              </w:rPr>
              <w:t>SKILLS</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00C05">
            <w:pPr>
              <w:pStyle w:val="BodyText"/>
              <w:rPr>
                <w:lang w:val="en-NZ"/>
              </w:rPr>
            </w:pPr>
            <w:r w:rsidRPr="00100C05">
              <w:rPr>
                <w:rStyle w:val="SpecialBold"/>
              </w:rPr>
              <w:t>DESCRIPTION</w:t>
            </w:r>
          </w:p>
        </w:tc>
      </w:tr>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Readi</w:t>
            </w:r>
            <w:r w:rsidRPr="00100C05">
              <w:t>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Bullet"/>
            </w:pPr>
            <w:r w:rsidRPr="00100C05">
              <w:t>read and comprehend information relating to:</w:t>
            </w:r>
          </w:p>
          <w:p w:rsidR="00000000" w:rsidRPr="00100C05" w:rsidP="00100C05">
            <w:pPr>
              <w:pStyle w:val="ListBullet2"/>
            </w:pPr>
            <w:r w:rsidRPr="00100C05">
              <w:t>industry or regulatory codes of conduct relating to responsible online wagering</w:t>
            </w:r>
          </w:p>
          <w:p w:rsidR="00000000" w:rsidRPr="00100C05" w:rsidP="00100C05">
            <w:pPr>
              <w:pStyle w:val="ListBullet2"/>
            </w:pPr>
            <w:r w:rsidRPr="00100C05">
              <w:t>in</w:t>
            </w:r>
            <w:r w:rsidRPr="00100C05">
              <w:noBreakHyphen/>
              <w:t>house policies and procedures relating to responsible online wagering</w:t>
            </w:r>
          </w:p>
          <w:p w:rsidR="00000000" w:rsidP="00100C05">
            <w:pPr>
              <w:pStyle w:val="ListBullet2"/>
              <w:rPr>
                <w:lang w:val="en-NZ"/>
              </w:rPr>
            </w:pPr>
            <w:r w:rsidRPr="00100C05">
              <w:t>plain English regulatory and advisory information issued by local, state and territory gambling licensing authorities.</w:t>
            </w:r>
          </w:p>
        </w:tc>
      </w:tr>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Oral communication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Bullet"/>
            </w:pPr>
            <w:r w:rsidRPr="00100C05">
              <w:t>report or refer issues to appropriate person</w:t>
            </w:r>
          </w:p>
          <w:p w:rsidR="00000000" w:rsidRPr="00100C05" w:rsidP="00100C05">
            <w:pPr>
              <w:pStyle w:val="ListBullet"/>
            </w:pPr>
            <w:r w:rsidRPr="00100C05">
              <w:t>interact effectively with customers to explain procedures</w:t>
            </w:r>
          </w:p>
          <w:p w:rsidR="00000000" w:rsidP="00100C05">
            <w:pPr>
              <w:pStyle w:val="ListBullet"/>
              <w:rPr>
                <w:lang w:val="en-NZ"/>
              </w:rPr>
            </w:pPr>
            <w:r w:rsidRPr="00100C05">
              <w:t>adapt language to audience, context and purpose of interaction.</w:t>
            </w:r>
          </w:p>
        </w:tc>
      </w:tr>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Writing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ListBullet"/>
              <w:rPr>
                <w:lang w:val="en-NZ"/>
              </w:rPr>
            </w:pPr>
            <w:r w:rsidRPr="00100C05">
              <w:t>produce emails or reports to colleagues regarding issues or to seek assistance.</w:t>
            </w:r>
          </w:p>
        </w:tc>
      </w:tr>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Problem-solving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ListBullet"/>
              <w:rPr>
                <w:lang w:val="en-NZ"/>
              </w:rPr>
            </w:pPr>
            <w:r w:rsidRPr="00100C05">
              <w:t>apply appropriate solutions within scope of own responsibility</w:t>
            </w:r>
            <w:r w:rsidRPr="00100C05">
              <w:t xml:space="preserve"> or seek assistance from appropriate colleagues.</w:t>
            </w:r>
          </w:p>
        </w:tc>
      </w:tr>
      <w:tr w:rsidTr="00100C05">
        <w:tblPrEx>
          <w:tblW w:w="0" w:type="auto"/>
          <w:tblLayout w:type="fixed"/>
          <w:tblCellMar>
            <w:left w:w="62" w:type="dxa"/>
            <w:right w:w="62" w:type="dxa"/>
          </w:tblCellMar>
          <w:tblLook w:val="0000"/>
        </w:tblPrEx>
        <w:trPr>
          <w:trHeight w:val="344"/>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C05">
            <w:pPr>
              <w:pStyle w:val="BodyText"/>
              <w:rPr>
                <w:lang w:val="en-NZ"/>
              </w:rPr>
            </w:pPr>
            <w:r w:rsidRPr="00100C05">
              <w:t>Technology skills to:</w:t>
            </w:r>
          </w:p>
        </w:tc>
        <w:tc>
          <w:tcPr>
            <w:tcW w:w="6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C05" w:rsidP="00100C05">
            <w:pPr>
              <w:pStyle w:val="ListBullet"/>
            </w:pPr>
            <w:r w:rsidRPr="00100C05">
              <w:t>use communications technology to interact with customers</w:t>
            </w:r>
          </w:p>
          <w:p w:rsidR="00000000" w:rsidRPr="00100C05" w:rsidP="00100C05">
            <w:pPr>
              <w:pStyle w:val="ListBullet"/>
            </w:pPr>
            <w:r w:rsidRPr="00100C05">
              <w:t>use a computer and appropriate software to record gambling-related incidents and staff actions.</w:t>
            </w:r>
          </w:p>
        </w:tc>
      </w:tr>
    </w:tbl>
    <w:p w:rsidR="00000000" w:rsidRPr="00100C05" w:rsidP="00100C05">
      <w:pPr>
        <w:pStyle w:val="BodyText"/>
      </w:pPr>
    </w:p>
    <w:p w:rsidR="00000000" w:rsidRPr="00100C05" w:rsidP="00100C05">
      <w:pPr>
        <w:pStyle w:val="AllowPageBreak"/>
      </w:pPr>
    </w:p>
    <w:p w:rsidR="00000000" w:rsidRPr="00100C05" w:rsidP="00100C05">
      <w:pPr>
        <w:pStyle w:val="Heading1"/>
      </w:pPr>
      <w:bookmarkStart w:id="7" w:name="O_1175150"/>
      <w:bookmarkEnd w:id="7"/>
      <w:r w:rsidRPr="00100C05">
        <w:t>Unit Mapping Information</w:t>
      </w:r>
    </w:p>
    <w:p w:rsidR="00B57404" w:rsidP="00B57404">
      <w:pPr>
        <w:pStyle w:val="BodyText"/>
      </w:pPr>
      <w:r w:rsidRPr="00100C05">
        <w:t xml:space="preserve">No equivalent unit. </w:t>
      </w:r>
    </w:p>
    <w:p w:rsidR="00000000" w:rsidRPr="00100C05" w:rsidP="00100C05">
      <w:pPr>
        <w:pStyle w:val="Heading1"/>
      </w:pPr>
      <w:bookmarkStart w:id="8" w:name="O_1175157"/>
      <w:bookmarkEnd w:id="8"/>
      <w:r w:rsidRPr="00100C05">
        <w:t>Links</w:t>
      </w:r>
    </w:p>
    <w:p w:rsidR="00000000" w:rsidRPr="00100C05" w:rsidP="00B57404">
      <w:pPr>
        <w:pStyle w:val="BodyText"/>
      </w:pPr>
      <w:r w:rsidRPr="00100C0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03BA">
        <w:rPr>
          <w:rStyle w:val="Hyperlink"/>
        </w:rPr>
        <w:t>https://vetnet.gov.au/Pages/TrainingDocs.aspx?q=5e0c25cc-3d9d-4b43-80d3-bd22cc4f1e53</w:t>
      </w:r>
      <w:r>
        <w:fldChar w:fldCharType="end"/>
      </w:r>
    </w:p>
    <w:p w:rsidR="00000000" w:rsidRPr="00100C05" w:rsidP="00B57404">
      <w:pPr>
        <w:pStyle w:val="BodyText"/>
        <w:sectPr w:rsidSect="00100C05">
          <w:headerReference w:type="default" r:id="rId10"/>
          <w:footerReference w:type="default" r:id="rId11"/>
          <w:pgSz w:w="11908" w:h="16833"/>
          <w:pgMar w:top="1702" w:right="1418" w:bottom="1702" w:left="1418" w:header="992" w:footer="992" w:gutter="0"/>
          <w:cols w:space="720"/>
          <w:noEndnote/>
          <w:docGrid w:linePitch="299"/>
        </w:sectPr>
      </w:pPr>
    </w:p>
    <w:p w:rsidR="00000000" w:rsidRPr="00100C05" w:rsidP="00100C05">
      <w:pPr>
        <w:pStyle w:val="SuperHeading"/>
      </w:pPr>
      <w:r w:rsidRPr="00100C05">
        <w:t>Assessment Requirements for CHCFIN005 Provide responsible online wagering services</w:t>
      </w:r>
    </w:p>
    <w:p w:rsidR="00000000" w:rsidRPr="00100C05" w:rsidP="00100C05">
      <w:pPr>
        <w:pStyle w:val="Heading1"/>
      </w:pPr>
      <w:bookmarkStart w:id="9" w:name="O_1175152"/>
      <w:bookmarkEnd w:id="9"/>
      <w:r w:rsidRPr="00100C05">
        <w:t>Modification History</w:t>
      </w:r>
    </w:p>
    <w:p w:rsidR="00000000" w:rsidRPr="00100C05" w:rsidP="00B57404">
      <w:pPr>
        <w:pStyle w:val="BodyText"/>
      </w:pPr>
      <w:r w:rsidRPr="00100C05">
        <w:t xml:space="preserve">Release 1. CHCFIN005 Provide responsible online wagering services. New unit. No equivalent unit. </w:t>
      </w:r>
    </w:p>
    <w:p w:rsidR="00000000" w:rsidRPr="00100C05" w:rsidP="00100C05">
      <w:pPr>
        <w:pStyle w:val="Heading1"/>
      </w:pPr>
      <w:bookmarkStart w:id="10" w:name="O_1175153"/>
      <w:bookmarkEnd w:id="10"/>
      <w:r w:rsidRPr="00100C05">
        <w:t>Performa</w:t>
      </w:r>
      <w:r w:rsidRPr="00100C05">
        <w:t>nce Evidence</w:t>
      </w:r>
    </w:p>
    <w:p w:rsidR="00000000" w:rsidRPr="00100C05" w:rsidP="00B57404">
      <w:pPr>
        <w:pStyle w:val="BodyText"/>
      </w:pPr>
      <w:r w:rsidRPr="00100C05">
        <w:t xml:space="preserve">Evidence of the ability to complete tasks outlined in elements and performance criteria of this unit in the context of the job role, and: </w:t>
      </w:r>
    </w:p>
    <w:p w:rsidR="00000000" w:rsidRPr="00100C05" w:rsidP="00100C05">
      <w:pPr>
        <w:pStyle w:val="ListBullet"/>
      </w:pPr>
      <w:r w:rsidRPr="00100C05">
        <w:t>use communicaton skills, orgaisational processess and intervention measures in line with relevant State</w:t>
      </w:r>
      <w:r w:rsidRPr="00100C05">
        <w:t xml:space="preserve"> or Territory legislation and industry codes of practice, in response to each of the following gambling</w:t>
      </w:r>
      <w:r w:rsidRPr="00100C05">
        <w:noBreakHyphen/>
        <w:t>related situations:</w:t>
      </w:r>
    </w:p>
    <w:p w:rsidR="00000000" w:rsidRPr="00100C05" w:rsidP="00100C05">
      <w:pPr>
        <w:pStyle w:val="ListBullet2"/>
      </w:pPr>
      <w:r w:rsidRPr="00100C05">
        <w:t>customer at risk of experiencing harm</w:t>
      </w:r>
    </w:p>
    <w:p w:rsidR="00000000" w:rsidRPr="00100C05" w:rsidP="00100C05">
      <w:pPr>
        <w:pStyle w:val="ListBullet2"/>
      </w:pPr>
      <w:r w:rsidRPr="00100C05">
        <w:t xml:space="preserve">customer experiencing harm </w:t>
      </w:r>
    </w:p>
    <w:p w:rsidR="00000000" w:rsidRPr="00100C05" w:rsidP="00100C05">
      <w:pPr>
        <w:pStyle w:val="ListBullet2"/>
      </w:pPr>
      <w:r w:rsidRPr="00100C05">
        <w:t>customer request for self-exclusion or assistance</w:t>
      </w:r>
    </w:p>
    <w:p w:rsidR="00000000" w:rsidRPr="00100C05" w:rsidP="00100C05">
      <w:pPr>
        <w:pStyle w:val="ListBullet2"/>
      </w:pPr>
      <w:r w:rsidRPr="00100C05">
        <w:t>customer request for counselling services</w:t>
      </w:r>
    </w:p>
    <w:p w:rsidR="00000000" w:rsidRPr="00100C05" w:rsidP="00100C05">
      <w:pPr>
        <w:pStyle w:val="ListBullet2"/>
      </w:pPr>
      <w:r w:rsidRPr="00100C05">
        <w:t>third-party request in relation to a person experiencing harm from gambling</w:t>
      </w:r>
    </w:p>
    <w:p w:rsidR="00000000" w:rsidRPr="00100C05" w:rsidP="00100C05">
      <w:pPr>
        <w:pStyle w:val="ListBullet2"/>
      </w:pPr>
      <w:r w:rsidRPr="00100C05">
        <w:t>customer showing signs of immediate distress</w:t>
      </w:r>
    </w:p>
    <w:p w:rsidR="00000000" w:rsidRPr="00100C05" w:rsidP="00100C05">
      <w:pPr>
        <w:pStyle w:val="ListBullet2"/>
      </w:pPr>
      <w:r w:rsidRPr="00100C05">
        <w:t>customer showing signs of chronic distress</w:t>
      </w:r>
    </w:p>
    <w:p w:rsidR="00000000" w:rsidRPr="00100C05" w:rsidP="00100C05">
      <w:pPr>
        <w:pStyle w:val="ListBullet2"/>
      </w:pPr>
      <w:r w:rsidRPr="00100C05">
        <w:t>dealing with disputes or complaints</w:t>
      </w:r>
    </w:p>
    <w:p w:rsidR="00000000" w:rsidRPr="00100C05" w:rsidP="00100C05">
      <w:pPr>
        <w:pStyle w:val="ListBullet2"/>
      </w:pPr>
      <w:r w:rsidRPr="00100C05">
        <w:t>under-age wage</w:t>
      </w:r>
      <w:r w:rsidRPr="00100C05">
        <w:t>ring</w:t>
      </w:r>
    </w:p>
    <w:p w:rsidR="00000000" w:rsidRPr="00100C05" w:rsidP="00100C05">
      <w:pPr>
        <w:pStyle w:val="ListBullet"/>
      </w:pPr>
      <w:r w:rsidRPr="00100C05">
        <w:t>identify appropriate referral processes for customers who display indicators of harm related to online wagering.</w:t>
      </w:r>
    </w:p>
    <w:p w:rsidR="00000000" w:rsidRPr="00100C05" w:rsidP="00100C05">
      <w:pPr>
        <w:pStyle w:val="AllowPageBreak"/>
      </w:pPr>
    </w:p>
    <w:p w:rsidR="00000000" w:rsidRPr="00100C05" w:rsidP="00100C05">
      <w:pPr>
        <w:pStyle w:val="Heading1"/>
      </w:pPr>
      <w:bookmarkStart w:id="11" w:name="O_1175154"/>
      <w:bookmarkEnd w:id="11"/>
      <w:r w:rsidRPr="00100C05">
        <w:t>Knowledge Evidence</w:t>
      </w:r>
    </w:p>
    <w:p w:rsidR="00000000" w:rsidRPr="00100C05" w:rsidP="00B57404">
      <w:pPr>
        <w:pStyle w:val="BodyText"/>
      </w:pPr>
      <w:r w:rsidRPr="00100C05">
        <w:t>Demonstrated knowledge required to complete the tasks outlined in elements and performance criteria of this unit outlined in elements and performance criteria of this unit:</w:t>
      </w:r>
    </w:p>
    <w:p w:rsidR="00000000" w:rsidRPr="00100C05" w:rsidP="00100C05">
      <w:pPr>
        <w:pStyle w:val="ListBullet"/>
      </w:pPr>
      <w:r w:rsidRPr="00100C05">
        <w:t>current legislation and industry and organisatio</w:t>
      </w:r>
      <w:r w:rsidRPr="00100C05">
        <w:t>nal policies and procedures in regard to responsible provision of online wagering services:</w:t>
      </w:r>
    </w:p>
    <w:p w:rsidR="00000000" w:rsidRPr="00100C05" w:rsidP="00100C05">
      <w:pPr>
        <w:pStyle w:val="ListBullet2"/>
      </w:pPr>
      <w:r w:rsidRPr="00100C05">
        <w:t>National Consumer Protection Framework for Online Wagering – National Policy Statement (26 November 2018) or its successor</w:t>
      </w:r>
    </w:p>
    <w:p w:rsidR="00000000" w:rsidRPr="00100C05" w:rsidP="00100C05">
      <w:pPr>
        <w:pStyle w:val="ListBullet2"/>
      </w:pPr>
      <w:r w:rsidRPr="00100C05">
        <w:t>Interactive Gambling Act 2001, or its su</w:t>
      </w:r>
      <w:r w:rsidRPr="00100C05">
        <w:t>ccessor</w:t>
      </w:r>
    </w:p>
    <w:p w:rsidR="00000000" w:rsidRPr="00100C05" w:rsidP="00100C05">
      <w:pPr>
        <w:pStyle w:val="ListBullet2"/>
      </w:pPr>
      <w:r w:rsidRPr="00100C05">
        <w:t>state and territory legislation and regulations relating to online wagering for the state or territory the organisation is licensed in, as well as the states or territories the organisation is operating in</w:t>
      </w:r>
    </w:p>
    <w:p w:rsidR="00000000" w:rsidRPr="00100C05" w:rsidP="00100C05">
      <w:pPr>
        <w:pStyle w:val="ListBullet2"/>
      </w:pPr>
      <w:r w:rsidRPr="00100C05">
        <w:t>state and territory licensing authority re</w:t>
      </w:r>
      <w:r w:rsidRPr="00100C05">
        <w:t xml:space="preserve">gulations, policies and codes of practice relating to online wagering </w:t>
      </w:r>
    </w:p>
    <w:p w:rsidR="00000000" w:rsidRPr="00100C05" w:rsidP="00100C05">
      <w:pPr>
        <w:pStyle w:val="ListBullet2"/>
      </w:pPr>
      <w:r w:rsidRPr="00100C05">
        <w:t xml:space="preserve">Australian Communications and Media Authority Interactive Gambling Industry Code </w:t>
      </w:r>
    </w:p>
    <w:p w:rsidR="00000000" w:rsidRPr="00100C05" w:rsidP="00100C05">
      <w:pPr>
        <w:pStyle w:val="ListBullet2"/>
      </w:pPr>
      <w:r w:rsidRPr="00100C05">
        <w:t>Anti-Money Laundering and Counter-Terrorism Financing Act 2006</w:t>
      </w:r>
    </w:p>
    <w:p w:rsidR="00000000" w:rsidRPr="00100C05" w:rsidP="00100C05">
      <w:pPr>
        <w:pStyle w:val="ListBullet2"/>
      </w:pPr>
      <w:r w:rsidRPr="00100C05">
        <w:t>Know Your Customer Anti-Money Laundering</w:t>
      </w:r>
      <w:r w:rsidRPr="00100C05">
        <w:t xml:space="preserve"> requirements</w:t>
      </w:r>
    </w:p>
    <w:p w:rsidR="00000000" w:rsidRPr="00100C05" w:rsidP="00100C05">
      <w:pPr>
        <w:pStyle w:val="ListBullet2"/>
      </w:pPr>
      <w:r w:rsidRPr="00100C05">
        <w:t>legislation relating to self-exclusion</w:t>
      </w:r>
    </w:p>
    <w:p w:rsidR="00000000" w:rsidRPr="00100C05" w:rsidP="00100C05">
      <w:pPr>
        <w:pStyle w:val="ListBullet"/>
      </w:pPr>
      <w:r w:rsidRPr="00100C05">
        <w:t>key requirements of responsible online wagering services as detailed in:</w:t>
      </w:r>
    </w:p>
    <w:p w:rsidR="00000000" w:rsidRPr="00100C05" w:rsidP="00100C05">
      <w:pPr>
        <w:pStyle w:val="ListBullet2"/>
      </w:pPr>
      <w:r w:rsidRPr="00100C05">
        <w:t>terms and conditions for provision of online wagering services</w:t>
      </w:r>
    </w:p>
    <w:p w:rsidR="00000000" w:rsidRPr="00100C05" w:rsidP="00100C05">
      <w:pPr>
        <w:pStyle w:val="ListBullet2"/>
      </w:pPr>
      <w:r w:rsidRPr="00100C05">
        <w:t>in-house policies and procedures</w:t>
      </w:r>
    </w:p>
    <w:p w:rsidR="00000000" w:rsidRPr="00100C05" w:rsidP="00100C05">
      <w:pPr>
        <w:pStyle w:val="ListBullet2"/>
      </w:pPr>
      <w:r w:rsidRPr="00100C05">
        <w:t>industry and organisational code</w:t>
      </w:r>
      <w:r w:rsidRPr="00100C05">
        <w:t>s of practice</w:t>
      </w:r>
    </w:p>
    <w:p w:rsidR="00000000" w:rsidRPr="00100C05" w:rsidP="00100C05">
      <w:pPr>
        <w:pStyle w:val="ListBullet"/>
      </w:pPr>
      <w:r w:rsidRPr="00100C05">
        <w:t>responsible wagering practices:</w:t>
      </w:r>
    </w:p>
    <w:p w:rsidR="00000000" w:rsidRPr="00100C05" w:rsidP="00100C05">
      <w:pPr>
        <w:pStyle w:val="ListBullet2"/>
      </w:pPr>
      <w:r w:rsidRPr="00100C05">
        <w:t xml:space="preserve">customer is aware of likelihood of losing </w:t>
      </w:r>
    </w:p>
    <w:p w:rsidR="00000000" w:rsidRPr="00100C05" w:rsidP="00100C05">
      <w:pPr>
        <w:pStyle w:val="ListBullet2"/>
      </w:pPr>
      <w:r w:rsidRPr="00100C05">
        <w:t>customer understands associated risks of losing</w:t>
      </w:r>
    </w:p>
    <w:p w:rsidR="00000000" w:rsidRPr="00100C05" w:rsidP="00100C05">
      <w:pPr>
        <w:pStyle w:val="ListBullet2"/>
      </w:pPr>
      <w:r w:rsidRPr="00100C05">
        <w:t>customer exercises control over their gambling behaviour</w:t>
      </w:r>
    </w:p>
    <w:p w:rsidR="00000000" w:rsidRPr="00100C05" w:rsidP="00100C05">
      <w:pPr>
        <w:pStyle w:val="ListBullet3"/>
      </w:pPr>
      <w:r w:rsidRPr="00100C05">
        <w:t>gambles within affordable limits of time and money</w:t>
      </w:r>
    </w:p>
    <w:p w:rsidR="00000000" w:rsidRPr="00100C05" w:rsidP="00100C05">
      <w:pPr>
        <w:pStyle w:val="ListBullet3"/>
      </w:pPr>
      <w:r w:rsidRPr="00100C05">
        <w:t>is empowered to control amount of time and money spent gambling</w:t>
      </w:r>
    </w:p>
    <w:p w:rsidR="00000000" w:rsidRPr="00100C05" w:rsidP="00100C05">
      <w:pPr>
        <w:pStyle w:val="ListBullet3"/>
      </w:pPr>
      <w:r w:rsidRPr="00100C05">
        <w:t xml:space="preserve">does not </w:t>
      </w:r>
      <w:r>
        <w:t>“</w:t>
      </w:r>
      <w:r w:rsidRPr="00100C05">
        <w:t>chase losses</w:t>
      </w:r>
      <w:r>
        <w:t>”</w:t>
      </w:r>
    </w:p>
    <w:p w:rsidR="00000000" w:rsidRPr="00100C05" w:rsidP="00100C05">
      <w:pPr>
        <w:pStyle w:val="ListBullet3"/>
      </w:pPr>
      <w:r w:rsidRPr="00100C05">
        <w:t>does not gamble while intoxicated or under the influence of drugs</w:t>
      </w:r>
    </w:p>
    <w:p w:rsidR="00000000" w:rsidRPr="00100C05" w:rsidP="00100C05">
      <w:pPr>
        <w:pStyle w:val="ListBullet2"/>
      </w:pPr>
      <w:r w:rsidRPr="00100C05">
        <w:t>gambling occurs in balance with other areas of the customer’s life and does not cause problems or har</w:t>
      </w:r>
      <w:r w:rsidRPr="00100C05">
        <w:t>m for themselves or others</w:t>
      </w:r>
    </w:p>
    <w:p w:rsidR="00000000" w:rsidRPr="00100C05" w:rsidP="00100C05">
      <w:pPr>
        <w:pStyle w:val="ListBullet"/>
      </w:pPr>
      <w:r w:rsidRPr="00100C05">
        <w:t>signs and impacts of harm from gambling:</w:t>
      </w:r>
    </w:p>
    <w:p w:rsidR="00000000" w:rsidRPr="00100C05" w:rsidP="00100C05">
      <w:pPr>
        <w:pStyle w:val="ListBullet2"/>
      </w:pPr>
      <w:r w:rsidRPr="00100C05">
        <w:t>feelings of stress, depression or anxiety as a result of gambling</w:t>
      </w:r>
    </w:p>
    <w:p w:rsidR="00000000" w:rsidRPr="00100C05" w:rsidP="00100C05">
      <w:pPr>
        <w:pStyle w:val="ListBullet2"/>
      </w:pPr>
      <w:r w:rsidRPr="00100C05">
        <w:t xml:space="preserve">immediate or chronic distress resulting from harmful gambling </w:t>
      </w:r>
    </w:p>
    <w:p w:rsidR="00000000" w:rsidRPr="00100C05" w:rsidP="00100C05">
      <w:pPr>
        <w:pStyle w:val="ListBullet2"/>
      </w:pPr>
      <w:r w:rsidRPr="00100C05">
        <w:t>isolation from family and friends</w:t>
      </w:r>
    </w:p>
    <w:p w:rsidR="00000000" w:rsidRPr="00100C05" w:rsidP="00100C05">
      <w:pPr>
        <w:pStyle w:val="ListBullet2"/>
      </w:pPr>
      <w:r w:rsidRPr="00100C05">
        <w:t>feelings of remorse or shame after gambling</w:t>
      </w:r>
    </w:p>
    <w:p w:rsidR="00000000" w:rsidRPr="00100C05" w:rsidP="00100C05">
      <w:pPr>
        <w:pStyle w:val="ListBullet2"/>
      </w:pPr>
      <w:r w:rsidRPr="00100C05">
        <w:t>gambling more money than the customer can afford</w:t>
      </w:r>
    </w:p>
    <w:p w:rsidR="00000000" w:rsidRPr="00100C05" w:rsidP="00100C05">
      <w:pPr>
        <w:pStyle w:val="ListBullet2"/>
      </w:pPr>
      <w:r w:rsidRPr="00100C05">
        <w:t>gambling that impacts the home life and relationships of the customer</w:t>
      </w:r>
    </w:p>
    <w:p w:rsidR="00000000" w:rsidRPr="00100C05" w:rsidP="00100C05">
      <w:pPr>
        <w:pStyle w:val="ListBullet2"/>
      </w:pPr>
      <w:r w:rsidRPr="00100C05">
        <w:t>reduced work performance</w:t>
      </w:r>
    </w:p>
    <w:p w:rsidR="00000000" w:rsidRPr="00100C05" w:rsidP="00100C05">
      <w:pPr>
        <w:pStyle w:val="ListBullet2"/>
      </w:pPr>
      <w:r w:rsidRPr="00100C05">
        <w:t>changes in sleeping or eating habits due to gambling</w:t>
      </w:r>
    </w:p>
    <w:p w:rsidR="00000000" w:rsidRPr="00100C05" w:rsidP="00100C05">
      <w:pPr>
        <w:pStyle w:val="ListBullet2"/>
      </w:pPr>
      <w:r w:rsidRPr="00100C05">
        <w:t>considering sel</w:t>
      </w:r>
      <w:r w:rsidRPr="00100C05">
        <w:t xml:space="preserve">f-harm as a result of gambling </w:t>
      </w:r>
    </w:p>
    <w:p w:rsidR="00000000" w:rsidRPr="00100C05" w:rsidP="00100C05">
      <w:pPr>
        <w:pStyle w:val="ListBullet2"/>
      </w:pPr>
      <w:r w:rsidRPr="00100C05">
        <w:t>bills that cannot be paid by the person due to excessive gambling</w:t>
      </w:r>
    </w:p>
    <w:p w:rsidR="00000000" w:rsidRPr="00100C05" w:rsidP="00100C05">
      <w:pPr>
        <w:pStyle w:val="ListBullet2"/>
      </w:pPr>
      <w:r w:rsidRPr="00100C05">
        <w:t>incurring debt as a result of gambling or excessive use of credit cards to provide funds for gambling</w:t>
      </w:r>
    </w:p>
    <w:p w:rsidR="00000000" w:rsidRPr="00100C05" w:rsidP="00100C05">
      <w:pPr>
        <w:pStyle w:val="ListBullet2"/>
      </w:pPr>
      <w:r w:rsidRPr="00100C05">
        <w:t>committing illegal acts to finance gambling</w:t>
      </w:r>
    </w:p>
    <w:p w:rsidR="00000000" w:rsidRPr="00100C05" w:rsidP="00100C05">
      <w:pPr>
        <w:pStyle w:val="ListBullet2"/>
      </w:pPr>
      <w:r w:rsidRPr="00100C05">
        <w:t xml:space="preserve">gambling to </w:t>
      </w:r>
      <w:r w:rsidRPr="00100C05">
        <w:t>escape worry or personal problems</w:t>
      </w:r>
    </w:p>
    <w:p w:rsidR="00000000" w:rsidRPr="00100C05" w:rsidP="00100C05">
      <w:pPr>
        <w:pStyle w:val="ListBullet2"/>
      </w:pPr>
      <w:r w:rsidRPr="00100C05">
        <w:t>trying to win back gambling losses</w:t>
      </w:r>
    </w:p>
    <w:p w:rsidR="00000000" w:rsidRPr="00100C05" w:rsidP="00100C05">
      <w:pPr>
        <w:pStyle w:val="ListBullet2"/>
      </w:pPr>
      <w:r w:rsidRPr="00100C05">
        <w:t>increased consumption of alcohol or other drugs</w:t>
      </w:r>
    </w:p>
    <w:p w:rsidR="00000000" w:rsidRPr="00100C05" w:rsidP="00100C05">
      <w:pPr>
        <w:pStyle w:val="ListBullet"/>
      </w:pPr>
      <w:r w:rsidRPr="00100C05">
        <w:t>common behaviours that may indicate harmful online wagering:</w:t>
      </w:r>
    </w:p>
    <w:p w:rsidR="00000000" w:rsidRPr="00100C05" w:rsidP="00100C05">
      <w:pPr>
        <w:pStyle w:val="ListBullet2"/>
      </w:pPr>
      <w:r w:rsidRPr="00100C05">
        <w:t>gambling for an extended period</w:t>
      </w:r>
    </w:p>
    <w:p w:rsidR="00000000" w:rsidRPr="00100C05" w:rsidP="00100C05">
      <w:pPr>
        <w:pStyle w:val="ListBullet2"/>
      </w:pPr>
      <w:r w:rsidRPr="00100C05">
        <w:t>changing gambling patterns, erratic wagering, changing products</w:t>
      </w:r>
    </w:p>
    <w:p w:rsidR="00000000" w:rsidRPr="00100C05" w:rsidP="00100C05">
      <w:pPr>
        <w:pStyle w:val="ListBullet2"/>
      </w:pPr>
      <w:r w:rsidRPr="00100C05">
        <w:t>betting on multiple sports or categories</w:t>
      </w:r>
    </w:p>
    <w:p w:rsidR="00000000" w:rsidRPr="00100C05" w:rsidP="00100C05">
      <w:pPr>
        <w:pStyle w:val="ListBullet2"/>
      </w:pPr>
      <w:r w:rsidRPr="00100C05">
        <w:t>gambling at unusual times of the day</w:t>
      </w:r>
    </w:p>
    <w:p w:rsidR="00000000" w:rsidRPr="00100C05" w:rsidP="00100C05">
      <w:pPr>
        <w:pStyle w:val="ListBullet2"/>
      </w:pPr>
      <w:r w:rsidRPr="00100C05">
        <w:t>closing and opening multiple online wagering accounts</w:t>
      </w:r>
    </w:p>
    <w:p w:rsidR="00000000" w:rsidRPr="00100C05" w:rsidP="00100C05">
      <w:pPr>
        <w:pStyle w:val="ListBullet2"/>
      </w:pPr>
      <w:r w:rsidRPr="00100C05">
        <w:t>abuse or threats directed at providers of online wagering se</w:t>
      </w:r>
      <w:r w:rsidRPr="00100C05">
        <w:t>rvices</w:t>
      </w:r>
    </w:p>
    <w:p w:rsidR="00000000" w:rsidRPr="00100C05" w:rsidP="00100C05">
      <w:pPr>
        <w:pStyle w:val="ListBullet2"/>
      </w:pPr>
      <w:r w:rsidRPr="00100C05">
        <w:t>increase in deposit frequency, failed deposits, multiple payment methods</w:t>
      </w:r>
    </w:p>
    <w:p w:rsidR="00000000" w:rsidRPr="00100C05" w:rsidP="00100C05">
      <w:pPr>
        <w:pStyle w:val="ListBullet2"/>
      </w:pPr>
      <w:r w:rsidRPr="00100C05">
        <w:t>escalating sums of money deposited</w:t>
      </w:r>
    </w:p>
    <w:p w:rsidR="00000000" w:rsidRPr="00100C05" w:rsidP="00100C05">
      <w:pPr>
        <w:pStyle w:val="ListBullet2"/>
      </w:pPr>
      <w:r w:rsidRPr="00100C05">
        <w:t>high stake wagering</w:t>
      </w:r>
    </w:p>
    <w:p w:rsidR="00000000" w:rsidRPr="00100C05" w:rsidP="00100C05">
      <w:pPr>
        <w:pStyle w:val="ListBullet2"/>
      </w:pPr>
      <w:r w:rsidRPr="00100C05">
        <w:t>customer thinks they can control the outcome</w:t>
      </w:r>
    </w:p>
    <w:p w:rsidR="00000000" w:rsidRPr="00100C05" w:rsidP="00100C05">
      <w:pPr>
        <w:pStyle w:val="ListBullet2"/>
      </w:pPr>
      <w:r w:rsidRPr="00100C05">
        <w:t xml:space="preserve">customer discloses harmful gambling behaviours </w:t>
      </w:r>
    </w:p>
    <w:p w:rsidR="00000000" w:rsidRPr="00100C05" w:rsidP="00100C05">
      <w:pPr>
        <w:pStyle w:val="ListBullet2"/>
      </w:pPr>
      <w:r w:rsidRPr="00100C05">
        <w:t>evidence of financial fraud</w:t>
      </w:r>
    </w:p>
    <w:p w:rsidR="00000000" w:rsidRPr="00100C05" w:rsidP="00100C05">
      <w:pPr>
        <w:pStyle w:val="ListBullet"/>
      </w:pPr>
      <w:r w:rsidRPr="00100C05">
        <w:t>options for identifying and monitoring harmful wagering behaviours:</w:t>
      </w:r>
    </w:p>
    <w:p w:rsidR="00000000" w:rsidRPr="00100C05" w:rsidP="00100C05">
      <w:pPr>
        <w:pStyle w:val="ListBullet2"/>
      </w:pPr>
      <w:r w:rsidRPr="00100C05">
        <w:t>in-play real time monitoring</w:t>
      </w:r>
    </w:p>
    <w:p w:rsidR="00000000" w:rsidRPr="00100C05" w:rsidP="00100C05">
      <w:pPr>
        <w:pStyle w:val="ListBullet2"/>
      </w:pPr>
      <w:r w:rsidRPr="00100C05">
        <w:t>daily reports on activity</w:t>
      </w:r>
    </w:p>
    <w:p w:rsidR="00000000" w:rsidRPr="00100C05" w:rsidP="00100C05">
      <w:pPr>
        <w:pStyle w:val="ListBullet2"/>
      </w:pPr>
      <w:r w:rsidRPr="00100C05">
        <w:t>via call-centre interaction with customer</w:t>
      </w:r>
    </w:p>
    <w:p w:rsidR="00000000" w:rsidRPr="00100C05" w:rsidP="00100C05">
      <w:pPr>
        <w:pStyle w:val="ListBullet2"/>
      </w:pPr>
      <w:r w:rsidRPr="00100C05">
        <w:t>chat-room monitoring and moderation</w:t>
      </w:r>
    </w:p>
    <w:p w:rsidR="00000000" w:rsidRPr="00100C05" w:rsidP="00100C05">
      <w:pPr>
        <w:pStyle w:val="ListBullet"/>
      </w:pPr>
      <w:r w:rsidRPr="00100C05">
        <w:t>proactive intervention strategies:</w:t>
      </w:r>
    </w:p>
    <w:p w:rsidR="00000000" w:rsidRPr="00100C05" w:rsidP="00100C05">
      <w:pPr>
        <w:pStyle w:val="ListBullet2"/>
      </w:pPr>
      <w:r w:rsidRPr="00100C05">
        <w:t>monitoring accou</w:t>
      </w:r>
      <w:r w:rsidRPr="00100C05">
        <w:t>nt expenditure patterns</w:t>
      </w:r>
    </w:p>
    <w:p w:rsidR="00000000" w:rsidRPr="00100C05" w:rsidP="00100C05">
      <w:pPr>
        <w:pStyle w:val="ListBullet2"/>
      </w:pPr>
      <w:r w:rsidRPr="00100C05">
        <w:t>interactions with customers</w:t>
      </w:r>
    </w:p>
    <w:p w:rsidR="00000000" w:rsidRPr="00100C05" w:rsidP="00100C05">
      <w:pPr>
        <w:pStyle w:val="ListBullet3"/>
      </w:pPr>
      <w:r w:rsidRPr="00100C05">
        <w:t>telephone</w:t>
      </w:r>
    </w:p>
    <w:p w:rsidR="00000000" w:rsidRPr="00100C05" w:rsidP="00100C05">
      <w:pPr>
        <w:pStyle w:val="ListBullet3"/>
      </w:pPr>
      <w:r w:rsidRPr="00100C05">
        <w:t>email</w:t>
      </w:r>
    </w:p>
    <w:p w:rsidR="00000000" w:rsidRPr="00100C05" w:rsidP="00100C05">
      <w:pPr>
        <w:pStyle w:val="ListBullet3"/>
      </w:pPr>
      <w:r w:rsidRPr="00100C05">
        <w:t>pop-ups within online wagering services</w:t>
      </w:r>
    </w:p>
    <w:p w:rsidR="00000000" w:rsidRPr="00100C05" w:rsidP="00100C05">
      <w:pPr>
        <w:pStyle w:val="ListBullet3"/>
      </w:pPr>
      <w:r w:rsidRPr="00100C05">
        <w:t>SMS or text message</w:t>
      </w:r>
    </w:p>
    <w:p w:rsidR="00000000" w:rsidRPr="00100C05" w:rsidP="00100C05">
      <w:pPr>
        <w:pStyle w:val="ListBullet2"/>
      </w:pPr>
      <w:r w:rsidRPr="00100C05">
        <w:t xml:space="preserve">promoting </w:t>
      </w:r>
      <w:r>
        <w:t>“</w:t>
      </w:r>
      <w:r w:rsidRPr="00100C05">
        <w:t>take a break</w:t>
      </w:r>
      <w:r>
        <w:t>”</w:t>
      </w:r>
      <w:r w:rsidRPr="00100C05">
        <w:t xml:space="preserve"> temporary exclusions</w:t>
      </w:r>
    </w:p>
    <w:p w:rsidR="00000000" w:rsidRPr="00100C05" w:rsidP="00100C05">
      <w:pPr>
        <w:pStyle w:val="ListBullet2"/>
      </w:pPr>
      <w:r w:rsidRPr="00100C05">
        <w:t>promoting pre-commitment limits</w:t>
      </w:r>
    </w:p>
    <w:p w:rsidR="00000000" w:rsidRPr="00100C05" w:rsidP="00100C05">
      <w:pPr>
        <w:pStyle w:val="ListBullet"/>
      </w:pPr>
      <w:r w:rsidRPr="00100C05">
        <w:t>principles of harm minimisation and reduction and strategies to reduce the harm associated with harmful online wagering:</w:t>
      </w:r>
    </w:p>
    <w:p w:rsidR="00000000" w:rsidRPr="00100C05" w:rsidP="00100C05">
      <w:pPr>
        <w:pStyle w:val="ListBullet2"/>
      </w:pPr>
      <w:r w:rsidRPr="00100C05">
        <w:t>voluntary pre-commitment features</w:t>
      </w:r>
    </w:p>
    <w:p w:rsidR="00000000" w:rsidRPr="00100C05" w:rsidP="00100C05">
      <w:pPr>
        <w:pStyle w:val="ListBullet2"/>
      </w:pPr>
      <w:r w:rsidRPr="00100C05">
        <w:t>self-assessment tools</w:t>
      </w:r>
    </w:p>
    <w:p w:rsidR="00000000" w:rsidRPr="00100C05" w:rsidP="00100C05">
      <w:pPr>
        <w:pStyle w:val="ListBullet2"/>
      </w:pPr>
      <w:r w:rsidRPr="00100C05">
        <w:t>support service options</w:t>
      </w:r>
    </w:p>
    <w:p w:rsidR="00000000" w:rsidRPr="00100C05" w:rsidP="00100C05">
      <w:pPr>
        <w:pStyle w:val="ListBullet3"/>
      </w:pPr>
      <w:r w:rsidRPr="00100C05">
        <w:t>software blocking options</w:t>
      </w:r>
    </w:p>
    <w:p w:rsidR="00000000" w:rsidRPr="00100C05" w:rsidP="00100C05">
      <w:pPr>
        <w:pStyle w:val="ListBullet3"/>
      </w:pPr>
      <w:r w:rsidRPr="00100C05">
        <w:t>bank tools for spend control</w:t>
      </w:r>
    </w:p>
    <w:p w:rsidR="00000000" w:rsidRPr="00100C05" w:rsidP="00100C05">
      <w:pPr>
        <w:pStyle w:val="ListBullet2"/>
      </w:pPr>
      <w:r w:rsidRPr="00100C05">
        <w:t>activity statements that comply with National Consumer Protection Framework (NCPF) and State or Territory based requirements</w:t>
      </w:r>
    </w:p>
    <w:p w:rsidR="00000000" w:rsidRPr="00100C05" w:rsidP="00100C05">
      <w:pPr>
        <w:pStyle w:val="ListBullet"/>
      </w:pPr>
      <w:r w:rsidRPr="00100C05">
        <w:t>organisational responsible online wagering service procedures for:</w:t>
      </w:r>
    </w:p>
    <w:p w:rsidR="00000000" w:rsidRPr="00100C05" w:rsidP="00100C05">
      <w:pPr>
        <w:pStyle w:val="ListBullet2"/>
      </w:pPr>
      <w:r w:rsidRPr="00100C05">
        <w:t>advertising and promotion:</w:t>
      </w:r>
    </w:p>
    <w:p w:rsidR="00000000" w:rsidRPr="00100C05" w:rsidP="00100C05">
      <w:pPr>
        <w:pStyle w:val="ListBullet3"/>
      </w:pPr>
      <w:r w:rsidRPr="00100C05">
        <w:t>Australian Association of National Advertisers Code of Ethics</w:t>
      </w:r>
    </w:p>
    <w:p w:rsidR="00000000" w:rsidRPr="00100C05" w:rsidP="00100C05">
      <w:pPr>
        <w:pStyle w:val="ListBullet3"/>
      </w:pPr>
      <w:r w:rsidRPr="00100C05">
        <w:t>Commercial Television Code of Practice</w:t>
      </w:r>
    </w:p>
    <w:p w:rsidR="00000000" w:rsidRPr="00100C05" w:rsidP="00100C05">
      <w:pPr>
        <w:pStyle w:val="ListBullet3"/>
      </w:pPr>
      <w:r w:rsidRPr="00100C05">
        <w:t>Organisational marketing policies</w:t>
      </w:r>
    </w:p>
    <w:p w:rsidR="00000000" w:rsidRPr="00100C05" w:rsidP="00100C05">
      <w:pPr>
        <w:pStyle w:val="ListBullet3"/>
      </w:pPr>
      <w:r w:rsidRPr="00100C05">
        <w:t>Affiliate marketing provisions</w:t>
      </w:r>
    </w:p>
    <w:p w:rsidR="00000000" w:rsidRPr="00100C05" w:rsidP="00100C05">
      <w:pPr>
        <w:pStyle w:val="ListBullet3"/>
      </w:pPr>
      <w:r w:rsidRPr="00100C05">
        <w:t>NCPF restrictions in inducements and bans on credit betting</w:t>
      </w:r>
    </w:p>
    <w:p w:rsidR="00000000" w:rsidRPr="00100C05" w:rsidP="00100C05">
      <w:pPr>
        <w:pStyle w:val="ListBullet"/>
      </w:pPr>
      <w:r w:rsidRPr="00100C05">
        <w:t>methods of distributing advertising and promotional information:</w:t>
      </w:r>
    </w:p>
    <w:p w:rsidR="00000000" w:rsidRPr="00100C05" w:rsidP="00100C05">
      <w:pPr>
        <w:pStyle w:val="ListBullet2"/>
      </w:pPr>
      <w:r w:rsidRPr="00100C05">
        <w:t>email</w:t>
      </w:r>
    </w:p>
    <w:p w:rsidR="00000000" w:rsidRPr="00100C05" w:rsidP="00100C05">
      <w:pPr>
        <w:pStyle w:val="ListBullet2"/>
      </w:pPr>
      <w:r w:rsidRPr="00100C05">
        <w:t>telephone</w:t>
      </w:r>
    </w:p>
    <w:p w:rsidR="00000000" w:rsidRPr="00100C05" w:rsidP="00100C05">
      <w:pPr>
        <w:pStyle w:val="ListBullet2"/>
      </w:pPr>
      <w:r w:rsidRPr="00100C05">
        <w:t>television</w:t>
      </w:r>
    </w:p>
    <w:p w:rsidR="00000000" w:rsidRPr="00100C05" w:rsidP="00100C05">
      <w:pPr>
        <w:pStyle w:val="ListBullet2"/>
      </w:pPr>
      <w:r w:rsidRPr="00100C05">
        <w:t>information and pop ups in apps or on websites</w:t>
      </w:r>
    </w:p>
    <w:p w:rsidR="00000000" w:rsidRPr="00100C05" w:rsidP="00100C05">
      <w:pPr>
        <w:pStyle w:val="ListBullet2"/>
      </w:pPr>
      <w:r w:rsidRPr="00100C05">
        <w:t>direct mail</w:t>
      </w:r>
    </w:p>
    <w:p w:rsidR="00000000" w:rsidRPr="00100C05" w:rsidP="00100C05">
      <w:pPr>
        <w:pStyle w:val="ListBullet2"/>
      </w:pPr>
      <w:r w:rsidRPr="00100C05">
        <w:t>SMS or text message</w:t>
      </w:r>
    </w:p>
    <w:p w:rsidR="00000000" w:rsidRPr="00100C05" w:rsidP="00100C05">
      <w:pPr>
        <w:pStyle w:val="ListBullet2"/>
      </w:pPr>
      <w:r w:rsidRPr="00100C05">
        <w:t>social media posts</w:t>
      </w:r>
    </w:p>
    <w:p w:rsidR="00000000" w:rsidRPr="00100C05" w:rsidP="00100C05">
      <w:pPr>
        <w:pStyle w:val="ListBullet"/>
      </w:pPr>
      <w:r w:rsidRPr="00100C05">
        <w:t>financial transactions</w:t>
      </w:r>
    </w:p>
    <w:p w:rsidR="00000000" w:rsidRPr="00100C05" w:rsidP="00100C05">
      <w:pPr>
        <w:pStyle w:val="ListBullet"/>
      </w:pPr>
      <w:r w:rsidRPr="00100C05">
        <w:t>providing gambling-related information:</w:t>
      </w:r>
    </w:p>
    <w:p w:rsidR="00000000" w:rsidRPr="00100C05" w:rsidP="00100C05">
      <w:pPr>
        <w:pStyle w:val="ListBullet2"/>
      </w:pPr>
      <w:r w:rsidRPr="00100C05">
        <w:t>available gambling counselling services, including multicultural services, peer support, self-exclusion programs and referral processes</w:t>
      </w:r>
    </w:p>
    <w:p w:rsidR="00000000" w:rsidRPr="00100C05" w:rsidP="00100C05">
      <w:pPr>
        <w:pStyle w:val="ListBullet2"/>
      </w:pPr>
      <w:r w:rsidRPr="00100C05">
        <w:t>information on responsible use of operators gambling products</w:t>
      </w:r>
    </w:p>
    <w:p w:rsidR="00000000" w:rsidRPr="00100C05" w:rsidP="00100C05">
      <w:pPr>
        <w:pStyle w:val="ListBullet2"/>
      </w:pPr>
      <w:r w:rsidRPr="00100C05">
        <w:t>operator terms and conditions generally for specific produ</w:t>
      </w:r>
      <w:r w:rsidRPr="00100C05">
        <w:t>cts</w:t>
      </w:r>
    </w:p>
    <w:p w:rsidR="00000000" w:rsidRPr="00100C05" w:rsidP="00100C05">
      <w:pPr>
        <w:pStyle w:val="ListBullet"/>
      </w:pPr>
      <w:r w:rsidRPr="00100C05">
        <w:t>maintaining confidentiality and privacy requirements:</w:t>
      </w:r>
    </w:p>
    <w:p w:rsidR="00000000" w:rsidRPr="00100C05" w:rsidP="00100C05">
      <w:pPr>
        <w:pStyle w:val="ListBullet2"/>
      </w:pPr>
      <w:r w:rsidRPr="00100C05">
        <w:t>Privacy Act 1988 (Cth) or its successor</w:t>
      </w:r>
    </w:p>
    <w:p w:rsidR="00000000" w:rsidRPr="00100C05" w:rsidP="00100C05">
      <w:pPr>
        <w:pStyle w:val="ListBullet2"/>
      </w:pPr>
      <w:r w:rsidRPr="00100C05">
        <w:t>procedures for maintaining customer privacy and confidentiality of personal information</w:t>
      </w:r>
    </w:p>
    <w:p w:rsidR="00000000" w:rsidRPr="00100C05" w:rsidP="00100C05">
      <w:pPr>
        <w:pStyle w:val="ListBullet"/>
      </w:pPr>
      <w:r w:rsidRPr="00100C05">
        <w:t>maintaining records of gambling</w:t>
      </w:r>
      <w:r w:rsidRPr="00100C05">
        <w:noBreakHyphen/>
      </w:r>
      <w:r w:rsidRPr="00100C05">
        <w:t>related incidents and associated staff action that may inform further interactions or monitoring</w:t>
      </w:r>
    </w:p>
    <w:p w:rsidR="00000000" w:rsidRPr="00100C05" w:rsidP="00100C05">
      <w:pPr>
        <w:pStyle w:val="ListBullet"/>
      </w:pPr>
      <w:r w:rsidRPr="00100C05">
        <w:t>self</w:t>
      </w:r>
      <w:r w:rsidRPr="00100C05">
        <w:noBreakHyphen/>
        <w:t>exclusion and exclusion:</w:t>
      </w:r>
    </w:p>
    <w:p w:rsidR="00000000" w:rsidRPr="00100C05" w:rsidP="00100C05">
      <w:pPr>
        <w:pStyle w:val="ListBullet2"/>
      </w:pPr>
      <w:r w:rsidRPr="00100C05">
        <w:t>online and form-based processes for self-exclusion</w:t>
      </w:r>
    </w:p>
    <w:p w:rsidR="00000000" w:rsidRPr="00100C05" w:rsidP="00100C05">
      <w:pPr>
        <w:pStyle w:val="ListBullet2"/>
      </w:pPr>
      <w:r w:rsidRPr="00100C05">
        <w:t xml:space="preserve">initiating exclusion processes when requested by customer </w:t>
      </w:r>
    </w:p>
    <w:p w:rsidR="00000000" w:rsidRPr="00100C05" w:rsidP="00100C05">
      <w:pPr>
        <w:pStyle w:val="ListBullet2"/>
      </w:pPr>
      <w:r w:rsidRPr="00100C05">
        <w:t>closure of account</w:t>
      </w:r>
    </w:p>
    <w:p w:rsidR="00000000" w:rsidRPr="00100C05" w:rsidP="00100C05">
      <w:pPr>
        <w:pStyle w:val="ListBullet2"/>
      </w:pPr>
      <w:r w:rsidRPr="00100C05">
        <w:t>response to attempts to breach exclusion</w:t>
      </w:r>
    </w:p>
    <w:p w:rsidR="00000000" w:rsidRPr="00100C05" w:rsidP="00100C05">
      <w:pPr>
        <w:pStyle w:val="ListBullet2"/>
      </w:pPr>
      <w:r w:rsidRPr="00100C05">
        <w:t>assistance in seeking self-exclusions from other gambling operators</w:t>
      </w:r>
    </w:p>
    <w:p w:rsidR="00000000" w:rsidRPr="00100C05" w:rsidP="00100C05">
      <w:pPr>
        <w:pStyle w:val="ListBullet2"/>
      </w:pPr>
      <w:r w:rsidRPr="00100C05">
        <w:t>ensuring correspondence or advertising is not sent to those who are excluded from services</w:t>
      </w:r>
    </w:p>
    <w:p w:rsidR="00000000" w:rsidRPr="00100C05" w:rsidP="00100C05">
      <w:pPr>
        <w:pStyle w:val="ListBullet2"/>
      </w:pPr>
      <w:r w:rsidRPr="00100C05">
        <w:t>preventing inducements or other incentive-based marketi</w:t>
      </w:r>
      <w:r w:rsidRPr="00100C05">
        <w:t xml:space="preserve">ng being provided to those who have indicated behaviours associated with harmful gambling </w:t>
      </w:r>
    </w:p>
    <w:p w:rsidR="00000000" w:rsidRPr="00100C05" w:rsidP="00100C05">
      <w:pPr>
        <w:pStyle w:val="ListBullet2"/>
      </w:pPr>
      <w:r w:rsidRPr="00100C05">
        <w:t>referral to counsellors and support services</w:t>
      </w:r>
    </w:p>
    <w:p w:rsidR="00000000" w:rsidRPr="00100C05" w:rsidP="00100C05">
      <w:pPr>
        <w:pStyle w:val="ListBullet"/>
      </w:pPr>
      <w:r w:rsidRPr="00100C05">
        <w:t xml:space="preserve">dealing responsibly with third-party concerns regarding harmful gambling including referral options for their </w:t>
      </w:r>
      <w:r w:rsidRPr="00100C05">
        <w:t>own suppo</w:t>
      </w:r>
      <w:r w:rsidRPr="00100C05">
        <w:t>rt or assistance</w:t>
      </w:r>
    </w:p>
    <w:p w:rsidR="00000000" w:rsidRPr="00100C05" w:rsidP="00100C05">
      <w:pPr>
        <w:pStyle w:val="ListBullet"/>
      </w:pPr>
      <w:r w:rsidRPr="00100C05">
        <w:t>prohibition of minors</w:t>
      </w:r>
    </w:p>
    <w:p w:rsidR="00000000" w:rsidRPr="00100C05" w:rsidP="00100C05">
      <w:pPr>
        <w:pStyle w:val="ListBullet2"/>
      </w:pPr>
      <w:r w:rsidRPr="00100C05">
        <w:t>appropriate filtering software for websites and apps to prevent access by those under 18 years of age</w:t>
      </w:r>
    </w:p>
    <w:p w:rsidR="00000000" w:rsidRPr="00100C05" w:rsidP="00100C05">
      <w:pPr>
        <w:pStyle w:val="ListBullet2"/>
      </w:pPr>
      <w:r w:rsidRPr="00100C05">
        <w:t>identification verification processes to exclude minors</w:t>
      </w:r>
    </w:p>
    <w:p w:rsidR="00000000" w:rsidRPr="00100C05" w:rsidP="00100C05">
      <w:pPr>
        <w:pStyle w:val="ListBullet2"/>
      </w:pPr>
      <w:r w:rsidRPr="00100C05">
        <w:t>process for closure of accounts where identification shows the customer is a minor</w:t>
      </w:r>
    </w:p>
    <w:p w:rsidR="00000000" w:rsidRPr="00100C05" w:rsidP="00100C05">
      <w:pPr>
        <w:pStyle w:val="ListBullet"/>
      </w:pPr>
      <w:r w:rsidRPr="00100C05">
        <w:t>role of online wagering provider in supporting a culture that encourages responsible provision of online wagering services</w:t>
      </w:r>
    </w:p>
    <w:p w:rsidR="00000000" w:rsidRPr="00100C05" w:rsidP="00100C05">
      <w:pPr>
        <w:pStyle w:val="ListBullet"/>
      </w:pPr>
      <w:r w:rsidRPr="00100C05">
        <w:t>role of individual staff members, supervisors and</w:t>
      </w:r>
      <w:r w:rsidRPr="00100C05">
        <w:t xml:space="preserve"> managers in providing responsible online wagering services</w:t>
      </w:r>
    </w:p>
    <w:p w:rsidR="00000000" w:rsidRPr="00100C05" w:rsidP="00100C05">
      <w:pPr>
        <w:pStyle w:val="ListBullet"/>
      </w:pPr>
      <w:r w:rsidRPr="00100C05">
        <w:t>ramifications for an organisation and an individual of non</w:t>
      </w:r>
      <w:r w:rsidRPr="00100C05">
        <w:noBreakHyphen/>
        <w:t>compliance with responsible online wagering requirements</w:t>
      </w:r>
    </w:p>
    <w:p w:rsidR="00000000" w:rsidRPr="00100C05" w:rsidP="00100C05">
      <w:pPr>
        <w:pStyle w:val="ListBullet"/>
      </w:pPr>
      <w:r w:rsidRPr="00100C05">
        <w:t>inappropriate referral to VIP programs</w:t>
      </w:r>
    </w:p>
    <w:p w:rsidR="00000000" w:rsidRPr="00100C05" w:rsidP="00100C05">
      <w:pPr>
        <w:pStyle w:val="ListBullet"/>
      </w:pPr>
      <w:r w:rsidRPr="00100C05">
        <w:t>available counselling services and referr</w:t>
      </w:r>
      <w:r w:rsidRPr="00100C05">
        <w:t>al procedures:</w:t>
      </w:r>
    </w:p>
    <w:p w:rsidR="00000000" w:rsidRPr="00100C05" w:rsidP="00100C05">
      <w:pPr>
        <w:pStyle w:val="ListBullet2"/>
      </w:pPr>
      <w:r w:rsidRPr="00100C05">
        <w:t>individual counselling and therapy</w:t>
      </w:r>
    </w:p>
    <w:p w:rsidR="00000000" w:rsidRPr="00100C05" w:rsidP="00100C05">
      <w:pPr>
        <w:pStyle w:val="ListBullet2"/>
      </w:pPr>
      <w:r w:rsidRPr="00100C05">
        <w:t>self-help</w:t>
      </w:r>
    </w:p>
    <w:p w:rsidR="00000000" w:rsidRPr="00100C05" w:rsidP="00100C05">
      <w:pPr>
        <w:pStyle w:val="ListBullet2"/>
      </w:pPr>
      <w:r w:rsidRPr="00100C05">
        <w:t>online counselling</w:t>
      </w:r>
    </w:p>
    <w:p w:rsidR="00000000" w:rsidRPr="00100C05" w:rsidP="00100C05">
      <w:pPr>
        <w:pStyle w:val="ListBullet2"/>
      </w:pPr>
      <w:r w:rsidRPr="00100C05">
        <w:t>organisation’s internal responsible gambling unit</w:t>
      </w:r>
    </w:p>
    <w:p w:rsidR="00000000" w:rsidRPr="00100C05" w:rsidP="00100C05">
      <w:pPr>
        <w:pStyle w:val="ListBullet2"/>
      </w:pPr>
      <w:r w:rsidRPr="00100C05">
        <w:t>working with families and relationship counselling</w:t>
      </w:r>
    </w:p>
    <w:p w:rsidR="00000000" w:rsidRPr="00100C05" w:rsidP="00100C05">
      <w:pPr>
        <w:pStyle w:val="ListBullet2"/>
      </w:pPr>
      <w:r w:rsidRPr="00100C05">
        <w:t>financial counselling</w:t>
      </w:r>
    </w:p>
    <w:p w:rsidR="00000000" w:rsidRPr="00100C05" w:rsidP="00100C05">
      <w:pPr>
        <w:pStyle w:val="ListBullet2"/>
      </w:pPr>
      <w:r w:rsidRPr="00100C05">
        <w:t>assessment and referral services</w:t>
      </w:r>
    </w:p>
    <w:p w:rsidR="00000000" w:rsidRPr="00100C05" w:rsidP="00100C05">
      <w:pPr>
        <w:pStyle w:val="ListBullet2"/>
      </w:pPr>
      <w:r w:rsidRPr="00100C05">
        <w:t>outpatient services</w:t>
      </w:r>
    </w:p>
    <w:p w:rsidR="00000000" w:rsidRPr="00100C05" w:rsidP="00100C05">
      <w:pPr>
        <w:pStyle w:val="ListBullet2"/>
      </w:pPr>
      <w:r w:rsidRPr="00100C05">
        <w:t>inpatient and residential services</w:t>
      </w:r>
    </w:p>
    <w:p w:rsidR="00000000" w:rsidRPr="00100C05" w:rsidP="00100C05">
      <w:pPr>
        <w:pStyle w:val="ListBullet2"/>
      </w:pPr>
      <w:r w:rsidRPr="00100C05">
        <w:t>peer support services</w:t>
      </w:r>
    </w:p>
    <w:p w:rsidR="00000000" w:rsidRPr="00100C05" w:rsidP="00100C05">
      <w:pPr>
        <w:pStyle w:val="ListBullet2"/>
      </w:pPr>
      <w:r w:rsidRPr="00100C05">
        <w:t>crisis situation responses</w:t>
      </w:r>
    </w:p>
    <w:p w:rsidR="00000000" w:rsidRPr="00100C05" w:rsidP="00100C05">
      <w:pPr>
        <w:pStyle w:val="ListBullet2"/>
      </w:pPr>
      <w:r w:rsidRPr="00100C05">
        <w:t>relapse prevention.</w:t>
      </w:r>
    </w:p>
    <w:p w:rsidR="00000000" w:rsidRPr="00100C05" w:rsidP="00100C05">
      <w:pPr>
        <w:pStyle w:val="AllowPageBreak"/>
      </w:pPr>
    </w:p>
    <w:p w:rsidR="00000000" w:rsidRPr="00100C05" w:rsidP="00100C05">
      <w:pPr>
        <w:pStyle w:val="Heading1"/>
      </w:pPr>
      <w:bookmarkStart w:id="12" w:name="O_1175155"/>
      <w:bookmarkEnd w:id="12"/>
      <w:r w:rsidRPr="00100C05">
        <w:t>Assessment Conditions</w:t>
      </w:r>
    </w:p>
    <w:p w:rsidR="00000000" w:rsidRPr="00100C05" w:rsidP="00B57404">
      <w:pPr>
        <w:pStyle w:val="BodyText"/>
      </w:pPr>
      <w:r w:rsidRPr="00100C05">
        <w:t>Skills must be demonstrated in a simulated online wagering environment, using a range of industry-realistic sce</w:t>
      </w:r>
      <w:r w:rsidRPr="00100C05">
        <w:t xml:space="preserve">narios where indicators of harmful wagering are present. </w:t>
      </w:r>
    </w:p>
    <w:p w:rsidR="00000000" w:rsidRPr="00100C05" w:rsidP="00B57404">
      <w:pPr>
        <w:pStyle w:val="BodyText"/>
      </w:pPr>
      <w:r w:rsidRPr="00100C05">
        <w:t>Assessment must ensure access to:</w:t>
      </w:r>
    </w:p>
    <w:p w:rsidR="00000000" w:rsidRPr="00100C05" w:rsidP="00100C05">
      <w:pPr>
        <w:pStyle w:val="ListBullet"/>
      </w:pPr>
      <w:r w:rsidRPr="00100C05">
        <w:t>National Consumer Protection Framework for Online Wagering – National Policy Statement (26 November 2018) or its successor</w:t>
      </w:r>
    </w:p>
    <w:p w:rsidR="00000000" w:rsidRPr="00100C05" w:rsidP="00100C05">
      <w:pPr>
        <w:pStyle w:val="ListBullet"/>
      </w:pPr>
      <w:r w:rsidRPr="00100C05">
        <w:t>Interactive Gambling Act 2001</w:t>
      </w:r>
    </w:p>
    <w:p w:rsidR="00000000" w:rsidRPr="00100C05" w:rsidP="00100C05">
      <w:pPr>
        <w:pStyle w:val="ListBullet"/>
      </w:pPr>
      <w:r w:rsidRPr="00100C05">
        <w:t xml:space="preserve">Australian Communications and Media Authority Interactive Gambling Industry Code </w:t>
      </w:r>
    </w:p>
    <w:p w:rsidR="00000000" w:rsidRPr="00100C05" w:rsidP="00100C05">
      <w:pPr>
        <w:pStyle w:val="ListBullet"/>
      </w:pPr>
      <w:r w:rsidRPr="00100C05">
        <w:t xml:space="preserve">current regulatory documents distributed by key State or Territory gambling licensing agencies, including legislative publications and codes of conduct outlining responsible </w:t>
      </w:r>
      <w:r w:rsidRPr="00100C05">
        <w:t>online wagering requirements</w:t>
      </w:r>
    </w:p>
    <w:p w:rsidR="00000000" w:rsidRPr="00100C05" w:rsidP="00100C05">
      <w:pPr>
        <w:pStyle w:val="ListBullet"/>
      </w:pPr>
      <w:r w:rsidRPr="00100C05">
        <w:t>industry and organisational codes of conduct, policies, procedures and information relating to responsible online wagering services</w:t>
      </w:r>
    </w:p>
    <w:p w:rsidR="00000000" w:rsidRPr="00100C05" w:rsidP="00100C05">
      <w:pPr>
        <w:pStyle w:val="ListBullet"/>
      </w:pPr>
      <w:r w:rsidRPr="00100C05">
        <w:t>information regarding the identification and impacts of gambling-related harms</w:t>
      </w:r>
    </w:p>
    <w:p w:rsidR="00000000" w:rsidRPr="00100C05" w:rsidP="00B57404">
      <w:pPr>
        <w:pStyle w:val="BodyText"/>
      </w:pPr>
      <w:r w:rsidRPr="00100C05">
        <w:t>Assessors must s</w:t>
      </w:r>
      <w:r w:rsidRPr="00100C05">
        <w:t>atisfy the Standards for Registered Training Organisations’ requirements for assessors.</w:t>
      </w:r>
    </w:p>
    <w:p w:rsidR="00000000" w:rsidRPr="00100C05" w:rsidP="00100C05">
      <w:pPr>
        <w:pStyle w:val="Heading1"/>
      </w:pPr>
      <w:bookmarkStart w:id="13" w:name="O_1175158"/>
      <w:bookmarkEnd w:id="13"/>
      <w:r w:rsidRPr="00100C05">
        <w:t>Links</w:t>
      </w:r>
    </w:p>
    <w:p w:rsidR="00000000" w:rsidRPr="00100C05" w:rsidP="00B57404">
      <w:pPr>
        <w:pStyle w:val="BodyText"/>
      </w:pPr>
      <w:r w:rsidRPr="00100C0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203BA">
        <w:rPr>
          <w:rStyle w:val="Hyperlink"/>
        </w:rPr>
        <w:t>https://vetnet.gov.au/Pages/TrainingDocs.aspx?q=5e0c25cc-3d9d-4b43-80d3-bd22cc4f1e53</w:t>
      </w:r>
      <w:r>
        <w:fldChar w:fldCharType="end"/>
      </w:r>
    </w:p>
    <w:p w:rsidR="00000000" w:rsidRPr="00100C05" w:rsidP="00100C05"/>
    <w:sectPr w:rsidSect="00100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rsidRPr="00B57404" w:rsidP="00B57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404" w:rsidP="00100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57404" w:rsidP="00100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57404" w:rsidP="00100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rsidP="00100C05">
    <w:pPr>
      <w:pStyle w:val="Footer"/>
      <w:framePr w:wrap="around"/>
    </w:pPr>
    <w:r>
      <w:fldChar w:fldCharType="begin"/>
    </w:r>
    <w:r>
      <w:instrText xml:space="preserve"> DOCPROPERTY  Subject  \* MERGEFORMAT </w:instrText>
    </w:r>
    <w:r>
      <w:fldChar w:fldCharType="separate"/>
    </w:r>
    <w:r w:rsidR="00B57404">
      <w:t>Approved</w:t>
    </w:r>
    <w:r w:rsidR="00B57404">
      <w:fldChar w:fldCharType="end"/>
    </w:r>
    <w:r>
      <w:tab/>
      <w:t xml:space="preserve">Page </w:t>
    </w:r>
    <w:r>
      <w:fldChar w:fldCharType="begin"/>
    </w:r>
    <w:r>
      <w:instrText xml:space="preserve"> PAGE  \* Arabic  \* MERGEFORMAT </w:instrText>
    </w:r>
    <w:r>
      <w:fldChar w:fldCharType="separate"/>
    </w:r>
    <w:r w:rsidR="00B5740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7404">
      <w:rPr>
        <w:noProof/>
      </w:rPr>
      <w:t>7</w:t>
    </w:r>
    <w:r>
      <w:rPr>
        <w:noProof/>
      </w:rPr>
      <w:fldChar w:fldCharType="end"/>
    </w:r>
  </w:p>
  <w:p w:rsidR="00100C05" w:rsidP="00100C05">
    <w:pPr>
      <w:pStyle w:val="Footer"/>
      <w:framePr w:wrap="around"/>
    </w:pPr>
    <w:r>
      <w:t xml:space="preserve">© Commonwealth of Australia, </w:t>
    </w:r>
    <w:r>
      <w:fldChar w:fldCharType="begin"/>
    </w:r>
    <w:r>
      <w:instrText xml:space="preserve"> DATE  \@ "yyyy"  \* MERGEFORMAT </w:instrText>
    </w:r>
    <w:r>
      <w:fldChar w:fldCharType="separate"/>
    </w:r>
    <w:r w:rsidR="00B57404">
      <w:rPr>
        <w:noProof/>
      </w:rPr>
      <w:t>2025</w:t>
    </w:r>
    <w:r>
      <w:fldChar w:fldCharType="end"/>
    </w:r>
    <w:r>
      <w:tab/>
    </w:r>
    <w:r>
      <w:fldChar w:fldCharType="begin"/>
    </w:r>
    <w:r>
      <w:instrText xml:space="preserve"> DOCPROPERTY  Author  \* MERGEFORMAT </w:instrText>
    </w:r>
    <w:r>
      <w:fldChar w:fldCharType="separate"/>
    </w:r>
    <w:r w:rsidR="00B57404">
      <w:t>HumanAbility</w:t>
    </w:r>
    <w:r w:rsidR="00B57404">
      <w:fldChar w:fldCharType="end"/>
    </w:r>
  </w:p>
  <w:p w:rsidR="00100C05" w:rsidP="00100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4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C05" w:rsidRPr="00B57404" w:rsidP="00B574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404" w:rsidRPr="002D2AF8" w:rsidP="00100C05">
    <w:pPr>
      <w:pStyle w:val="Header"/>
      <w:framePr w:wrap="around"/>
    </w:pPr>
    <w:r>
      <w:fldChar w:fldCharType="begin"/>
    </w:r>
    <w:r>
      <w:instrText xml:space="preserve"> TITLE   \* MERGEFORMAT </w:instrText>
    </w:r>
    <w:r>
      <w:fldChar w:fldCharType="separate"/>
    </w:r>
    <w:r>
      <w:t>CHCFIN005 Provide responsible online wagering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7404" w:rsidP="00100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05" w:rsidRPr="002D2AF8" w:rsidP="00100C05">
    <w:pPr>
      <w:pStyle w:val="Header"/>
      <w:framePr w:wrap="around"/>
    </w:pPr>
    <w:r>
      <w:fldChar w:fldCharType="begin"/>
    </w:r>
    <w:r>
      <w:instrText xml:space="preserve"> TITLE   \* MERGEFORMAT </w:instrText>
    </w:r>
    <w:r>
      <w:fldChar w:fldCharType="separate"/>
    </w:r>
    <w:r w:rsidR="00B57404">
      <w:t>CHCFIN005 Provide responsible online wagering services</w:t>
    </w:r>
    <w:r w:rsidR="00B57404">
      <w:fldChar w:fldCharType="end"/>
    </w:r>
    <w:r>
      <w:tab/>
      <w:t xml:space="preserve">Date this document was generated: </w:t>
    </w:r>
    <w:r>
      <w:fldChar w:fldCharType="begin"/>
    </w:r>
    <w:r>
      <w:instrText xml:space="preserve"> CREATEDATE  \@ "d MMMM yyyy"  \* MERGEFORMAT </w:instrText>
    </w:r>
    <w:r>
      <w:fldChar w:fldCharType="separate"/>
    </w:r>
    <w:r w:rsidR="00B57404">
      <w:rPr>
        <w:noProof/>
      </w:rPr>
      <w:t>2 March 2025</w:t>
    </w:r>
    <w:r>
      <w:fldChar w:fldCharType="end"/>
    </w:r>
  </w:p>
  <w:p w:rsidR="00100C05" w:rsidP="00100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CD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A8B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27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C05"/>
    <w:pPr>
      <w:spacing w:before="360" w:after="60"/>
      <w:outlineLvl w:val="0"/>
    </w:pPr>
    <w:rPr>
      <w:sz w:val="32"/>
    </w:rPr>
  </w:style>
  <w:style w:type="paragraph" w:styleId="Heading2">
    <w:name w:val="heading 2"/>
    <w:basedOn w:val="HeadingBase"/>
    <w:next w:val="BodyText"/>
    <w:link w:val="Heading2Char"/>
    <w:qFormat/>
    <w:rsid w:val="00100C05"/>
    <w:pPr>
      <w:keepLines/>
      <w:spacing w:before="240" w:after="120"/>
      <w:outlineLvl w:val="1"/>
    </w:pPr>
    <w:rPr>
      <w:sz w:val="28"/>
      <w:szCs w:val="40"/>
    </w:rPr>
  </w:style>
  <w:style w:type="paragraph" w:styleId="Heading3">
    <w:name w:val="heading 3"/>
    <w:basedOn w:val="HeadingBase"/>
    <w:next w:val="BodyText"/>
    <w:link w:val="Heading3Char"/>
    <w:qFormat/>
    <w:rsid w:val="00100C05"/>
    <w:pPr>
      <w:spacing w:before="180" w:after="120"/>
      <w:outlineLvl w:val="2"/>
    </w:pPr>
    <w:rPr>
      <w:spacing w:val="-10"/>
      <w:kern w:val="32"/>
    </w:rPr>
  </w:style>
  <w:style w:type="paragraph" w:styleId="Heading4">
    <w:name w:val="heading 4"/>
    <w:basedOn w:val="HeadingBase"/>
    <w:next w:val="BodyText"/>
    <w:link w:val="Heading4Char"/>
    <w:qFormat/>
    <w:rsid w:val="00100C05"/>
    <w:pPr>
      <w:spacing w:before="160" w:after="120"/>
      <w:outlineLvl w:val="3"/>
    </w:pPr>
    <w:rPr>
      <w:sz w:val="22"/>
    </w:rPr>
  </w:style>
  <w:style w:type="paragraph" w:styleId="Heading5">
    <w:name w:val="heading 5"/>
    <w:basedOn w:val="HeadingBase"/>
    <w:next w:val="Normal"/>
    <w:link w:val="Heading5Char"/>
    <w:qFormat/>
    <w:rsid w:val="00100C05"/>
    <w:pPr>
      <w:spacing w:before="80"/>
      <w:outlineLvl w:val="4"/>
    </w:pPr>
    <w:rPr>
      <w:color w:val="918585"/>
      <w:sz w:val="20"/>
    </w:rPr>
  </w:style>
  <w:style w:type="paragraph" w:styleId="Heading6">
    <w:name w:val="heading 6"/>
    <w:basedOn w:val="HeadingBase"/>
    <w:next w:val="Normal"/>
    <w:link w:val="Heading6Char"/>
    <w:qFormat/>
    <w:rsid w:val="00100C05"/>
    <w:pPr>
      <w:spacing w:before="60"/>
      <w:outlineLvl w:val="5"/>
    </w:pPr>
    <w:rPr>
      <w:color w:val="918585"/>
      <w:sz w:val="20"/>
    </w:rPr>
  </w:style>
  <w:style w:type="paragraph" w:styleId="Heading7">
    <w:name w:val="heading 7"/>
    <w:basedOn w:val="Normal"/>
    <w:next w:val="Normal"/>
    <w:link w:val="Heading7Char"/>
    <w:qFormat/>
    <w:rsid w:val="00100C05"/>
    <w:pPr>
      <w:ind w:left="720"/>
      <w:outlineLvl w:val="6"/>
    </w:pPr>
    <w:rPr>
      <w:i/>
    </w:rPr>
  </w:style>
  <w:style w:type="paragraph" w:styleId="Heading8">
    <w:name w:val="heading 8"/>
    <w:basedOn w:val="Normal"/>
    <w:next w:val="Normal"/>
    <w:link w:val="Heading8Char"/>
    <w:qFormat/>
    <w:rsid w:val="00100C05"/>
    <w:pPr>
      <w:ind w:left="720"/>
      <w:outlineLvl w:val="7"/>
    </w:pPr>
    <w:rPr>
      <w:i/>
    </w:rPr>
  </w:style>
  <w:style w:type="paragraph" w:styleId="Heading9">
    <w:name w:val="heading 9"/>
    <w:basedOn w:val="Normal"/>
    <w:next w:val="Normal"/>
    <w:link w:val="Heading9Char"/>
    <w:qFormat/>
    <w:rsid w:val="00100C05"/>
    <w:pPr>
      <w:ind w:left="720"/>
      <w:outlineLvl w:val="8"/>
    </w:pPr>
    <w:rPr>
      <w:i/>
    </w:rPr>
  </w:style>
  <w:style w:type="character" w:default="1" w:styleId="DefaultParagraphFont">
    <w:name w:val="Default Paragraph Font"/>
    <w:uiPriority w:val="1"/>
    <w:unhideWhenUsed/>
    <w:rsid w:val="00100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C05"/>
  </w:style>
  <w:style w:type="character" w:customStyle="1" w:styleId="Heading1Char">
    <w:name w:val="Heading 1 Char"/>
    <w:basedOn w:val="DefaultParagraphFont"/>
    <w:link w:val="Heading1"/>
    <w:rsid w:val="00100C05"/>
    <w:rPr>
      <w:rFonts w:ascii="Times New Roman" w:eastAsia="Times New Roman" w:hAnsi="Times New Roman" w:cs="Times New Roman"/>
      <w:b/>
      <w:sz w:val="32"/>
      <w:szCs w:val="20"/>
      <w:lang w:eastAsia="en-US"/>
    </w:rPr>
  </w:style>
  <w:style w:type="paragraph" w:styleId="BodyText">
    <w:name w:val="Body Text"/>
    <w:basedOn w:val="Normal"/>
    <w:link w:val="BodyTextChar"/>
    <w:rsid w:val="00100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C05"/>
    <w:rPr>
      <w:rFonts w:ascii="Times New Roman" w:eastAsia="Times New Roman" w:hAnsi="Times New Roman" w:cs="Times New Roman"/>
      <w:sz w:val="24"/>
      <w:lang w:eastAsia="en-US"/>
    </w:rPr>
  </w:style>
  <w:style w:type="paragraph" w:styleId="List">
    <w:name w:val="List"/>
    <w:basedOn w:val="BodyText"/>
    <w:next w:val="BodyText"/>
    <w:rsid w:val="00100C05"/>
    <w:pPr>
      <w:tabs>
        <w:tab w:val="left" w:pos="340"/>
      </w:tabs>
      <w:spacing w:before="60" w:after="60"/>
      <w:ind w:left="340" w:hanging="340"/>
    </w:pPr>
  </w:style>
  <w:style w:type="paragraph" w:styleId="ListBullet">
    <w:name w:val="List Bullet"/>
    <w:basedOn w:val="List"/>
    <w:rsid w:val="00100C05"/>
    <w:pPr>
      <w:numPr>
        <w:numId w:val="13"/>
      </w:numPr>
      <w:tabs>
        <w:tab w:val="clear" w:pos="340"/>
      </w:tabs>
      <w:spacing w:before="40" w:after="40"/>
    </w:pPr>
  </w:style>
  <w:style w:type="character" w:customStyle="1" w:styleId="SpecialBold">
    <w:name w:val="Special Bold"/>
    <w:basedOn w:val="DefaultParagraphFont"/>
    <w:rsid w:val="00100C05"/>
    <w:rPr>
      <w:b/>
      <w:spacing w:val="0"/>
    </w:rPr>
  </w:style>
  <w:style w:type="paragraph" w:styleId="ListBullet2">
    <w:name w:val="List Bullet 2"/>
    <w:basedOn w:val="List2"/>
    <w:rsid w:val="00100C05"/>
    <w:pPr>
      <w:numPr>
        <w:numId w:val="14"/>
      </w:numPr>
      <w:tabs>
        <w:tab w:val="clear" w:pos="680"/>
      </w:tabs>
    </w:pPr>
  </w:style>
  <w:style w:type="character" w:styleId="Emphasis">
    <w:name w:val="Emphasis"/>
    <w:basedOn w:val="DefaultParagraphFont"/>
    <w:qFormat/>
    <w:rsid w:val="00100C05"/>
    <w:rPr>
      <w:i/>
    </w:rPr>
  </w:style>
  <w:style w:type="paragraph" w:customStyle="1" w:styleId="SuperHeading">
    <w:name w:val="SuperHeading"/>
    <w:basedOn w:val="Normal"/>
    <w:rsid w:val="00100C05"/>
    <w:pPr>
      <w:spacing w:before="240" w:after="120"/>
      <w:outlineLvl w:val="0"/>
    </w:pPr>
    <w:rPr>
      <w:rFonts w:ascii="Times New Roman" w:hAnsi="Times New Roman"/>
      <w:b/>
      <w:sz w:val="32"/>
    </w:rPr>
  </w:style>
  <w:style w:type="paragraph" w:customStyle="1" w:styleId="AllowPageBreak">
    <w:name w:val="AllowPageBreak"/>
    <w:rsid w:val="00100C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0C05"/>
    <w:pPr>
      <w:numPr>
        <w:numId w:val="3"/>
      </w:numPr>
      <w:tabs>
        <w:tab w:val="clear" w:pos="1021"/>
      </w:tabs>
      <w:ind w:left="1037" w:hanging="357"/>
    </w:pPr>
  </w:style>
  <w:style w:type="character" w:customStyle="1" w:styleId="Heading2Char">
    <w:name w:val="Heading 2 Char"/>
    <w:basedOn w:val="DefaultParagraphFont"/>
    <w:link w:val="Heading2"/>
    <w:rsid w:val="00100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C05"/>
    <w:rPr>
      <w:rFonts w:ascii="Courier New" w:eastAsia="Times New Roman" w:hAnsi="Courier New" w:cs="Times New Roman"/>
      <w:i/>
      <w:szCs w:val="20"/>
      <w:lang w:eastAsia="en-US"/>
    </w:rPr>
  </w:style>
  <w:style w:type="paragraph" w:customStyle="1" w:styleId="HeadingBase">
    <w:name w:val="Heading Base"/>
    <w:rsid w:val="00100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C05"/>
    <w:pPr>
      <w:tabs>
        <w:tab w:val="right" w:leader="dot" w:pos="9072"/>
      </w:tabs>
      <w:ind w:left="567"/>
    </w:pPr>
    <w:rPr>
      <w:szCs w:val="22"/>
    </w:rPr>
  </w:style>
  <w:style w:type="paragraph" w:customStyle="1" w:styleId="TOCBase">
    <w:name w:val="TOC Base"/>
    <w:rsid w:val="00100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C05"/>
    <w:pPr>
      <w:tabs>
        <w:tab w:val="right" w:leader="dot" w:pos="9072"/>
      </w:tabs>
      <w:spacing w:before="40" w:after="40"/>
      <w:ind w:left="284"/>
    </w:pPr>
    <w:rPr>
      <w:rFonts w:ascii="Times New Roman" w:hAnsi="Times New Roman"/>
    </w:rPr>
  </w:style>
  <w:style w:type="paragraph" w:styleId="TOC1">
    <w:name w:val="toc 1"/>
    <w:basedOn w:val="TOCBase"/>
    <w:next w:val="Normal"/>
    <w:rsid w:val="00100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C05"/>
    <w:rPr>
      <w:rFonts w:ascii="Times New Roman" w:eastAsia="Times New Roman" w:hAnsi="Times New Roman" w:cs="Times New Roman"/>
      <w:sz w:val="16"/>
      <w:lang w:eastAsia="en-US"/>
    </w:rPr>
  </w:style>
  <w:style w:type="paragraph" w:styleId="Title">
    <w:name w:val="Title"/>
    <w:basedOn w:val="HeadingBase"/>
    <w:link w:val="TitleChar"/>
    <w:qFormat/>
    <w:rsid w:val="00100C05"/>
    <w:pPr>
      <w:spacing w:before="5040"/>
      <w:jc w:val="center"/>
    </w:pPr>
    <w:rPr>
      <w:sz w:val="48"/>
      <w:szCs w:val="72"/>
      <w:lang w:val="en-US"/>
    </w:rPr>
  </w:style>
  <w:style w:type="character" w:customStyle="1" w:styleId="TitleChar">
    <w:name w:val="Title Char"/>
    <w:basedOn w:val="DefaultParagraphFont"/>
    <w:link w:val="Title"/>
    <w:rsid w:val="00100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C05"/>
    <w:pPr>
      <w:tabs>
        <w:tab w:val="left" w:pos="3600"/>
        <w:tab w:val="left" w:pos="3958"/>
      </w:tabs>
    </w:pPr>
  </w:style>
  <w:style w:type="paragraph" w:customStyle="1" w:styleId="Note">
    <w:name w:val="Note"/>
    <w:basedOn w:val="BodyText"/>
    <w:rsid w:val="00100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C05"/>
    <w:pPr>
      <w:framePr w:wrap="auto" w:hAnchor="text" w:y="6049"/>
    </w:pPr>
    <w:rPr>
      <w:color w:val="000000"/>
      <w:sz w:val="40"/>
    </w:rPr>
  </w:style>
  <w:style w:type="paragraph" w:customStyle="1" w:styleId="TOCTitle">
    <w:name w:val="TOCTitle"/>
    <w:basedOn w:val="Heading1"/>
    <w:rsid w:val="00100C05"/>
    <w:pPr>
      <w:spacing w:after="240"/>
      <w:jc w:val="center"/>
      <w:outlineLvl w:val="9"/>
    </w:pPr>
    <w:rPr>
      <w:caps/>
    </w:rPr>
  </w:style>
  <w:style w:type="paragraph" w:customStyle="1" w:styleId="Version">
    <w:name w:val="Version"/>
    <w:rsid w:val="00100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C05"/>
    <w:pPr>
      <w:keepNext w:val="0"/>
      <w:tabs>
        <w:tab w:val="right" w:pos="4176"/>
      </w:tabs>
      <w:ind w:left="198" w:hanging="198"/>
    </w:pPr>
    <w:rPr>
      <w:rFonts w:ascii="Garamond" w:hAnsi="Garamond"/>
    </w:rPr>
  </w:style>
  <w:style w:type="paragraph" w:styleId="IndexHeading">
    <w:name w:val="index heading"/>
    <w:basedOn w:val="Normal"/>
    <w:next w:val="Index1"/>
    <w:semiHidden/>
    <w:rsid w:val="00100C05"/>
    <w:pPr>
      <w:spacing w:before="120" w:after="120"/>
    </w:pPr>
    <w:rPr>
      <w:rFonts w:ascii="Arial" w:hAnsi="Arial"/>
      <w:b/>
      <w:color w:val="918585"/>
      <w:sz w:val="24"/>
    </w:rPr>
  </w:style>
  <w:style w:type="paragraph" w:styleId="Header">
    <w:name w:val="header"/>
    <w:basedOn w:val="Normal"/>
    <w:link w:val="HeaderChar"/>
    <w:rsid w:val="00100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C05"/>
    <w:rPr>
      <w:rFonts w:ascii="Times New Roman" w:eastAsia="Times New Roman" w:hAnsi="Times New Roman" w:cs="Times New Roman"/>
      <w:sz w:val="16"/>
      <w:szCs w:val="20"/>
      <w:lang w:val="en-GB" w:eastAsia="en-US"/>
    </w:rPr>
  </w:style>
  <w:style w:type="paragraph" w:customStyle="1" w:styleId="Chapter">
    <w:name w:val="Chapter"/>
    <w:basedOn w:val="Normal"/>
    <w:rsid w:val="00100C05"/>
    <w:pPr>
      <w:spacing w:before="240"/>
    </w:pPr>
    <w:rPr>
      <w:rFonts w:ascii="Times New Roman" w:hAnsi="Times New Roman"/>
      <w:smallCaps/>
      <w:spacing w:val="80"/>
      <w:sz w:val="28"/>
    </w:rPr>
  </w:style>
  <w:style w:type="paragraph" w:customStyle="1" w:styleId="InChapter">
    <w:name w:val="InChapter"/>
    <w:basedOn w:val="Heading3"/>
    <w:rsid w:val="00100C05"/>
    <w:pPr>
      <w:spacing w:after="240"/>
      <w:outlineLvl w:val="9"/>
    </w:pPr>
    <w:rPr>
      <w:noProof/>
    </w:rPr>
  </w:style>
  <w:style w:type="paragraph" w:styleId="Index2">
    <w:name w:val="index 2"/>
    <w:basedOn w:val="Normal"/>
    <w:next w:val="Normal"/>
    <w:semiHidden/>
    <w:rsid w:val="00100C05"/>
    <w:pPr>
      <w:tabs>
        <w:tab w:val="right" w:pos="4176"/>
      </w:tabs>
      <w:ind w:left="568" w:hanging="284"/>
    </w:pPr>
    <w:rPr>
      <w:rFonts w:ascii="Garamond" w:hAnsi="Garamond"/>
    </w:rPr>
  </w:style>
  <w:style w:type="paragraph" w:customStyle="1" w:styleId="Byline">
    <w:name w:val="Byline"/>
    <w:rsid w:val="00100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C05"/>
    <w:pPr>
      <w:tabs>
        <w:tab w:val="clear" w:pos="3600"/>
        <w:tab w:val="clear" w:pos="3958"/>
      </w:tabs>
      <w:jc w:val="right"/>
    </w:pPr>
  </w:style>
  <w:style w:type="paragraph" w:styleId="Caption">
    <w:name w:val="caption"/>
    <w:basedOn w:val="BodyText"/>
    <w:next w:val="Normal"/>
    <w:qFormat/>
    <w:rsid w:val="00100C05"/>
    <w:pPr>
      <w:framePr w:w="2268" w:hSpace="181" w:vSpace="181" w:wrap="around" w:vAnchor="text" w:hAnchor="page" w:x="1135" w:y="285" w:anchorLock="1"/>
    </w:pPr>
    <w:rPr>
      <w:i/>
    </w:rPr>
  </w:style>
  <w:style w:type="paragraph" w:customStyle="1" w:styleId="MiniTOCTitle">
    <w:name w:val="MiniTOCTitle"/>
    <w:basedOn w:val="Heading4"/>
    <w:rsid w:val="00100C05"/>
    <w:pPr>
      <w:spacing w:before="240"/>
      <w:outlineLvl w:val="9"/>
    </w:pPr>
    <w:rPr>
      <w:noProof/>
      <w:sz w:val="24"/>
    </w:rPr>
  </w:style>
  <w:style w:type="paragraph" w:customStyle="1" w:styleId="MiniTOCItem">
    <w:name w:val="MiniTOCItem"/>
    <w:basedOn w:val="ListBullet"/>
    <w:rsid w:val="00100C05"/>
    <w:pPr>
      <w:numPr>
        <w:numId w:val="0"/>
      </w:numPr>
      <w:tabs>
        <w:tab w:val="right" w:leader="dot" w:pos="6521"/>
      </w:tabs>
      <w:spacing w:before="0" w:after="0"/>
    </w:pPr>
  </w:style>
  <w:style w:type="paragraph" w:customStyle="1" w:styleId="TOFTitle">
    <w:name w:val="TOFTitle"/>
    <w:basedOn w:val="TOCTitle"/>
    <w:rsid w:val="00100C05"/>
  </w:style>
  <w:style w:type="paragraph" w:styleId="TableofFigures">
    <w:name w:val="table of figures"/>
    <w:basedOn w:val="Normal"/>
    <w:next w:val="Normal"/>
    <w:semiHidden/>
    <w:rsid w:val="00100C05"/>
    <w:pPr>
      <w:tabs>
        <w:tab w:val="right" w:leader="dot" w:pos="9072"/>
      </w:tabs>
      <w:ind w:left="970" w:hanging="403"/>
    </w:pPr>
    <w:rPr>
      <w:rFonts w:ascii="Times New Roman" w:hAnsi="Times New Roman"/>
      <w:b/>
    </w:rPr>
  </w:style>
  <w:style w:type="paragraph" w:styleId="ListNumber">
    <w:name w:val="List Number"/>
    <w:basedOn w:val="List"/>
    <w:rsid w:val="00100C05"/>
    <w:pPr>
      <w:numPr>
        <w:numId w:val="16"/>
      </w:numPr>
      <w:tabs>
        <w:tab w:val="clear" w:pos="340"/>
      </w:tabs>
    </w:pPr>
  </w:style>
  <w:style w:type="character" w:customStyle="1" w:styleId="WingdingSymbols">
    <w:name w:val="Wingding Symbols"/>
    <w:rsid w:val="00100C05"/>
    <w:rPr>
      <w:rFonts w:ascii="Wingdings" w:hAnsi="Wingdings"/>
    </w:rPr>
  </w:style>
  <w:style w:type="paragraph" w:customStyle="1" w:styleId="TableHeading">
    <w:name w:val="Table Heading"/>
    <w:basedOn w:val="HeadingBase"/>
    <w:rsid w:val="00100C05"/>
    <w:pPr>
      <w:keepLines/>
      <w:pBdr>
        <w:bottom w:val="single" w:sz="6" w:space="1" w:color="918585"/>
      </w:pBdr>
      <w:spacing w:before="240"/>
    </w:pPr>
  </w:style>
  <w:style w:type="character" w:customStyle="1" w:styleId="HotSpot">
    <w:name w:val="HotSpot"/>
    <w:rsid w:val="00100C05"/>
    <w:rPr>
      <w:color w:val="0033CC"/>
      <w:u w:val="none"/>
    </w:rPr>
  </w:style>
  <w:style w:type="paragraph" w:customStyle="1" w:styleId="BodyTextRight">
    <w:name w:val="Body Text Right"/>
    <w:basedOn w:val="BodyText"/>
    <w:rsid w:val="00100C05"/>
    <w:pPr>
      <w:spacing w:before="0" w:after="0"/>
      <w:jc w:val="right"/>
    </w:pPr>
  </w:style>
  <w:style w:type="paragraph" w:styleId="Index3">
    <w:name w:val="index 3"/>
    <w:basedOn w:val="ListNumber2"/>
    <w:next w:val="Normal"/>
    <w:semiHidden/>
    <w:rsid w:val="00100C05"/>
    <w:pPr>
      <w:numPr>
        <w:numId w:val="0"/>
      </w:numPr>
      <w:tabs>
        <w:tab w:val="right" w:leader="dot" w:pos="4176"/>
      </w:tabs>
    </w:pPr>
  </w:style>
  <w:style w:type="paragraph" w:styleId="ListNumber2">
    <w:name w:val="List Number 2"/>
    <w:basedOn w:val="List2"/>
    <w:rsid w:val="00100C05"/>
    <w:pPr>
      <w:numPr>
        <w:numId w:val="11"/>
      </w:numPr>
      <w:tabs>
        <w:tab w:val="clear" w:pos="1060"/>
      </w:tabs>
    </w:pPr>
  </w:style>
  <w:style w:type="paragraph" w:customStyle="1" w:styleId="MarginNote">
    <w:name w:val="Margin Note"/>
    <w:basedOn w:val="BodyText"/>
    <w:rsid w:val="00100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C05"/>
    <w:rPr>
      <w:sz w:val="32"/>
    </w:rPr>
  </w:style>
  <w:style w:type="paragraph" w:customStyle="1" w:styleId="HeadingProcedure">
    <w:name w:val="Heading Procedure"/>
    <w:basedOn w:val="HeadingBase"/>
    <w:next w:val="Normal"/>
    <w:rsid w:val="00100C05"/>
    <w:pPr>
      <w:tabs>
        <w:tab w:val="left" w:pos="0"/>
      </w:tabs>
      <w:spacing w:before="120" w:after="60"/>
    </w:pPr>
    <w:rPr>
      <w:i/>
      <w:color w:val="918585"/>
      <w:sz w:val="22"/>
    </w:rPr>
  </w:style>
  <w:style w:type="paragraph" w:customStyle="1" w:styleId="TableBodyText">
    <w:name w:val="Table Body Text"/>
    <w:basedOn w:val="BodyText"/>
    <w:rsid w:val="00100C05"/>
    <w:pPr>
      <w:spacing w:before="60" w:after="60"/>
    </w:pPr>
  </w:style>
  <w:style w:type="paragraph" w:styleId="ListContinue">
    <w:name w:val="List Continue"/>
    <w:basedOn w:val="List"/>
    <w:rsid w:val="00100C05"/>
    <w:pPr>
      <w:ind w:firstLine="0"/>
    </w:pPr>
  </w:style>
  <w:style w:type="paragraph" w:customStyle="1" w:styleId="ListNote">
    <w:name w:val="List Note"/>
    <w:basedOn w:val="List"/>
    <w:rsid w:val="00100C05"/>
    <w:pPr>
      <w:pBdr>
        <w:top w:val="single" w:sz="6" w:space="2" w:color="918585"/>
        <w:bottom w:val="single" w:sz="6" w:space="2" w:color="918585"/>
      </w:pBdr>
      <w:tabs>
        <w:tab w:val="left" w:pos="1021"/>
      </w:tabs>
      <w:ind w:firstLine="0"/>
    </w:pPr>
  </w:style>
  <w:style w:type="paragraph" w:customStyle="1" w:styleId="Warning">
    <w:name w:val="Warning"/>
    <w:basedOn w:val="BodyText"/>
    <w:rsid w:val="00100C05"/>
    <w:pPr>
      <w:shd w:val="clear" w:color="auto" w:fill="D9D9D9"/>
      <w:tabs>
        <w:tab w:val="left" w:pos="992"/>
      </w:tabs>
      <w:ind w:left="119" w:right="119"/>
    </w:pPr>
    <w:rPr>
      <w:sz w:val="20"/>
    </w:rPr>
  </w:style>
  <w:style w:type="paragraph" w:customStyle="1" w:styleId="MarginIcons">
    <w:name w:val="Margin Icons"/>
    <w:basedOn w:val="BodyText"/>
    <w:rsid w:val="00100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C05"/>
    <w:rPr>
      <w:rFonts w:ascii="Courier New" w:hAnsi="Courier New"/>
    </w:rPr>
  </w:style>
  <w:style w:type="paragraph" w:customStyle="1" w:styleId="NoteBullet">
    <w:name w:val="Note Bullet"/>
    <w:basedOn w:val="Note"/>
    <w:rsid w:val="00100C05"/>
    <w:pPr>
      <w:tabs>
        <w:tab w:val="clear" w:pos="680"/>
      </w:tabs>
      <w:spacing w:before="60" w:after="60"/>
    </w:pPr>
  </w:style>
  <w:style w:type="paragraph" w:customStyle="1" w:styleId="SubHeading2">
    <w:name w:val="SubHeading2"/>
    <w:basedOn w:val="HeadingBase"/>
    <w:rsid w:val="00100C05"/>
    <w:pPr>
      <w:spacing w:before="240" w:after="60"/>
    </w:pPr>
    <w:rPr>
      <w:sz w:val="20"/>
    </w:rPr>
  </w:style>
  <w:style w:type="paragraph" w:customStyle="1" w:styleId="SubHeading1">
    <w:name w:val="SubHeading1"/>
    <w:basedOn w:val="HeadingBase"/>
    <w:rsid w:val="00100C05"/>
    <w:pPr>
      <w:spacing w:before="240" w:after="60"/>
    </w:pPr>
    <w:rPr>
      <w:color w:val="918585"/>
      <w:sz w:val="22"/>
    </w:rPr>
  </w:style>
  <w:style w:type="paragraph" w:customStyle="1" w:styleId="SideHeading">
    <w:name w:val="Side Heading"/>
    <w:basedOn w:val="HeadingBase"/>
    <w:rsid w:val="00100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C05"/>
    <w:pPr>
      <w:numPr>
        <w:numId w:val="12"/>
      </w:numPr>
    </w:pPr>
  </w:style>
  <w:style w:type="paragraph" w:styleId="PlainText">
    <w:name w:val="Plain Text"/>
    <w:basedOn w:val="Normal"/>
    <w:link w:val="PlainTextChar"/>
    <w:rsid w:val="00100C05"/>
    <w:rPr>
      <w:sz w:val="20"/>
    </w:rPr>
  </w:style>
  <w:style w:type="character" w:customStyle="1" w:styleId="PlainTextChar">
    <w:name w:val="Plain Text Char"/>
    <w:basedOn w:val="DefaultParagraphFont"/>
    <w:link w:val="PlainText"/>
    <w:rsid w:val="00100C05"/>
    <w:rPr>
      <w:rFonts w:ascii="Courier New" w:eastAsia="Times New Roman" w:hAnsi="Courier New" w:cs="Times New Roman"/>
      <w:sz w:val="20"/>
      <w:szCs w:val="20"/>
      <w:lang w:eastAsia="en-US"/>
    </w:rPr>
  </w:style>
  <w:style w:type="character" w:customStyle="1" w:styleId="MenuOption">
    <w:name w:val="Menu Option"/>
    <w:basedOn w:val="DefaultParagraphFont"/>
    <w:rsid w:val="00100C05"/>
    <w:rPr>
      <w:b/>
      <w:smallCaps/>
    </w:rPr>
  </w:style>
  <w:style w:type="paragraph" w:customStyle="1" w:styleId="TableListNumber">
    <w:name w:val="Table List Number"/>
    <w:basedOn w:val="ListNumber"/>
    <w:rsid w:val="00100C05"/>
    <w:pPr>
      <w:numPr>
        <w:numId w:val="0"/>
      </w:numPr>
    </w:pPr>
  </w:style>
  <w:style w:type="paragraph" w:styleId="TOC4">
    <w:name w:val="toc 4"/>
    <w:basedOn w:val="TOCBase"/>
    <w:next w:val="Normal"/>
    <w:semiHidden/>
    <w:rsid w:val="00100C05"/>
    <w:pPr>
      <w:tabs>
        <w:tab w:val="right" w:leader="dot" w:pos="9071"/>
      </w:tabs>
      <w:ind w:left="1701"/>
    </w:pPr>
  </w:style>
  <w:style w:type="paragraph" w:customStyle="1" w:styleId="ListAlpha">
    <w:name w:val="List Alpha"/>
    <w:basedOn w:val="List"/>
    <w:rsid w:val="00100C05"/>
    <w:pPr>
      <w:numPr>
        <w:numId w:val="10"/>
      </w:numPr>
    </w:pPr>
  </w:style>
  <w:style w:type="paragraph" w:customStyle="1" w:styleId="ListAlpha2">
    <w:name w:val="List Alpha 2"/>
    <w:basedOn w:val="List2"/>
    <w:rsid w:val="00100C05"/>
    <w:pPr>
      <w:numPr>
        <w:numId w:val="9"/>
      </w:numPr>
    </w:pPr>
  </w:style>
  <w:style w:type="paragraph" w:styleId="List2">
    <w:name w:val="List 2"/>
    <w:basedOn w:val="BodyText"/>
    <w:rsid w:val="00100C05"/>
    <w:pPr>
      <w:tabs>
        <w:tab w:val="left" w:pos="680"/>
      </w:tabs>
      <w:spacing w:before="60" w:after="60"/>
      <w:ind w:left="680" w:hanging="340"/>
    </w:pPr>
  </w:style>
  <w:style w:type="paragraph" w:styleId="List3">
    <w:name w:val="List 3"/>
    <w:basedOn w:val="BodyText"/>
    <w:rsid w:val="00100C05"/>
    <w:pPr>
      <w:tabs>
        <w:tab w:val="left" w:pos="1021"/>
      </w:tabs>
      <w:spacing w:before="60" w:after="60"/>
      <w:ind w:left="1020" w:hanging="340"/>
    </w:pPr>
  </w:style>
  <w:style w:type="paragraph" w:styleId="List4">
    <w:name w:val="List 4"/>
    <w:basedOn w:val="BodyText"/>
    <w:rsid w:val="00100C05"/>
    <w:pPr>
      <w:tabs>
        <w:tab w:val="left" w:pos="1361"/>
      </w:tabs>
      <w:spacing w:before="60" w:after="60"/>
      <w:ind w:left="1361" w:hanging="340"/>
    </w:pPr>
  </w:style>
  <w:style w:type="paragraph" w:styleId="List5">
    <w:name w:val="List 5"/>
    <w:basedOn w:val="BodyText"/>
    <w:rsid w:val="00100C05"/>
    <w:pPr>
      <w:tabs>
        <w:tab w:val="left" w:pos="1701"/>
      </w:tabs>
      <w:spacing w:before="60" w:after="60"/>
      <w:ind w:left="1701" w:hanging="340"/>
    </w:pPr>
  </w:style>
  <w:style w:type="paragraph" w:styleId="ListBullet4">
    <w:name w:val="List Bullet 4"/>
    <w:basedOn w:val="List4"/>
    <w:rsid w:val="00100C05"/>
    <w:pPr>
      <w:numPr>
        <w:numId w:val="4"/>
      </w:numPr>
      <w:tabs>
        <w:tab w:val="clear" w:pos="1361"/>
      </w:tabs>
    </w:pPr>
  </w:style>
  <w:style w:type="paragraph" w:styleId="ListBullet5">
    <w:name w:val="List Bullet 5"/>
    <w:basedOn w:val="List5"/>
    <w:rsid w:val="00100C05"/>
    <w:pPr>
      <w:numPr>
        <w:numId w:val="5"/>
      </w:numPr>
    </w:pPr>
  </w:style>
  <w:style w:type="paragraph" w:styleId="ListContinue2">
    <w:name w:val="List Continue 2"/>
    <w:basedOn w:val="List2"/>
    <w:rsid w:val="00100C05"/>
    <w:pPr>
      <w:ind w:firstLine="0"/>
    </w:pPr>
  </w:style>
  <w:style w:type="paragraph" w:styleId="ListContinue3">
    <w:name w:val="List Continue 3"/>
    <w:basedOn w:val="List3"/>
    <w:rsid w:val="00100C05"/>
    <w:pPr>
      <w:ind w:left="1021" w:firstLine="0"/>
    </w:pPr>
  </w:style>
  <w:style w:type="paragraph" w:styleId="ListContinue4">
    <w:name w:val="List Continue 4"/>
    <w:basedOn w:val="List4"/>
    <w:rsid w:val="00100C05"/>
    <w:pPr>
      <w:ind w:firstLine="0"/>
    </w:pPr>
  </w:style>
  <w:style w:type="paragraph" w:styleId="ListContinue5">
    <w:name w:val="List Continue 5"/>
    <w:basedOn w:val="List5"/>
    <w:rsid w:val="00100C05"/>
    <w:pPr>
      <w:ind w:firstLine="0"/>
    </w:pPr>
  </w:style>
  <w:style w:type="paragraph" w:styleId="ListNumber3">
    <w:name w:val="List Number 3"/>
    <w:basedOn w:val="List3"/>
    <w:rsid w:val="00100C05"/>
    <w:pPr>
      <w:numPr>
        <w:numId w:val="6"/>
      </w:numPr>
    </w:pPr>
  </w:style>
  <w:style w:type="paragraph" w:styleId="ListNumber4">
    <w:name w:val="List Number 4"/>
    <w:basedOn w:val="List4"/>
    <w:rsid w:val="00100C05"/>
    <w:pPr>
      <w:numPr>
        <w:numId w:val="7"/>
      </w:numPr>
    </w:pPr>
  </w:style>
  <w:style w:type="paragraph" w:styleId="ListNumber5">
    <w:name w:val="List Number 5"/>
    <w:basedOn w:val="List5"/>
    <w:rsid w:val="00100C05"/>
    <w:pPr>
      <w:numPr>
        <w:numId w:val="8"/>
      </w:numPr>
    </w:pPr>
  </w:style>
  <w:style w:type="paragraph" w:styleId="BlockText">
    <w:name w:val="Block Text"/>
    <w:basedOn w:val="Normal"/>
    <w:rsid w:val="00100C05"/>
    <w:pPr>
      <w:spacing w:after="120"/>
      <w:ind w:left="1440" w:right="1440"/>
    </w:pPr>
  </w:style>
  <w:style w:type="character" w:customStyle="1" w:styleId="Subscript">
    <w:name w:val="Subscript"/>
    <w:basedOn w:val="DefaultParagraphFont"/>
    <w:rsid w:val="00100C05"/>
    <w:rPr>
      <w:sz w:val="16"/>
      <w:vertAlign w:val="subscript"/>
    </w:rPr>
  </w:style>
  <w:style w:type="character" w:customStyle="1" w:styleId="Superscript">
    <w:name w:val="Superscript"/>
    <w:basedOn w:val="DefaultParagraphFont"/>
    <w:rsid w:val="00100C05"/>
    <w:rPr>
      <w:sz w:val="16"/>
      <w:vertAlign w:val="superscript"/>
    </w:rPr>
  </w:style>
  <w:style w:type="character" w:customStyle="1" w:styleId="Symbols">
    <w:name w:val="Symbols"/>
    <w:basedOn w:val="DefaultParagraphFont"/>
    <w:rsid w:val="00100C05"/>
    <w:rPr>
      <w:rFonts w:ascii="Symbol" w:hAnsi="Symbol"/>
    </w:rPr>
  </w:style>
  <w:style w:type="character" w:customStyle="1" w:styleId="MenuOptions">
    <w:name w:val="Menu Options"/>
    <w:basedOn w:val="DefaultParagraphFont"/>
    <w:rsid w:val="00100C05"/>
    <w:rPr>
      <w:rFonts w:ascii="Arial Narrow" w:hAnsi="Arial Narrow"/>
      <w:smallCaps/>
    </w:rPr>
  </w:style>
  <w:style w:type="character" w:customStyle="1" w:styleId="Buttons">
    <w:name w:val="Buttons"/>
    <w:basedOn w:val="DefaultParagraphFont"/>
    <w:rsid w:val="00100C05"/>
    <w:rPr>
      <w:b/>
    </w:rPr>
  </w:style>
  <w:style w:type="character" w:customStyle="1" w:styleId="Underlined">
    <w:name w:val="Underlined"/>
    <w:basedOn w:val="DefaultParagraphFont"/>
    <w:rsid w:val="00100C05"/>
    <w:rPr>
      <w:u w:val="single"/>
    </w:rPr>
  </w:style>
  <w:style w:type="paragraph" w:customStyle="1" w:styleId="TableBodyTextRight">
    <w:name w:val="Table Body Text Right"/>
    <w:basedOn w:val="TableBodyText"/>
    <w:rsid w:val="00100C05"/>
    <w:pPr>
      <w:widowControl w:val="0"/>
      <w:autoSpaceDE w:val="0"/>
      <w:autoSpaceDN w:val="0"/>
      <w:adjustRightInd w:val="0"/>
      <w:jc w:val="right"/>
    </w:pPr>
    <w:rPr>
      <w:rFonts w:cs="Arial"/>
      <w:szCs w:val="18"/>
    </w:rPr>
  </w:style>
  <w:style w:type="paragraph" w:customStyle="1" w:styleId="CopyrightText">
    <w:name w:val="Copyright Text"/>
    <w:basedOn w:val="BodyText"/>
    <w:rsid w:val="00100C05"/>
    <w:rPr>
      <w:sz w:val="18"/>
    </w:rPr>
  </w:style>
  <w:style w:type="paragraph" w:customStyle="1" w:styleId="BodySmallRight">
    <w:name w:val="Body Small Right"/>
    <w:basedOn w:val="BodyTextRight"/>
    <w:rsid w:val="00100C05"/>
    <w:rPr>
      <w:sz w:val="18"/>
      <w:szCs w:val="18"/>
    </w:rPr>
  </w:style>
  <w:style w:type="paragraph" w:customStyle="1" w:styleId="MarginEdition">
    <w:name w:val="Margin Edition"/>
    <w:basedOn w:val="MarginNote"/>
    <w:rsid w:val="00100C05"/>
    <w:pPr>
      <w:spacing w:before="0" w:after="0"/>
    </w:pPr>
    <w:rPr>
      <w:rFonts w:ascii="Times New Roman" w:hAnsi="Times New Roman"/>
      <w:color w:val="999999"/>
    </w:rPr>
  </w:style>
  <w:style w:type="paragraph" w:customStyle="1" w:styleId="Spacer">
    <w:name w:val="Spacer"/>
    <w:basedOn w:val="Normal"/>
    <w:rsid w:val="00100C05"/>
    <w:rPr>
      <w:sz w:val="2"/>
      <w:szCs w:val="2"/>
    </w:rPr>
  </w:style>
  <w:style w:type="character" w:customStyle="1" w:styleId="Small">
    <w:name w:val="Small"/>
    <w:basedOn w:val="DefaultParagraphFont"/>
    <w:rsid w:val="00100C05"/>
    <w:rPr>
      <w:sz w:val="16"/>
    </w:rPr>
  </w:style>
  <w:style w:type="paragraph" w:customStyle="1" w:styleId="WideTable">
    <w:name w:val="Wide Table"/>
    <w:basedOn w:val="Normal"/>
    <w:rsid w:val="00100C05"/>
    <w:pPr>
      <w:ind w:left="-1418"/>
    </w:pPr>
    <w:rPr>
      <w:sz w:val="2"/>
      <w:szCs w:val="2"/>
    </w:rPr>
  </w:style>
  <w:style w:type="character" w:styleId="PageNumber">
    <w:name w:val="page number"/>
    <w:basedOn w:val="DefaultParagraphFont"/>
    <w:rsid w:val="00100C05"/>
  </w:style>
  <w:style w:type="paragraph" w:styleId="Quote">
    <w:name w:val="Quote"/>
    <w:basedOn w:val="Heading1"/>
    <w:link w:val="QuoteChar"/>
    <w:qFormat/>
    <w:rsid w:val="00100C05"/>
    <w:rPr>
      <w:b w:val="0"/>
      <w:sz w:val="72"/>
      <w:szCs w:val="72"/>
      <w:lang w:val="en-NZ"/>
    </w:rPr>
  </w:style>
  <w:style w:type="character" w:customStyle="1" w:styleId="QuoteChar">
    <w:name w:val="Quote Char"/>
    <w:basedOn w:val="DefaultParagraphFont"/>
    <w:link w:val="Quote"/>
    <w:rsid w:val="00100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C05"/>
    <w:pPr>
      <w:pageBreakBefore/>
    </w:pPr>
  </w:style>
  <w:style w:type="paragraph" w:customStyle="1" w:styleId="Border">
    <w:name w:val="Border"/>
    <w:basedOn w:val="Normal"/>
    <w:qFormat/>
    <w:rsid w:val="00100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C05"/>
    <w:rPr>
      <w:b/>
      <w:bCs/>
      <w:i/>
      <w:iCs/>
      <w:color w:val="auto"/>
    </w:rPr>
  </w:style>
  <w:style w:type="paragraph" w:styleId="IntenseQuote">
    <w:name w:val="Intense Quote"/>
    <w:basedOn w:val="Normal"/>
    <w:next w:val="Normal"/>
    <w:link w:val="IntenseQuoteChar"/>
    <w:uiPriority w:val="30"/>
    <w:qFormat/>
    <w:rsid w:val="00100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C05"/>
    <w:rPr>
      <w:smallCaps/>
      <w:color w:val="auto"/>
      <w:u w:val="single"/>
    </w:rPr>
  </w:style>
  <w:style w:type="character" w:styleId="IntenseReference">
    <w:name w:val="Intense Reference"/>
    <w:basedOn w:val="DefaultParagraphFont"/>
    <w:uiPriority w:val="32"/>
    <w:qFormat/>
    <w:rsid w:val="00100C05"/>
    <w:rPr>
      <w:b/>
      <w:bCs/>
      <w:smallCaps/>
      <w:color w:val="auto"/>
      <w:spacing w:val="5"/>
      <w:u w:val="single"/>
    </w:rPr>
  </w:style>
  <w:style w:type="paragraph" w:customStyle="1" w:styleId="2ColumnHeading">
    <w:name w:val="2Column Heading"/>
    <w:basedOn w:val="BodyText"/>
    <w:qFormat/>
    <w:rsid w:val="00100C05"/>
    <w:pPr>
      <w:spacing w:after="60"/>
      <w:ind w:left="-2268"/>
    </w:pPr>
    <w:rPr>
      <w:b/>
    </w:rPr>
  </w:style>
  <w:style w:type="paragraph" w:customStyle="1" w:styleId="Heading1TOC">
    <w:name w:val="Heading1 TOC"/>
    <w:basedOn w:val="Normal"/>
    <w:qFormat/>
    <w:rsid w:val="00100C05"/>
    <w:pPr>
      <w:spacing w:before="240" w:after="120"/>
    </w:pPr>
    <w:rPr>
      <w:rFonts w:ascii="Times New Roman" w:hAnsi="Times New Roman"/>
      <w:b/>
      <w:sz w:val="32"/>
    </w:rPr>
  </w:style>
  <w:style w:type="paragraph" w:customStyle="1" w:styleId="Heading2TOC">
    <w:name w:val="Heading2 TOC"/>
    <w:basedOn w:val="Normal"/>
    <w:qFormat/>
    <w:rsid w:val="00100C05"/>
    <w:pPr>
      <w:spacing w:before="240" w:after="60"/>
    </w:pPr>
    <w:rPr>
      <w:rFonts w:ascii="Times New Roman" w:hAnsi="Times New Roman"/>
      <w:b/>
      <w:sz w:val="28"/>
    </w:rPr>
  </w:style>
  <w:style w:type="character" w:customStyle="1" w:styleId="Underline">
    <w:name w:val="Underline"/>
    <w:basedOn w:val="DefaultParagraphFont"/>
    <w:qFormat/>
    <w:rsid w:val="00100C05"/>
    <w:rPr>
      <w:u w:val="single"/>
    </w:rPr>
  </w:style>
  <w:style w:type="character" w:customStyle="1" w:styleId="BoldandItalics">
    <w:name w:val="Bold and Italics"/>
    <w:qFormat/>
    <w:rsid w:val="00100C05"/>
    <w:rPr>
      <w:b/>
      <w:i/>
      <w:u w:val="none"/>
    </w:rPr>
  </w:style>
  <w:style w:type="paragraph" w:styleId="BalloonText">
    <w:name w:val="Balloon Text"/>
    <w:basedOn w:val="Normal"/>
    <w:link w:val="BalloonTextChar"/>
    <w:rsid w:val="00100C05"/>
    <w:rPr>
      <w:rFonts w:ascii="Tahoma" w:hAnsi="Tahoma" w:cs="Tahoma"/>
      <w:sz w:val="16"/>
      <w:szCs w:val="16"/>
    </w:rPr>
  </w:style>
  <w:style w:type="character" w:customStyle="1" w:styleId="BalloonTextChar">
    <w:name w:val="Balloon Text Char"/>
    <w:basedOn w:val="DefaultParagraphFont"/>
    <w:link w:val="BalloonText"/>
    <w:rsid w:val="00100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C05"/>
    <w:rPr>
      <w:b/>
      <w:color w:val="660033"/>
      <w:spacing w:val="0"/>
    </w:rPr>
  </w:style>
  <w:style w:type="paragraph" w:customStyle="1" w:styleId="Nameditemlist">
    <w:name w:val="Named item list"/>
    <w:basedOn w:val="BodyText"/>
    <w:qFormat/>
    <w:rsid w:val="00100C05"/>
    <w:pPr>
      <w:tabs>
        <w:tab w:val="left" w:pos="2835"/>
      </w:tabs>
      <w:ind w:left="2835" w:hanging="2835"/>
    </w:pPr>
  </w:style>
  <w:style w:type="paragraph" w:customStyle="1" w:styleId="BodyTextnopadding">
    <w:name w:val="Body Text no padding"/>
    <w:basedOn w:val="BodyText"/>
    <w:qFormat/>
    <w:rsid w:val="00100C05"/>
    <w:pPr>
      <w:spacing w:before="0" w:after="0"/>
    </w:pPr>
  </w:style>
  <w:style w:type="paragraph" w:customStyle="1" w:styleId="BodyTextBold">
    <w:name w:val="Body Text Bold"/>
    <w:basedOn w:val="BodyText"/>
    <w:qFormat/>
    <w:rsid w:val="00100C05"/>
    <w:rPr>
      <w:b/>
    </w:rPr>
  </w:style>
  <w:style w:type="character" w:styleId="Hyperlink">
    <w:name w:val="Hyperlink"/>
    <w:basedOn w:val="DefaultParagraphFont"/>
    <w:uiPriority w:val="99"/>
    <w:unhideWhenUsed/>
    <w:rsid w:val="00B574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2192</Words>
  <Characters>14364</Characters>
  <Application>Microsoft Office Word</Application>
  <DocSecurity>0</DocSecurity>
  <Lines>378</Lines>
  <Paragraphs>262</Paragraphs>
  <ScaleCrop>false</ScaleCrop>
  <Company>Author-it Software Corporation Ltd.</Company>
  <LinksUpToDate>false</LinksUpToDate>
  <CharactersWithSpaces>16294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CHCFIN005 Provide responsible online wagering services</dc:title>
  <dc:subject>Approved</dc:subject>
  <dc:creator>HumanAbility</dc:creator>
  <cp:keywords>Release: 1</cp:keywords>
  <dc:description>Review Date: 12 April 2008</dc:description>
  <cp:lastModifiedBy>HSD_TPCMSd.prod</cp:lastModifiedBy>
  <cp:revision>3</cp:revision>
  <dcterms:created xsi:type="dcterms:W3CDTF">2025-03-01T18:48:00Z</dcterms:created>
  <dcterms:modified xsi:type="dcterms:W3CDTF">2025-03-01T18:48:00Z</dcterms:modified>
</cp:coreProperties>
</file>