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368" w:rsidP="00B37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CHCFIN005 Provide responsible online wagering services</w:t>
      </w:r>
      <w:r>
        <w:fldChar w:fldCharType="end"/>
      </w:r>
    </w:p>
    <w:p w:rsidR="00B37368" w:rsidP="00B37368">
      <w:pPr>
        <w:pStyle w:val="Version"/>
        <w:sectPr w:rsidSect="00340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712" w:rsidP="00340712">
      <w:pPr>
        <w:pStyle w:val="SuperHeading"/>
      </w:pPr>
      <w:r w:rsidRPr="00340712">
        <w:t>Assessment Requirements for CHCFIN005 Provide responsible online wagering services</w:t>
      </w:r>
    </w:p>
    <w:p w:rsidR="00000000" w:rsidRPr="00340712" w:rsidP="00340712">
      <w:pPr>
        <w:pStyle w:val="Heading1"/>
      </w:pPr>
      <w:bookmarkStart w:id="1" w:name="O_1175152"/>
      <w:bookmarkEnd w:id="1"/>
      <w:r w:rsidRPr="00340712">
        <w:t>Modification History</w:t>
      </w:r>
    </w:p>
    <w:p w:rsidR="00000000" w:rsidRPr="00340712" w:rsidP="00B37368">
      <w:pPr>
        <w:pStyle w:val="BodyText"/>
      </w:pPr>
      <w:r w:rsidRPr="00340712">
        <w:t xml:space="preserve">Release 1. CHCFIN005 Provide responsible online wagering services. New unit. No equivalent unit. </w:t>
      </w:r>
    </w:p>
    <w:p w:rsidR="00000000" w:rsidRPr="00340712" w:rsidP="00340712">
      <w:pPr>
        <w:pStyle w:val="Heading1"/>
      </w:pPr>
      <w:bookmarkStart w:id="2" w:name="O_1175153"/>
      <w:bookmarkEnd w:id="2"/>
      <w:r w:rsidRPr="00340712">
        <w:t>Performance Evidence</w:t>
      </w:r>
    </w:p>
    <w:p w:rsidR="00000000" w:rsidRPr="00340712" w:rsidP="00B37368">
      <w:pPr>
        <w:pStyle w:val="BodyText"/>
      </w:pPr>
      <w:r w:rsidRPr="00340712">
        <w:t xml:space="preserve">Evidence of the ability to complete tasks outlined in elements and performance criteria of this unit in the context of the job role, and: </w:t>
      </w:r>
    </w:p>
    <w:p w:rsidR="00000000" w:rsidRPr="00340712" w:rsidP="00340712">
      <w:pPr>
        <w:pStyle w:val="ListBullet"/>
      </w:pPr>
      <w:r w:rsidRPr="00340712">
        <w:t>use communicaton skills, orgaisational processess and intervention measures in line with releva</w:t>
      </w:r>
      <w:r w:rsidRPr="00340712">
        <w:t>nt State or Territory legislation and industry codes of practice, in response to each of the following gambling</w:t>
      </w:r>
      <w:r w:rsidRPr="00340712">
        <w:noBreakHyphen/>
        <w:t>related situations:</w:t>
      </w:r>
    </w:p>
    <w:p w:rsidR="00000000" w:rsidRPr="00340712" w:rsidP="00340712">
      <w:pPr>
        <w:pStyle w:val="ListBullet2"/>
      </w:pPr>
      <w:r w:rsidRPr="00340712">
        <w:t>customer at risk of experiencing harm</w:t>
      </w:r>
    </w:p>
    <w:p w:rsidR="00000000" w:rsidRPr="00340712" w:rsidP="00340712">
      <w:pPr>
        <w:pStyle w:val="ListBullet2"/>
      </w:pPr>
      <w:r w:rsidRPr="00340712">
        <w:t xml:space="preserve">customer experiencing harm </w:t>
      </w:r>
    </w:p>
    <w:p w:rsidR="00000000" w:rsidRPr="00340712" w:rsidP="00340712">
      <w:pPr>
        <w:pStyle w:val="ListBullet2"/>
      </w:pPr>
      <w:r w:rsidRPr="00340712">
        <w:t>customer request for self-exclusion or assistance</w:t>
      </w:r>
    </w:p>
    <w:p w:rsidR="00000000" w:rsidRPr="00340712" w:rsidP="00340712">
      <w:pPr>
        <w:pStyle w:val="ListBullet2"/>
      </w:pPr>
      <w:r w:rsidRPr="00340712">
        <w:t>custome</w:t>
      </w:r>
      <w:r w:rsidRPr="00340712">
        <w:t>r request for counselling services</w:t>
      </w:r>
    </w:p>
    <w:p w:rsidR="00000000" w:rsidRPr="00340712" w:rsidP="00340712">
      <w:pPr>
        <w:pStyle w:val="ListBullet2"/>
      </w:pPr>
      <w:r w:rsidRPr="00340712">
        <w:t>third-party request in relation to a person experiencing harm from gambling</w:t>
      </w:r>
    </w:p>
    <w:p w:rsidR="00000000" w:rsidRPr="00340712" w:rsidP="00340712">
      <w:pPr>
        <w:pStyle w:val="ListBullet2"/>
      </w:pPr>
      <w:r w:rsidRPr="00340712">
        <w:t>customer showing signs of immediate distress</w:t>
      </w:r>
    </w:p>
    <w:p w:rsidR="00000000" w:rsidRPr="00340712" w:rsidP="00340712">
      <w:pPr>
        <w:pStyle w:val="ListBullet2"/>
      </w:pPr>
      <w:r w:rsidRPr="00340712">
        <w:t>customer showing signs of chronic distress</w:t>
      </w:r>
    </w:p>
    <w:p w:rsidR="00000000" w:rsidRPr="00340712" w:rsidP="00340712">
      <w:pPr>
        <w:pStyle w:val="ListBullet2"/>
      </w:pPr>
      <w:r w:rsidRPr="00340712">
        <w:t>dealing with disputes or complaints</w:t>
      </w:r>
    </w:p>
    <w:p w:rsidR="00000000" w:rsidRPr="00340712" w:rsidP="00340712">
      <w:pPr>
        <w:pStyle w:val="ListBullet2"/>
      </w:pPr>
      <w:r w:rsidRPr="00340712">
        <w:t>under-age wagering</w:t>
      </w:r>
    </w:p>
    <w:p w:rsidR="00000000" w:rsidRPr="00340712" w:rsidP="00340712">
      <w:pPr>
        <w:pStyle w:val="ListBullet"/>
      </w:pPr>
      <w:r w:rsidRPr="00340712">
        <w:t>identify appropriate referral processes for customers who display indicators of harm related to online wagering.</w:t>
      </w:r>
    </w:p>
    <w:p w:rsidR="00000000" w:rsidRPr="00340712" w:rsidP="00340712">
      <w:pPr>
        <w:pStyle w:val="AllowPageBreak"/>
      </w:pPr>
    </w:p>
    <w:p w:rsidR="00000000" w:rsidRPr="00340712" w:rsidP="00340712">
      <w:pPr>
        <w:pStyle w:val="Heading1"/>
      </w:pPr>
      <w:bookmarkStart w:id="3" w:name="O_1175154"/>
      <w:bookmarkEnd w:id="3"/>
      <w:r w:rsidRPr="00340712">
        <w:t>Knowledge Evidence</w:t>
      </w:r>
    </w:p>
    <w:p w:rsidR="00000000" w:rsidRPr="00340712" w:rsidP="00B37368">
      <w:pPr>
        <w:pStyle w:val="BodyText"/>
      </w:pPr>
      <w:r w:rsidRPr="00340712">
        <w:t>Demonstrated knowledge required to complete the tasks outlined in elements and performance criteria of th</w:t>
      </w:r>
      <w:r w:rsidRPr="00340712">
        <w:t>is unit outlined in elements and performance criteria of this unit:</w:t>
      </w:r>
    </w:p>
    <w:p w:rsidR="00000000" w:rsidRPr="00340712" w:rsidP="00340712">
      <w:pPr>
        <w:pStyle w:val="ListBullet"/>
      </w:pPr>
      <w:r w:rsidRPr="00340712">
        <w:t>current legislation and industry and organisational policies and procedures in regard to responsible provision of online wagering services:</w:t>
      </w:r>
    </w:p>
    <w:p w:rsidR="00000000" w:rsidRPr="00340712" w:rsidP="00340712">
      <w:pPr>
        <w:pStyle w:val="ListBullet2"/>
      </w:pPr>
      <w:r w:rsidRPr="00340712">
        <w:t>National Consumer Protection Framework for Onl</w:t>
      </w:r>
      <w:r w:rsidRPr="00340712">
        <w:t>ine Wagering – National Policy Statement (26 November 2018) or its successor</w:t>
      </w:r>
    </w:p>
    <w:p w:rsidR="00000000" w:rsidRPr="00340712" w:rsidP="00340712">
      <w:pPr>
        <w:pStyle w:val="ListBullet2"/>
      </w:pPr>
      <w:r w:rsidRPr="00340712">
        <w:t>Interactive Gambling Act 2001, or its successor</w:t>
      </w:r>
    </w:p>
    <w:p w:rsidR="00000000" w:rsidRPr="00340712" w:rsidP="00340712">
      <w:pPr>
        <w:pStyle w:val="ListBullet2"/>
      </w:pPr>
      <w:r w:rsidRPr="00340712">
        <w:t>state and territory legislation and regulations relating to online wagering for the state or territory the organisation is licensed</w:t>
      </w:r>
      <w:r w:rsidRPr="00340712">
        <w:t xml:space="preserve"> in, as well as the states or territories the organisation is operating in</w:t>
      </w:r>
    </w:p>
    <w:p w:rsidR="00000000" w:rsidRPr="00340712" w:rsidP="00340712">
      <w:pPr>
        <w:pStyle w:val="ListBullet2"/>
      </w:pPr>
      <w:r w:rsidRPr="00340712">
        <w:t xml:space="preserve">state and territory licensing authority regulations, policies and codes of practice relating to online wagering </w:t>
      </w:r>
    </w:p>
    <w:p w:rsidR="00000000" w:rsidRPr="00340712" w:rsidP="00340712">
      <w:pPr>
        <w:pStyle w:val="ListBullet2"/>
      </w:pPr>
      <w:r w:rsidRPr="00340712">
        <w:t>Australian Communications and Media Authority Interactive Gambling I</w:t>
      </w:r>
      <w:r w:rsidRPr="00340712">
        <w:t xml:space="preserve">ndustry Code </w:t>
      </w:r>
    </w:p>
    <w:p w:rsidR="00000000" w:rsidRPr="00340712" w:rsidP="00340712">
      <w:pPr>
        <w:pStyle w:val="ListBullet2"/>
      </w:pPr>
      <w:r w:rsidRPr="00340712">
        <w:t>Anti-Money Laundering and Counter-Terrorism Financing Act 2006</w:t>
      </w:r>
    </w:p>
    <w:p w:rsidR="00000000" w:rsidRPr="00340712" w:rsidP="00340712">
      <w:pPr>
        <w:pStyle w:val="ListBullet2"/>
      </w:pPr>
      <w:r w:rsidRPr="00340712">
        <w:t>Know Your Customer Anti-Money Laundering requirements</w:t>
      </w:r>
    </w:p>
    <w:p w:rsidR="00000000" w:rsidRPr="00340712" w:rsidP="00340712">
      <w:pPr>
        <w:pStyle w:val="ListBullet2"/>
      </w:pPr>
      <w:r w:rsidRPr="00340712">
        <w:t>legislation relating to self-exclusion</w:t>
      </w:r>
    </w:p>
    <w:p w:rsidR="00000000" w:rsidRPr="00340712" w:rsidP="00340712">
      <w:pPr>
        <w:pStyle w:val="ListBullet"/>
      </w:pPr>
      <w:r w:rsidRPr="00340712">
        <w:t>key requirements of responsible online wagering services as detailed in:</w:t>
      </w:r>
    </w:p>
    <w:p w:rsidR="00000000" w:rsidRPr="00340712" w:rsidP="00340712">
      <w:pPr>
        <w:pStyle w:val="ListBullet2"/>
      </w:pPr>
      <w:r w:rsidRPr="00340712">
        <w:t>terms and conditions for provision of online wagering services</w:t>
      </w:r>
    </w:p>
    <w:p w:rsidR="00000000" w:rsidRPr="00340712" w:rsidP="00340712">
      <w:pPr>
        <w:pStyle w:val="ListBullet2"/>
      </w:pPr>
      <w:r w:rsidRPr="00340712">
        <w:t>in-house policies and procedures</w:t>
      </w:r>
    </w:p>
    <w:p w:rsidR="00000000" w:rsidRPr="00340712" w:rsidP="00340712">
      <w:pPr>
        <w:pStyle w:val="ListBullet2"/>
      </w:pPr>
      <w:r w:rsidRPr="00340712">
        <w:t>industry and organisational codes of practice</w:t>
      </w:r>
    </w:p>
    <w:p w:rsidR="00000000" w:rsidRPr="00340712" w:rsidP="00340712">
      <w:pPr>
        <w:pStyle w:val="ListBullet"/>
      </w:pPr>
      <w:r w:rsidRPr="00340712">
        <w:t>responsible wagering practices:</w:t>
      </w:r>
    </w:p>
    <w:p w:rsidR="00000000" w:rsidRPr="00340712" w:rsidP="00340712">
      <w:pPr>
        <w:pStyle w:val="ListBullet2"/>
      </w:pPr>
      <w:r w:rsidRPr="00340712">
        <w:t xml:space="preserve">customer is aware of likelihood of losing </w:t>
      </w:r>
    </w:p>
    <w:p w:rsidR="00000000" w:rsidRPr="00340712" w:rsidP="00340712">
      <w:pPr>
        <w:pStyle w:val="ListBullet2"/>
      </w:pPr>
      <w:r w:rsidRPr="00340712">
        <w:t>customer understands associated risks</w:t>
      </w:r>
      <w:r w:rsidRPr="00340712">
        <w:t xml:space="preserve"> of losing</w:t>
      </w:r>
    </w:p>
    <w:p w:rsidR="00000000" w:rsidRPr="00340712" w:rsidP="00340712">
      <w:pPr>
        <w:pStyle w:val="ListBullet2"/>
      </w:pPr>
      <w:r w:rsidRPr="00340712">
        <w:t>customer exercises control over their gambling behaviour</w:t>
      </w:r>
    </w:p>
    <w:p w:rsidR="00000000" w:rsidRPr="00340712" w:rsidP="00340712">
      <w:pPr>
        <w:pStyle w:val="ListBullet3"/>
      </w:pPr>
      <w:r w:rsidRPr="00340712">
        <w:t>gambles within affordable limits of time and money</w:t>
      </w:r>
    </w:p>
    <w:p w:rsidR="00000000" w:rsidRPr="00340712" w:rsidP="00340712">
      <w:pPr>
        <w:pStyle w:val="ListBullet3"/>
      </w:pPr>
      <w:r w:rsidRPr="00340712">
        <w:t>is empowered to control amount of time and money spent gambling</w:t>
      </w:r>
    </w:p>
    <w:p w:rsidR="00000000" w:rsidRPr="00340712" w:rsidP="00340712">
      <w:pPr>
        <w:pStyle w:val="ListBullet3"/>
      </w:pPr>
      <w:r w:rsidRPr="00340712">
        <w:t xml:space="preserve">does not </w:t>
      </w:r>
      <w:r>
        <w:t>“</w:t>
      </w:r>
      <w:r w:rsidRPr="00340712">
        <w:t>chase losses</w:t>
      </w:r>
      <w:r>
        <w:t>”</w:t>
      </w:r>
    </w:p>
    <w:p w:rsidR="00000000" w:rsidRPr="00340712" w:rsidP="00340712">
      <w:pPr>
        <w:pStyle w:val="ListBullet3"/>
      </w:pPr>
      <w:r w:rsidRPr="00340712">
        <w:t>does not gamble while intoxicated or under the influence of drugs</w:t>
      </w:r>
    </w:p>
    <w:p w:rsidR="00000000" w:rsidRPr="00340712" w:rsidP="00340712">
      <w:pPr>
        <w:pStyle w:val="ListBullet2"/>
      </w:pPr>
      <w:r w:rsidRPr="00340712">
        <w:t>gambling occurs in balance with other areas of the customer’s life and does not cause problems or harm for themselves or others</w:t>
      </w:r>
    </w:p>
    <w:p w:rsidR="00000000" w:rsidRPr="00340712" w:rsidP="00340712">
      <w:pPr>
        <w:pStyle w:val="ListBullet"/>
      </w:pPr>
      <w:r w:rsidRPr="00340712">
        <w:t>signs and impacts of harm from gambling:</w:t>
      </w:r>
    </w:p>
    <w:p w:rsidR="00000000" w:rsidRPr="00340712" w:rsidP="00340712">
      <w:pPr>
        <w:pStyle w:val="ListBullet2"/>
      </w:pPr>
      <w:r w:rsidRPr="00340712">
        <w:t>feelings of stress</w:t>
      </w:r>
      <w:r w:rsidRPr="00340712">
        <w:t>, depression or anxiety as a result of gambling</w:t>
      </w:r>
    </w:p>
    <w:p w:rsidR="00000000" w:rsidRPr="00340712" w:rsidP="00340712">
      <w:pPr>
        <w:pStyle w:val="ListBullet2"/>
      </w:pPr>
      <w:r w:rsidRPr="00340712">
        <w:t xml:space="preserve">immediate or chronic distress resulting from harmful gambling </w:t>
      </w:r>
    </w:p>
    <w:p w:rsidR="00000000" w:rsidRPr="00340712" w:rsidP="00340712">
      <w:pPr>
        <w:pStyle w:val="ListBullet2"/>
      </w:pPr>
      <w:r w:rsidRPr="00340712">
        <w:t>isolation from family and friends</w:t>
      </w:r>
    </w:p>
    <w:p w:rsidR="00000000" w:rsidRPr="00340712" w:rsidP="00340712">
      <w:pPr>
        <w:pStyle w:val="ListBullet2"/>
      </w:pPr>
      <w:r w:rsidRPr="00340712">
        <w:t>feelings of remorse or shame after gambling</w:t>
      </w:r>
    </w:p>
    <w:p w:rsidR="00000000" w:rsidRPr="00340712" w:rsidP="00340712">
      <w:pPr>
        <w:pStyle w:val="ListBullet2"/>
      </w:pPr>
      <w:r w:rsidRPr="00340712">
        <w:t>gambling more money than the customer can afford</w:t>
      </w:r>
    </w:p>
    <w:p w:rsidR="00000000" w:rsidRPr="00340712" w:rsidP="00340712">
      <w:pPr>
        <w:pStyle w:val="ListBullet2"/>
      </w:pPr>
      <w:r w:rsidRPr="00340712">
        <w:t>gambling that impacts the home life and relationships of the customer</w:t>
      </w:r>
    </w:p>
    <w:p w:rsidR="00000000" w:rsidRPr="00340712" w:rsidP="00340712">
      <w:pPr>
        <w:pStyle w:val="ListBullet2"/>
      </w:pPr>
      <w:r w:rsidRPr="00340712">
        <w:t>reduced work performance</w:t>
      </w:r>
    </w:p>
    <w:p w:rsidR="00000000" w:rsidRPr="00340712" w:rsidP="00340712">
      <w:pPr>
        <w:pStyle w:val="ListBullet2"/>
      </w:pPr>
      <w:r w:rsidRPr="00340712">
        <w:t>changes in sleeping or eating habits due to gambling</w:t>
      </w:r>
    </w:p>
    <w:p w:rsidR="00000000" w:rsidRPr="00340712" w:rsidP="00340712">
      <w:pPr>
        <w:pStyle w:val="ListBullet2"/>
      </w:pPr>
      <w:r w:rsidRPr="00340712">
        <w:t xml:space="preserve">considering self-harm as a result of gambling </w:t>
      </w:r>
    </w:p>
    <w:p w:rsidR="00000000" w:rsidRPr="00340712" w:rsidP="00340712">
      <w:pPr>
        <w:pStyle w:val="ListBullet2"/>
      </w:pPr>
      <w:r w:rsidRPr="00340712">
        <w:t>bills that cannot be paid by the person due to excessive gamb</w:t>
      </w:r>
      <w:r w:rsidRPr="00340712">
        <w:t>ling</w:t>
      </w:r>
    </w:p>
    <w:p w:rsidR="00000000" w:rsidRPr="00340712" w:rsidP="00340712">
      <w:pPr>
        <w:pStyle w:val="ListBullet2"/>
      </w:pPr>
      <w:r w:rsidRPr="00340712">
        <w:t>incurring debt as a result of gambling or excessive use of credit cards to provide funds for gambling</w:t>
      </w:r>
    </w:p>
    <w:p w:rsidR="00000000" w:rsidRPr="00340712" w:rsidP="00340712">
      <w:pPr>
        <w:pStyle w:val="ListBullet2"/>
      </w:pPr>
      <w:r w:rsidRPr="00340712">
        <w:t>committing illegal acts to finance gambling</w:t>
      </w:r>
    </w:p>
    <w:p w:rsidR="00000000" w:rsidRPr="00340712" w:rsidP="00340712">
      <w:pPr>
        <w:pStyle w:val="ListBullet2"/>
      </w:pPr>
      <w:r w:rsidRPr="00340712">
        <w:t>gambling to escape worry or personal problems</w:t>
      </w:r>
    </w:p>
    <w:p w:rsidR="00000000" w:rsidRPr="00340712" w:rsidP="00340712">
      <w:pPr>
        <w:pStyle w:val="ListBullet2"/>
      </w:pPr>
      <w:r w:rsidRPr="00340712">
        <w:t>trying to win back gambling losses</w:t>
      </w:r>
    </w:p>
    <w:p w:rsidR="00000000" w:rsidRPr="00340712" w:rsidP="00340712">
      <w:pPr>
        <w:pStyle w:val="ListBullet2"/>
      </w:pPr>
      <w:r w:rsidRPr="00340712">
        <w:t>increased consumption of</w:t>
      </w:r>
      <w:r w:rsidRPr="00340712">
        <w:t xml:space="preserve"> alcohol or other drugs</w:t>
      </w:r>
    </w:p>
    <w:p w:rsidR="00000000" w:rsidRPr="00340712" w:rsidP="00340712">
      <w:pPr>
        <w:pStyle w:val="ListBullet"/>
      </w:pPr>
      <w:r w:rsidRPr="00340712">
        <w:t>common behaviours that may indicate harmful online wagering:</w:t>
      </w:r>
    </w:p>
    <w:p w:rsidR="00000000" w:rsidRPr="00340712" w:rsidP="00340712">
      <w:pPr>
        <w:pStyle w:val="ListBullet2"/>
      </w:pPr>
      <w:r w:rsidRPr="00340712">
        <w:t>gambling for an extended period</w:t>
      </w:r>
    </w:p>
    <w:p w:rsidR="00000000" w:rsidRPr="00340712" w:rsidP="00340712">
      <w:pPr>
        <w:pStyle w:val="ListBullet2"/>
      </w:pPr>
      <w:r w:rsidRPr="00340712">
        <w:t>changing gambling patterns, erratic wagering, changing products</w:t>
      </w:r>
    </w:p>
    <w:p w:rsidR="00000000" w:rsidRPr="00340712" w:rsidP="00340712">
      <w:pPr>
        <w:pStyle w:val="ListBullet2"/>
      </w:pPr>
      <w:r w:rsidRPr="00340712">
        <w:t>betting on multiple sports or categories</w:t>
      </w:r>
    </w:p>
    <w:p w:rsidR="00000000" w:rsidRPr="00340712" w:rsidP="00340712">
      <w:pPr>
        <w:pStyle w:val="ListBullet2"/>
      </w:pPr>
      <w:r w:rsidRPr="00340712">
        <w:t>gambling at unusual times of the day</w:t>
      </w:r>
    </w:p>
    <w:p w:rsidR="00000000" w:rsidRPr="00340712" w:rsidP="00340712">
      <w:pPr>
        <w:pStyle w:val="ListBullet2"/>
      </w:pPr>
      <w:r w:rsidRPr="00340712">
        <w:t>closing and opening multiple online wagering accounts</w:t>
      </w:r>
    </w:p>
    <w:p w:rsidR="00000000" w:rsidRPr="00340712" w:rsidP="00340712">
      <w:pPr>
        <w:pStyle w:val="ListBullet2"/>
      </w:pPr>
      <w:r w:rsidRPr="00340712">
        <w:t>abuse or threats directed at providers of online wagering services</w:t>
      </w:r>
    </w:p>
    <w:p w:rsidR="00000000" w:rsidRPr="00340712" w:rsidP="00340712">
      <w:pPr>
        <w:pStyle w:val="ListBullet2"/>
      </w:pPr>
      <w:r w:rsidRPr="00340712">
        <w:t>increase in deposit frequency, failed deposits, multiple payment methods</w:t>
      </w:r>
    </w:p>
    <w:p w:rsidR="00000000" w:rsidRPr="00340712" w:rsidP="00340712">
      <w:pPr>
        <w:pStyle w:val="ListBullet2"/>
      </w:pPr>
      <w:r w:rsidRPr="00340712">
        <w:t xml:space="preserve">escalating sums of money </w:t>
      </w:r>
      <w:r w:rsidRPr="00340712">
        <w:t>deposited</w:t>
      </w:r>
    </w:p>
    <w:p w:rsidR="00000000" w:rsidRPr="00340712" w:rsidP="00340712">
      <w:pPr>
        <w:pStyle w:val="ListBullet2"/>
      </w:pPr>
      <w:r w:rsidRPr="00340712">
        <w:t>high stake wagering</w:t>
      </w:r>
    </w:p>
    <w:p w:rsidR="00000000" w:rsidRPr="00340712" w:rsidP="00340712">
      <w:pPr>
        <w:pStyle w:val="ListBullet2"/>
      </w:pPr>
      <w:r w:rsidRPr="00340712">
        <w:t>customer thinks they can control the outcome</w:t>
      </w:r>
    </w:p>
    <w:p w:rsidR="00000000" w:rsidRPr="00340712" w:rsidP="00340712">
      <w:pPr>
        <w:pStyle w:val="ListBullet2"/>
      </w:pPr>
      <w:r w:rsidRPr="00340712">
        <w:t xml:space="preserve">customer discloses harmful gambling behaviours </w:t>
      </w:r>
    </w:p>
    <w:p w:rsidR="00000000" w:rsidRPr="00340712" w:rsidP="00340712">
      <w:pPr>
        <w:pStyle w:val="ListBullet2"/>
      </w:pPr>
      <w:r w:rsidRPr="00340712">
        <w:t>evidence of financial fraud</w:t>
      </w:r>
    </w:p>
    <w:p w:rsidR="00000000" w:rsidRPr="00340712" w:rsidP="00340712">
      <w:pPr>
        <w:pStyle w:val="ListBullet"/>
      </w:pPr>
      <w:r w:rsidRPr="00340712">
        <w:t>options for identifying and monitoring harmful wagering behaviours:</w:t>
      </w:r>
    </w:p>
    <w:p w:rsidR="00000000" w:rsidRPr="00340712" w:rsidP="00340712">
      <w:pPr>
        <w:pStyle w:val="ListBullet2"/>
      </w:pPr>
      <w:r w:rsidRPr="00340712">
        <w:t>in-play real time monitoring</w:t>
      </w:r>
    </w:p>
    <w:p w:rsidR="00000000" w:rsidRPr="00340712" w:rsidP="00340712">
      <w:pPr>
        <w:pStyle w:val="ListBullet2"/>
      </w:pPr>
      <w:r w:rsidRPr="00340712">
        <w:t xml:space="preserve">daily </w:t>
      </w:r>
      <w:r w:rsidRPr="00340712">
        <w:t>reports on activity</w:t>
      </w:r>
    </w:p>
    <w:p w:rsidR="00000000" w:rsidRPr="00340712" w:rsidP="00340712">
      <w:pPr>
        <w:pStyle w:val="ListBullet2"/>
      </w:pPr>
      <w:r w:rsidRPr="00340712">
        <w:t>via call-centre interaction with customer</w:t>
      </w:r>
    </w:p>
    <w:p w:rsidR="00000000" w:rsidRPr="00340712" w:rsidP="00340712">
      <w:pPr>
        <w:pStyle w:val="ListBullet2"/>
      </w:pPr>
      <w:r w:rsidRPr="00340712">
        <w:t>chat-room monitoring and moderation</w:t>
      </w:r>
    </w:p>
    <w:p w:rsidR="00000000" w:rsidRPr="00340712" w:rsidP="00340712">
      <w:pPr>
        <w:pStyle w:val="ListBullet"/>
      </w:pPr>
      <w:r w:rsidRPr="00340712">
        <w:t>proactive intervention strategies:</w:t>
      </w:r>
    </w:p>
    <w:p w:rsidR="00000000" w:rsidRPr="00340712" w:rsidP="00340712">
      <w:pPr>
        <w:pStyle w:val="ListBullet2"/>
      </w:pPr>
      <w:r w:rsidRPr="00340712">
        <w:t>monitoring account expenditure patterns</w:t>
      </w:r>
    </w:p>
    <w:p w:rsidR="00000000" w:rsidRPr="00340712" w:rsidP="00340712">
      <w:pPr>
        <w:pStyle w:val="ListBullet2"/>
      </w:pPr>
      <w:r w:rsidRPr="00340712">
        <w:t>interactions with customers</w:t>
      </w:r>
    </w:p>
    <w:p w:rsidR="00000000" w:rsidRPr="00340712" w:rsidP="00340712">
      <w:pPr>
        <w:pStyle w:val="ListBullet3"/>
      </w:pPr>
      <w:r w:rsidRPr="00340712">
        <w:t>telephone</w:t>
      </w:r>
    </w:p>
    <w:p w:rsidR="00000000" w:rsidRPr="00340712" w:rsidP="00340712">
      <w:pPr>
        <w:pStyle w:val="ListBullet3"/>
      </w:pPr>
      <w:r w:rsidRPr="00340712">
        <w:t>email</w:t>
      </w:r>
    </w:p>
    <w:p w:rsidR="00000000" w:rsidRPr="00340712" w:rsidP="00340712">
      <w:pPr>
        <w:pStyle w:val="ListBullet3"/>
      </w:pPr>
      <w:r w:rsidRPr="00340712">
        <w:t>pop-ups within online wagering services</w:t>
      </w:r>
    </w:p>
    <w:p w:rsidR="00000000" w:rsidRPr="00340712" w:rsidP="00340712">
      <w:pPr>
        <w:pStyle w:val="ListBullet3"/>
      </w:pPr>
      <w:r w:rsidRPr="00340712">
        <w:t>SMS or text message</w:t>
      </w:r>
    </w:p>
    <w:p w:rsidR="00000000" w:rsidRPr="00340712" w:rsidP="00340712">
      <w:pPr>
        <w:pStyle w:val="ListBullet2"/>
      </w:pPr>
      <w:r w:rsidRPr="00340712">
        <w:t xml:space="preserve">promoting </w:t>
      </w:r>
      <w:r>
        <w:t>“</w:t>
      </w:r>
      <w:r w:rsidRPr="00340712">
        <w:t>take a break</w:t>
      </w:r>
      <w:r>
        <w:t>”</w:t>
      </w:r>
      <w:r w:rsidRPr="00340712">
        <w:t xml:space="preserve"> temporary exclusions</w:t>
      </w:r>
    </w:p>
    <w:p w:rsidR="00000000" w:rsidRPr="00340712" w:rsidP="00340712">
      <w:pPr>
        <w:pStyle w:val="ListBullet2"/>
      </w:pPr>
      <w:r w:rsidRPr="00340712">
        <w:t>promoting pre-commitment limits</w:t>
      </w:r>
    </w:p>
    <w:p w:rsidR="00000000" w:rsidRPr="00340712" w:rsidP="00340712">
      <w:pPr>
        <w:pStyle w:val="ListBullet"/>
      </w:pPr>
      <w:r w:rsidRPr="00340712">
        <w:t xml:space="preserve">principles of harm minimisation and reduction and strategies to reduce the harm associated </w:t>
      </w:r>
      <w:r w:rsidRPr="00340712">
        <w:t>with harmful online wagering:</w:t>
      </w:r>
    </w:p>
    <w:p w:rsidR="00000000" w:rsidRPr="00340712" w:rsidP="00340712">
      <w:pPr>
        <w:pStyle w:val="ListBullet2"/>
      </w:pPr>
      <w:r w:rsidRPr="00340712">
        <w:t>voluntary pre-commitment features</w:t>
      </w:r>
    </w:p>
    <w:p w:rsidR="00000000" w:rsidRPr="00340712" w:rsidP="00340712">
      <w:pPr>
        <w:pStyle w:val="ListBullet2"/>
      </w:pPr>
      <w:r w:rsidRPr="00340712">
        <w:t>self-assessment tools</w:t>
      </w:r>
    </w:p>
    <w:p w:rsidR="00000000" w:rsidRPr="00340712" w:rsidP="00340712">
      <w:pPr>
        <w:pStyle w:val="ListBullet2"/>
      </w:pPr>
      <w:r w:rsidRPr="00340712">
        <w:t>support service options</w:t>
      </w:r>
    </w:p>
    <w:p w:rsidR="00000000" w:rsidRPr="00340712" w:rsidP="00340712">
      <w:pPr>
        <w:pStyle w:val="ListBullet3"/>
      </w:pPr>
      <w:r w:rsidRPr="00340712">
        <w:t>software blocking options</w:t>
      </w:r>
    </w:p>
    <w:p w:rsidR="00000000" w:rsidRPr="00340712" w:rsidP="00340712">
      <w:pPr>
        <w:pStyle w:val="ListBullet3"/>
      </w:pPr>
      <w:r w:rsidRPr="00340712">
        <w:t>bank tools for spend control</w:t>
      </w:r>
    </w:p>
    <w:p w:rsidR="00000000" w:rsidRPr="00340712" w:rsidP="00340712">
      <w:pPr>
        <w:pStyle w:val="ListBullet2"/>
      </w:pPr>
      <w:r w:rsidRPr="00340712">
        <w:t>activity statements that comply with National Consumer Protection Framew</w:t>
      </w:r>
      <w:r w:rsidRPr="00340712">
        <w:t>ork (NCPF) and State or Territory based requirements</w:t>
      </w:r>
    </w:p>
    <w:p w:rsidR="00000000" w:rsidRPr="00340712" w:rsidP="00340712">
      <w:pPr>
        <w:pStyle w:val="ListBullet"/>
      </w:pPr>
      <w:r w:rsidRPr="00340712">
        <w:t>organisational responsible online wagering service procedures for:</w:t>
      </w:r>
    </w:p>
    <w:p w:rsidR="00000000" w:rsidRPr="00340712" w:rsidP="00340712">
      <w:pPr>
        <w:pStyle w:val="ListBullet2"/>
      </w:pPr>
      <w:r w:rsidRPr="00340712">
        <w:t>advertising and promotion:</w:t>
      </w:r>
    </w:p>
    <w:p w:rsidR="00000000" w:rsidRPr="00340712" w:rsidP="00340712">
      <w:pPr>
        <w:pStyle w:val="ListBullet3"/>
      </w:pPr>
      <w:r w:rsidRPr="00340712">
        <w:t>Australian Association of National Advertisers Code of Ethics</w:t>
      </w:r>
    </w:p>
    <w:p w:rsidR="00000000" w:rsidRPr="00340712" w:rsidP="00340712">
      <w:pPr>
        <w:pStyle w:val="ListBullet3"/>
      </w:pPr>
      <w:r w:rsidRPr="00340712">
        <w:t>Commercial Television Code of Practice</w:t>
      </w:r>
    </w:p>
    <w:p w:rsidR="00000000" w:rsidRPr="00340712" w:rsidP="00340712">
      <w:pPr>
        <w:pStyle w:val="ListBullet3"/>
      </w:pPr>
      <w:r w:rsidRPr="00340712">
        <w:t>Organisational marketing policies</w:t>
      </w:r>
    </w:p>
    <w:p w:rsidR="00000000" w:rsidRPr="00340712" w:rsidP="00340712">
      <w:pPr>
        <w:pStyle w:val="ListBullet3"/>
      </w:pPr>
      <w:r w:rsidRPr="00340712">
        <w:t>Affiliate marketing provisions</w:t>
      </w:r>
    </w:p>
    <w:p w:rsidR="00000000" w:rsidRPr="00340712" w:rsidP="00340712">
      <w:pPr>
        <w:pStyle w:val="ListBullet3"/>
      </w:pPr>
      <w:r w:rsidRPr="00340712">
        <w:t>NCPF restrictions in inducements and bans on credit betting</w:t>
      </w:r>
    </w:p>
    <w:p w:rsidR="00000000" w:rsidRPr="00340712" w:rsidP="00340712">
      <w:pPr>
        <w:pStyle w:val="ListBullet"/>
      </w:pPr>
      <w:r w:rsidRPr="00340712">
        <w:t>methods of distributing advertising and promotional information:</w:t>
      </w:r>
    </w:p>
    <w:p w:rsidR="00000000" w:rsidRPr="00340712" w:rsidP="00340712">
      <w:pPr>
        <w:pStyle w:val="ListBullet2"/>
      </w:pPr>
      <w:r w:rsidRPr="00340712">
        <w:t>email</w:t>
      </w:r>
    </w:p>
    <w:p w:rsidR="00000000" w:rsidRPr="00340712" w:rsidP="00340712">
      <w:pPr>
        <w:pStyle w:val="ListBullet2"/>
      </w:pPr>
      <w:r w:rsidRPr="00340712">
        <w:t>telephone</w:t>
      </w:r>
    </w:p>
    <w:p w:rsidR="00000000" w:rsidRPr="00340712" w:rsidP="00340712">
      <w:pPr>
        <w:pStyle w:val="ListBullet2"/>
      </w:pPr>
      <w:r w:rsidRPr="00340712">
        <w:t>television</w:t>
      </w:r>
    </w:p>
    <w:p w:rsidR="00000000" w:rsidRPr="00340712" w:rsidP="00340712">
      <w:pPr>
        <w:pStyle w:val="ListBullet2"/>
      </w:pPr>
      <w:r w:rsidRPr="00340712">
        <w:t>information and pop ups in apps or on websites</w:t>
      </w:r>
    </w:p>
    <w:p w:rsidR="00000000" w:rsidRPr="00340712" w:rsidP="00340712">
      <w:pPr>
        <w:pStyle w:val="ListBullet2"/>
      </w:pPr>
      <w:r w:rsidRPr="00340712">
        <w:t>direct mail</w:t>
      </w:r>
    </w:p>
    <w:p w:rsidR="00000000" w:rsidRPr="00340712" w:rsidP="00340712">
      <w:pPr>
        <w:pStyle w:val="ListBullet2"/>
      </w:pPr>
      <w:r w:rsidRPr="00340712">
        <w:t>SMS or text message</w:t>
      </w:r>
    </w:p>
    <w:p w:rsidR="00000000" w:rsidRPr="00340712" w:rsidP="00340712">
      <w:pPr>
        <w:pStyle w:val="ListBullet2"/>
      </w:pPr>
      <w:r w:rsidRPr="00340712">
        <w:t>social media posts</w:t>
      </w:r>
    </w:p>
    <w:p w:rsidR="00000000" w:rsidRPr="00340712" w:rsidP="00340712">
      <w:pPr>
        <w:pStyle w:val="ListBullet"/>
      </w:pPr>
      <w:r w:rsidRPr="00340712">
        <w:t>financial transactions</w:t>
      </w:r>
    </w:p>
    <w:p w:rsidR="00000000" w:rsidRPr="00340712" w:rsidP="00340712">
      <w:pPr>
        <w:pStyle w:val="ListBullet"/>
      </w:pPr>
      <w:r w:rsidRPr="00340712">
        <w:t>providing gambling-related information:</w:t>
      </w:r>
    </w:p>
    <w:p w:rsidR="00000000" w:rsidRPr="00340712" w:rsidP="00340712">
      <w:pPr>
        <w:pStyle w:val="ListBullet2"/>
      </w:pPr>
      <w:r w:rsidRPr="00340712">
        <w:t>available gambling counselling services, including multicultural services, peer support, self</w:t>
      </w:r>
      <w:r w:rsidRPr="00340712">
        <w:t>-exclusion programs and referral processes</w:t>
      </w:r>
    </w:p>
    <w:p w:rsidR="00000000" w:rsidRPr="00340712" w:rsidP="00340712">
      <w:pPr>
        <w:pStyle w:val="ListBullet2"/>
      </w:pPr>
      <w:r w:rsidRPr="00340712">
        <w:t>information on responsible use of operators gambling products</w:t>
      </w:r>
    </w:p>
    <w:p w:rsidR="00000000" w:rsidRPr="00340712" w:rsidP="00340712">
      <w:pPr>
        <w:pStyle w:val="ListBullet2"/>
      </w:pPr>
      <w:r w:rsidRPr="00340712">
        <w:t>operator terms and conditions generally for specific products</w:t>
      </w:r>
    </w:p>
    <w:p w:rsidR="00000000" w:rsidRPr="00340712" w:rsidP="00340712">
      <w:pPr>
        <w:pStyle w:val="ListBullet"/>
      </w:pPr>
      <w:r w:rsidRPr="00340712">
        <w:t>maintaining confidentiality and privacy requirements:</w:t>
      </w:r>
    </w:p>
    <w:p w:rsidR="00000000" w:rsidRPr="00340712" w:rsidP="00340712">
      <w:pPr>
        <w:pStyle w:val="ListBullet2"/>
      </w:pPr>
      <w:r w:rsidRPr="00340712">
        <w:t>Privacy Act 1988 (Cth) or its suc</w:t>
      </w:r>
      <w:r w:rsidRPr="00340712">
        <w:t>cessor</w:t>
      </w:r>
    </w:p>
    <w:p w:rsidR="00000000" w:rsidRPr="00340712" w:rsidP="00340712">
      <w:pPr>
        <w:pStyle w:val="ListBullet2"/>
      </w:pPr>
      <w:r w:rsidRPr="00340712">
        <w:t>procedures for maintaining customer privacy and confidentiality of personal information</w:t>
      </w:r>
    </w:p>
    <w:p w:rsidR="00000000" w:rsidRPr="00340712" w:rsidP="00340712">
      <w:pPr>
        <w:pStyle w:val="ListBullet"/>
      </w:pPr>
      <w:r w:rsidRPr="00340712">
        <w:t>maintaining records of gambling</w:t>
      </w:r>
      <w:r w:rsidRPr="00340712">
        <w:noBreakHyphen/>
        <w:t>related incidents and associated staff action that may inform further interactions or monitoring</w:t>
      </w:r>
    </w:p>
    <w:p w:rsidR="00000000" w:rsidRPr="00340712" w:rsidP="00340712">
      <w:pPr>
        <w:pStyle w:val="ListBullet"/>
      </w:pPr>
      <w:r w:rsidRPr="00340712">
        <w:t>self</w:t>
      </w:r>
      <w:r w:rsidRPr="00340712">
        <w:noBreakHyphen/>
        <w:t>exclusion and exclusion:</w:t>
      </w:r>
    </w:p>
    <w:p w:rsidR="00000000" w:rsidRPr="00340712" w:rsidP="00340712">
      <w:pPr>
        <w:pStyle w:val="ListBullet2"/>
      </w:pPr>
      <w:r w:rsidRPr="00340712">
        <w:t>online and form-based processes for self-exclusion</w:t>
      </w:r>
    </w:p>
    <w:p w:rsidR="00000000" w:rsidRPr="00340712" w:rsidP="00340712">
      <w:pPr>
        <w:pStyle w:val="ListBullet2"/>
      </w:pPr>
      <w:r w:rsidRPr="00340712">
        <w:t xml:space="preserve">initiating exclusion processes when requested by customer </w:t>
      </w:r>
    </w:p>
    <w:p w:rsidR="00000000" w:rsidRPr="00340712" w:rsidP="00340712">
      <w:pPr>
        <w:pStyle w:val="ListBullet2"/>
      </w:pPr>
      <w:r w:rsidRPr="00340712">
        <w:t>closure of account</w:t>
      </w:r>
    </w:p>
    <w:p w:rsidR="00000000" w:rsidRPr="00340712" w:rsidP="00340712">
      <w:pPr>
        <w:pStyle w:val="ListBullet2"/>
      </w:pPr>
      <w:r w:rsidRPr="00340712">
        <w:t>response to attempts to breach exclusion</w:t>
      </w:r>
    </w:p>
    <w:p w:rsidR="00000000" w:rsidRPr="00340712" w:rsidP="00340712">
      <w:pPr>
        <w:pStyle w:val="ListBullet2"/>
      </w:pPr>
      <w:r w:rsidRPr="00340712">
        <w:t>assistance in seeking self-exclusions from other gambling operators</w:t>
      </w:r>
    </w:p>
    <w:p w:rsidR="00000000" w:rsidRPr="00340712" w:rsidP="00340712">
      <w:pPr>
        <w:pStyle w:val="ListBullet2"/>
      </w:pPr>
      <w:r w:rsidRPr="00340712">
        <w:t>ensuring correspondence or advertising is not sent to those who are excluded from services</w:t>
      </w:r>
    </w:p>
    <w:p w:rsidR="00000000" w:rsidRPr="00340712" w:rsidP="00340712">
      <w:pPr>
        <w:pStyle w:val="ListBullet2"/>
      </w:pPr>
      <w:r w:rsidRPr="00340712">
        <w:t xml:space="preserve">preventing inducements or other incentive-based marketing being provided to those who have indicated behaviours associated with harmful gambling </w:t>
      </w:r>
    </w:p>
    <w:p w:rsidR="00000000" w:rsidRPr="00340712" w:rsidP="00340712">
      <w:pPr>
        <w:pStyle w:val="ListBullet2"/>
      </w:pPr>
      <w:r w:rsidRPr="00340712">
        <w:t>referral to counsel</w:t>
      </w:r>
      <w:r w:rsidRPr="00340712">
        <w:t>lors and support services</w:t>
      </w:r>
    </w:p>
    <w:p w:rsidR="00000000" w:rsidRPr="00340712" w:rsidP="00340712">
      <w:pPr>
        <w:pStyle w:val="ListBullet"/>
      </w:pPr>
      <w:r w:rsidRPr="00340712">
        <w:t>dealing responsibly with third-party concerns regarding harmful gambling including referral options for their own support or assistance</w:t>
      </w:r>
    </w:p>
    <w:p w:rsidR="00000000" w:rsidRPr="00340712" w:rsidP="00340712">
      <w:pPr>
        <w:pStyle w:val="ListBullet"/>
      </w:pPr>
      <w:r w:rsidRPr="00340712">
        <w:t>prohibition of minors</w:t>
      </w:r>
    </w:p>
    <w:p w:rsidR="00000000" w:rsidRPr="00340712" w:rsidP="00340712">
      <w:pPr>
        <w:pStyle w:val="ListBullet2"/>
      </w:pPr>
      <w:r w:rsidRPr="00340712">
        <w:t>appropriate filtering software for websites and apps to prevent access</w:t>
      </w:r>
      <w:r w:rsidRPr="00340712">
        <w:t xml:space="preserve"> by those under 18 years of age</w:t>
      </w:r>
    </w:p>
    <w:p w:rsidR="00000000" w:rsidRPr="00340712" w:rsidP="00340712">
      <w:pPr>
        <w:pStyle w:val="ListBullet2"/>
      </w:pPr>
      <w:r w:rsidRPr="00340712">
        <w:t>identification verification processes to exclude minors</w:t>
      </w:r>
    </w:p>
    <w:p w:rsidR="00000000" w:rsidRPr="00340712" w:rsidP="00340712">
      <w:pPr>
        <w:pStyle w:val="ListBullet2"/>
      </w:pPr>
      <w:r w:rsidRPr="00340712">
        <w:t>process for closure of accounts where identification shows the customer is a minor</w:t>
      </w:r>
    </w:p>
    <w:p w:rsidR="00000000" w:rsidRPr="00340712" w:rsidP="00340712">
      <w:pPr>
        <w:pStyle w:val="ListBullet"/>
      </w:pPr>
      <w:r w:rsidRPr="00340712">
        <w:t>role of online wagering provider in supporting a culture that encourages responsible</w:t>
      </w:r>
      <w:r w:rsidRPr="00340712">
        <w:t xml:space="preserve"> provision of online wagering services</w:t>
      </w:r>
    </w:p>
    <w:p w:rsidR="00000000" w:rsidRPr="00340712" w:rsidP="00340712">
      <w:pPr>
        <w:pStyle w:val="ListBullet"/>
      </w:pPr>
      <w:r w:rsidRPr="00340712">
        <w:t>role of individual staff members, supervisors and managers in providing responsible online wagering services</w:t>
      </w:r>
    </w:p>
    <w:p w:rsidR="00000000" w:rsidRPr="00340712" w:rsidP="00340712">
      <w:pPr>
        <w:pStyle w:val="ListBullet"/>
      </w:pPr>
      <w:r w:rsidRPr="00340712">
        <w:t>ramifications for an organisation and an individual of non</w:t>
      </w:r>
      <w:r w:rsidRPr="00340712">
        <w:noBreakHyphen/>
        <w:t>compliance with responsible online wagering requi</w:t>
      </w:r>
      <w:r w:rsidRPr="00340712">
        <w:t>rements</w:t>
      </w:r>
    </w:p>
    <w:p w:rsidR="00000000" w:rsidRPr="00340712" w:rsidP="00340712">
      <w:pPr>
        <w:pStyle w:val="ListBullet"/>
      </w:pPr>
      <w:r w:rsidRPr="00340712">
        <w:t>inappropriate referral to VIP programs</w:t>
      </w:r>
    </w:p>
    <w:p w:rsidR="00000000" w:rsidRPr="00340712" w:rsidP="00340712">
      <w:pPr>
        <w:pStyle w:val="ListBullet"/>
      </w:pPr>
      <w:r w:rsidRPr="00340712">
        <w:t>available counselling services and referral procedures:</w:t>
      </w:r>
    </w:p>
    <w:p w:rsidR="00000000" w:rsidRPr="00340712" w:rsidP="00340712">
      <w:pPr>
        <w:pStyle w:val="ListBullet2"/>
      </w:pPr>
      <w:r w:rsidRPr="00340712">
        <w:t>individual counselling and therapy</w:t>
      </w:r>
    </w:p>
    <w:p w:rsidR="00000000" w:rsidRPr="00340712" w:rsidP="00340712">
      <w:pPr>
        <w:pStyle w:val="ListBullet2"/>
      </w:pPr>
      <w:r w:rsidRPr="00340712">
        <w:t>self-help</w:t>
      </w:r>
    </w:p>
    <w:p w:rsidR="00000000" w:rsidRPr="00340712" w:rsidP="00340712">
      <w:pPr>
        <w:pStyle w:val="ListBullet2"/>
      </w:pPr>
      <w:r w:rsidRPr="00340712">
        <w:t>online counselling</w:t>
      </w:r>
    </w:p>
    <w:p w:rsidR="00000000" w:rsidRPr="00340712" w:rsidP="00340712">
      <w:pPr>
        <w:pStyle w:val="ListBullet2"/>
      </w:pPr>
      <w:r w:rsidRPr="00340712">
        <w:t>organisation’s internal responsible gambling unit</w:t>
      </w:r>
    </w:p>
    <w:p w:rsidR="00000000" w:rsidRPr="00340712" w:rsidP="00340712">
      <w:pPr>
        <w:pStyle w:val="ListBullet2"/>
      </w:pPr>
      <w:r w:rsidRPr="00340712">
        <w:t>working with families and relationship counselling</w:t>
      </w:r>
    </w:p>
    <w:p w:rsidR="00000000" w:rsidRPr="00340712" w:rsidP="00340712">
      <w:pPr>
        <w:pStyle w:val="ListBullet2"/>
      </w:pPr>
      <w:r w:rsidRPr="00340712">
        <w:t>financial counselling</w:t>
      </w:r>
    </w:p>
    <w:p w:rsidR="00000000" w:rsidRPr="00340712" w:rsidP="00340712">
      <w:pPr>
        <w:pStyle w:val="ListBullet2"/>
      </w:pPr>
      <w:r w:rsidRPr="00340712">
        <w:t>assessment and referral services</w:t>
      </w:r>
    </w:p>
    <w:p w:rsidR="00000000" w:rsidRPr="00340712" w:rsidP="00340712">
      <w:pPr>
        <w:pStyle w:val="ListBullet2"/>
      </w:pPr>
      <w:r w:rsidRPr="00340712">
        <w:t>outpatient services</w:t>
      </w:r>
    </w:p>
    <w:p w:rsidR="00000000" w:rsidRPr="00340712" w:rsidP="00340712">
      <w:pPr>
        <w:pStyle w:val="ListBullet2"/>
      </w:pPr>
      <w:r w:rsidRPr="00340712">
        <w:t>inpatient and residential services</w:t>
      </w:r>
    </w:p>
    <w:p w:rsidR="00000000" w:rsidRPr="00340712" w:rsidP="00340712">
      <w:pPr>
        <w:pStyle w:val="ListBullet2"/>
      </w:pPr>
      <w:r w:rsidRPr="00340712">
        <w:t>peer support services</w:t>
      </w:r>
    </w:p>
    <w:p w:rsidR="00000000" w:rsidRPr="00340712" w:rsidP="00340712">
      <w:pPr>
        <w:pStyle w:val="ListBullet2"/>
      </w:pPr>
      <w:r w:rsidRPr="00340712">
        <w:t>crisis situation responses</w:t>
      </w:r>
    </w:p>
    <w:p w:rsidR="00000000" w:rsidRPr="00340712" w:rsidP="00340712">
      <w:pPr>
        <w:pStyle w:val="ListBullet2"/>
      </w:pPr>
      <w:r w:rsidRPr="00340712">
        <w:t>relapse prevention.</w:t>
      </w:r>
    </w:p>
    <w:p w:rsidR="00000000" w:rsidRPr="00340712" w:rsidP="00340712">
      <w:pPr>
        <w:pStyle w:val="AllowPageBreak"/>
      </w:pPr>
    </w:p>
    <w:p w:rsidR="00000000" w:rsidRPr="00340712" w:rsidP="00340712">
      <w:pPr>
        <w:pStyle w:val="Heading1"/>
      </w:pPr>
      <w:bookmarkStart w:id="4" w:name="O_1175155"/>
      <w:bookmarkEnd w:id="4"/>
      <w:r w:rsidRPr="00340712">
        <w:t>Assessment Conditions</w:t>
      </w:r>
    </w:p>
    <w:p w:rsidR="00000000" w:rsidRPr="00340712" w:rsidP="00B37368">
      <w:pPr>
        <w:pStyle w:val="BodyText"/>
      </w:pPr>
      <w:r w:rsidRPr="00340712">
        <w:t xml:space="preserve">Skills must be demonstrated in a simulated online wagering environment, using a range of industry-realistic scenarios where indicators of harmful wagering are present. </w:t>
      </w:r>
    </w:p>
    <w:p w:rsidR="00000000" w:rsidRPr="00340712" w:rsidP="00B37368">
      <w:pPr>
        <w:pStyle w:val="BodyText"/>
      </w:pPr>
      <w:r w:rsidRPr="00340712">
        <w:t>Assessment must ensure access to:</w:t>
      </w:r>
    </w:p>
    <w:p w:rsidR="00000000" w:rsidRPr="00340712" w:rsidP="00340712">
      <w:pPr>
        <w:pStyle w:val="ListBullet"/>
      </w:pPr>
      <w:r w:rsidRPr="00340712">
        <w:t>National Consumer Protection F</w:t>
      </w:r>
      <w:r w:rsidRPr="00340712">
        <w:t>ramework for Online Wagering – National Policy Statement (26 November 2018) or its successor</w:t>
      </w:r>
    </w:p>
    <w:p w:rsidR="00000000" w:rsidRPr="00340712" w:rsidP="00340712">
      <w:pPr>
        <w:pStyle w:val="ListBullet"/>
      </w:pPr>
      <w:r w:rsidRPr="00340712">
        <w:t>Interactive Gambling Act 2001</w:t>
      </w:r>
    </w:p>
    <w:p w:rsidR="00000000" w:rsidRPr="00340712" w:rsidP="00340712">
      <w:pPr>
        <w:pStyle w:val="ListBullet"/>
      </w:pPr>
      <w:r w:rsidRPr="00340712">
        <w:t xml:space="preserve">Australian Communications and Media Authority Interactive Gambling Industry Code </w:t>
      </w:r>
    </w:p>
    <w:p w:rsidR="00000000" w:rsidRPr="00340712" w:rsidP="00340712">
      <w:pPr>
        <w:pStyle w:val="ListBullet"/>
      </w:pPr>
      <w:r w:rsidRPr="00340712">
        <w:t>current regulatory documents distributed by key Sta</w:t>
      </w:r>
      <w:r w:rsidRPr="00340712">
        <w:t>te or Territory gambling licensing agencies, including legislative publications and codes of conduct outlining responsible online wagering requirements</w:t>
      </w:r>
    </w:p>
    <w:p w:rsidR="00000000" w:rsidRPr="00340712" w:rsidP="00340712">
      <w:pPr>
        <w:pStyle w:val="ListBullet"/>
      </w:pPr>
      <w:r w:rsidRPr="00340712">
        <w:t>industry and organisational codes of conduct, policies, procedures and information relating to responsib</w:t>
      </w:r>
      <w:r w:rsidRPr="00340712">
        <w:t>le online wagering services</w:t>
      </w:r>
    </w:p>
    <w:p w:rsidR="00000000" w:rsidRPr="00340712" w:rsidP="00340712">
      <w:pPr>
        <w:pStyle w:val="ListBullet"/>
      </w:pPr>
      <w:r w:rsidRPr="00340712">
        <w:t>information regarding the identification and impacts of gambling-related harms</w:t>
      </w:r>
    </w:p>
    <w:p w:rsidR="00000000" w:rsidRPr="00340712" w:rsidP="00B37368">
      <w:pPr>
        <w:pStyle w:val="BodyText"/>
      </w:pPr>
      <w:r w:rsidRPr="00340712">
        <w:t>Assessors must satisfy the Standards for Registered Training Organisations’ requirements for assessors.</w:t>
      </w:r>
    </w:p>
    <w:p w:rsidR="00000000" w:rsidRPr="00340712" w:rsidP="00340712">
      <w:pPr>
        <w:pStyle w:val="Heading1"/>
      </w:pPr>
      <w:bookmarkStart w:id="5" w:name="O_1175158"/>
      <w:bookmarkEnd w:id="5"/>
      <w:r w:rsidRPr="00340712">
        <w:t>Links</w:t>
      </w:r>
    </w:p>
    <w:p w:rsidR="00000000" w:rsidRPr="00340712" w:rsidP="00B37368">
      <w:pPr>
        <w:pStyle w:val="BodyText"/>
      </w:pPr>
      <w:r w:rsidRPr="00340712">
        <w:t>Companion Volume imp</w:t>
      </w:r>
      <w:r w:rsidRPr="00340712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84A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40712" w:rsidP="00340712"/>
    <w:sectPr w:rsidSect="003407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12" w:rsidRPr="00B37368" w:rsidP="00B37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68" w:rsidP="00340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368" w:rsidP="00340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7368" w:rsidP="00340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712" w:rsidRPr="00B37368" w:rsidP="00B37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68" w:rsidRPr="002D2AF8" w:rsidP="00340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CHCFIN005 Provide responsible online wagering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37368" w:rsidP="00340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68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80F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A6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712"/>
  </w:style>
  <w:style w:type="character" w:customStyle="1" w:styleId="Heading1Char">
    <w:name w:val="Heading 1 Char"/>
    <w:basedOn w:val="DefaultParagraphFont"/>
    <w:link w:val="Heading1"/>
    <w:rsid w:val="00340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7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7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07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07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0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7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712"/>
    <w:rPr>
      <w:b/>
      <w:spacing w:val="0"/>
    </w:rPr>
  </w:style>
  <w:style w:type="paragraph" w:customStyle="1" w:styleId="SuperTitle">
    <w:name w:val="SuperTitle"/>
    <w:basedOn w:val="Title"/>
    <w:rsid w:val="00340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712"/>
    <w:rPr>
      <w:i/>
    </w:rPr>
  </w:style>
  <w:style w:type="paragraph" w:styleId="Caption">
    <w:name w:val="caption"/>
    <w:basedOn w:val="BodyText"/>
    <w:next w:val="Normal"/>
    <w:qFormat/>
    <w:rsid w:val="00340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712"/>
  </w:style>
  <w:style w:type="paragraph" w:styleId="TableofFigures">
    <w:name w:val="table of figures"/>
    <w:basedOn w:val="Normal"/>
    <w:next w:val="Normal"/>
    <w:semiHidden/>
    <w:rsid w:val="00340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7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0712"/>
    <w:rPr>
      <w:rFonts w:ascii="Wingdings" w:hAnsi="Wingdings"/>
    </w:rPr>
  </w:style>
  <w:style w:type="paragraph" w:customStyle="1" w:styleId="TableHeading">
    <w:name w:val="Table Heading"/>
    <w:basedOn w:val="HeadingBase"/>
    <w:rsid w:val="00340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712"/>
    <w:rPr>
      <w:color w:val="0033CC"/>
      <w:u w:val="none"/>
    </w:rPr>
  </w:style>
  <w:style w:type="paragraph" w:customStyle="1" w:styleId="BodyTextRight">
    <w:name w:val="Body Text Right"/>
    <w:basedOn w:val="BodyText"/>
    <w:rsid w:val="00340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7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712"/>
    <w:rPr>
      <w:sz w:val="32"/>
    </w:rPr>
  </w:style>
  <w:style w:type="paragraph" w:customStyle="1" w:styleId="HeadingProcedure">
    <w:name w:val="Heading Procedure"/>
    <w:basedOn w:val="HeadingBase"/>
    <w:next w:val="Normal"/>
    <w:rsid w:val="00340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712"/>
    <w:pPr>
      <w:spacing w:before="60" w:after="60"/>
    </w:pPr>
  </w:style>
  <w:style w:type="paragraph" w:styleId="ListContinue">
    <w:name w:val="List Continue"/>
    <w:basedOn w:val="List"/>
    <w:rsid w:val="00340712"/>
    <w:pPr>
      <w:ind w:firstLine="0"/>
    </w:pPr>
  </w:style>
  <w:style w:type="paragraph" w:customStyle="1" w:styleId="ListNote">
    <w:name w:val="List Note"/>
    <w:basedOn w:val="List"/>
    <w:rsid w:val="00340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712"/>
    <w:rPr>
      <w:rFonts w:ascii="Courier New" w:hAnsi="Courier New"/>
    </w:rPr>
  </w:style>
  <w:style w:type="paragraph" w:customStyle="1" w:styleId="NoteBullet">
    <w:name w:val="Note Bullet"/>
    <w:basedOn w:val="Note"/>
    <w:rsid w:val="00340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7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0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712"/>
    <w:rPr>
      <w:b/>
      <w:smallCaps/>
    </w:rPr>
  </w:style>
  <w:style w:type="paragraph" w:customStyle="1" w:styleId="TableListNumber">
    <w:name w:val="Table List Number"/>
    <w:basedOn w:val="ListNumber"/>
    <w:rsid w:val="00340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712"/>
    <w:pPr>
      <w:numPr>
        <w:numId w:val="10"/>
      </w:numPr>
    </w:pPr>
  </w:style>
  <w:style w:type="paragraph" w:customStyle="1" w:styleId="ListAlpha2">
    <w:name w:val="List Alpha 2"/>
    <w:basedOn w:val="List2"/>
    <w:rsid w:val="00340712"/>
    <w:pPr>
      <w:numPr>
        <w:numId w:val="9"/>
      </w:numPr>
    </w:pPr>
  </w:style>
  <w:style w:type="paragraph" w:styleId="List2">
    <w:name w:val="List 2"/>
    <w:basedOn w:val="BodyText"/>
    <w:rsid w:val="00340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7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07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0712"/>
    <w:pPr>
      <w:numPr>
        <w:numId w:val="5"/>
      </w:numPr>
    </w:pPr>
  </w:style>
  <w:style w:type="paragraph" w:styleId="ListContinue2">
    <w:name w:val="List Continue 2"/>
    <w:basedOn w:val="List2"/>
    <w:rsid w:val="00340712"/>
    <w:pPr>
      <w:ind w:firstLine="0"/>
    </w:pPr>
  </w:style>
  <w:style w:type="paragraph" w:styleId="ListContinue3">
    <w:name w:val="List Continue 3"/>
    <w:basedOn w:val="List3"/>
    <w:rsid w:val="00340712"/>
    <w:pPr>
      <w:ind w:left="1021" w:firstLine="0"/>
    </w:pPr>
  </w:style>
  <w:style w:type="paragraph" w:styleId="ListContinue4">
    <w:name w:val="List Continue 4"/>
    <w:basedOn w:val="List4"/>
    <w:rsid w:val="00340712"/>
    <w:pPr>
      <w:ind w:firstLine="0"/>
    </w:pPr>
  </w:style>
  <w:style w:type="paragraph" w:styleId="ListContinue5">
    <w:name w:val="List Continue 5"/>
    <w:basedOn w:val="List5"/>
    <w:rsid w:val="00340712"/>
    <w:pPr>
      <w:ind w:firstLine="0"/>
    </w:pPr>
  </w:style>
  <w:style w:type="paragraph" w:styleId="ListNumber3">
    <w:name w:val="List Number 3"/>
    <w:basedOn w:val="List3"/>
    <w:rsid w:val="00340712"/>
    <w:pPr>
      <w:numPr>
        <w:numId w:val="6"/>
      </w:numPr>
    </w:pPr>
  </w:style>
  <w:style w:type="paragraph" w:styleId="ListNumber4">
    <w:name w:val="List Number 4"/>
    <w:basedOn w:val="List4"/>
    <w:rsid w:val="00340712"/>
    <w:pPr>
      <w:numPr>
        <w:numId w:val="7"/>
      </w:numPr>
    </w:pPr>
  </w:style>
  <w:style w:type="paragraph" w:styleId="ListNumber5">
    <w:name w:val="List Number 5"/>
    <w:basedOn w:val="List5"/>
    <w:rsid w:val="00340712"/>
    <w:pPr>
      <w:numPr>
        <w:numId w:val="8"/>
      </w:numPr>
    </w:pPr>
  </w:style>
  <w:style w:type="paragraph" w:styleId="BlockText">
    <w:name w:val="Block Text"/>
    <w:basedOn w:val="Normal"/>
    <w:rsid w:val="00340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712"/>
    <w:rPr>
      <w:sz w:val="16"/>
      <w:vertAlign w:val="superscript"/>
    </w:rPr>
  </w:style>
  <w:style w:type="character" w:customStyle="1" w:styleId="Symbols">
    <w:name w:val="Symbols"/>
    <w:basedOn w:val="DefaultParagraphFont"/>
    <w:rsid w:val="00340712"/>
    <w:rPr>
      <w:rFonts w:ascii="Symbol" w:hAnsi="Symbol"/>
    </w:rPr>
  </w:style>
  <w:style w:type="character" w:customStyle="1" w:styleId="MenuOptions">
    <w:name w:val="Menu Options"/>
    <w:basedOn w:val="DefaultParagraphFont"/>
    <w:rsid w:val="00340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712"/>
    <w:rPr>
      <w:b/>
    </w:rPr>
  </w:style>
  <w:style w:type="character" w:customStyle="1" w:styleId="Underlined">
    <w:name w:val="Underlined"/>
    <w:basedOn w:val="DefaultParagraphFont"/>
    <w:rsid w:val="00340712"/>
    <w:rPr>
      <w:u w:val="single"/>
    </w:rPr>
  </w:style>
  <w:style w:type="paragraph" w:customStyle="1" w:styleId="TableBodyTextRight">
    <w:name w:val="Table Body Text Right"/>
    <w:basedOn w:val="TableBodyText"/>
    <w:rsid w:val="00340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712"/>
    <w:rPr>
      <w:sz w:val="18"/>
    </w:rPr>
  </w:style>
  <w:style w:type="paragraph" w:customStyle="1" w:styleId="BodySmallRight">
    <w:name w:val="Body Small Right"/>
    <w:basedOn w:val="BodyTextRight"/>
    <w:rsid w:val="00340712"/>
    <w:rPr>
      <w:sz w:val="18"/>
      <w:szCs w:val="18"/>
    </w:rPr>
  </w:style>
  <w:style w:type="paragraph" w:customStyle="1" w:styleId="MarginEdition">
    <w:name w:val="Margin Edition"/>
    <w:basedOn w:val="MarginNote"/>
    <w:rsid w:val="00340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712"/>
    <w:rPr>
      <w:sz w:val="2"/>
      <w:szCs w:val="2"/>
    </w:rPr>
  </w:style>
  <w:style w:type="character" w:customStyle="1" w:styleId="Small">
    <w:name w:val="Small"/>
    <w:basedOn w:val="DefaultParagraphFont"/>
    <w:rsid w:val="00340712"/>
    <w:rPr>
      <w:sz w:val="16"/>
    </w:rPr>
  </w:style>
  <w:style w:type="paragraph" w:customStyle="1" w:styleId="WideTable">
    <w:name w:val="Wide Table"/>
    <w:basedOn w:val="Normal"/>
    <w:rsid w:val="00340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712"/>
  </w:style>
  <w:style w:type="paragraph" w:styleId="Quote">
    <w:name w:val="Quote"/>
    <w:basedOn w:val="Heading1"/>
    <w:link w:val="QuoteChar"/>
    <w:qFormat/>
    <w:rsid w:val="00340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712"/>
    <w:pPr>
      <w:pageBreakBefore/>
    </w:pPr>
  </w:style>
  <w:style w:type="paragraph" w:customStyle="1" w:styleId="Border">
    <w:name w:val="Border"/>
    <w:basedOn w:val="Normal"/>
    <w:qFormat/>
    <w:rsid w:val="00340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712"/>
    <w:rPr>
      <w:u w:val="single"/>
    </w:rPr>
  </w:style>
  <w:style w:type="character" w:customStyle="1" w:styleId="BoldandItalics">
    <w:name w:val="Bold and Italics"/>
    <w:qFormat/>
    <w:rsid w:val="00340712"/>
    <w:rPr>
      <w:b/>
      <w:i/>
      <w:u w:val="none"/>
    </w:rPr>
  </w:style>
  <w:style w:type="paragraph" w:styleId="BalloonText">
    <w:name w:val="Balloon Text"/>
    <w:basedOn w:val="Normal"/>
    <w:link w:val="BalloonTextChar"/>
    <w:rsid w:val="00340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712"/>
    <w:pPr>
      <w:spacing w:before="0" w:after="0"/>
    </w:pPr>
  </w:style>
  <w:style w:type="paragraph" w:customStyle="1" w:styleId="BodyTextBold">
    <w:name w:val="Body Text Bold"/>
    <w:basedOn w:val="BodyText"/>
    <w:qFormat/>
    <w:rsid w:val="00340712"/>
    <w:rPr>
      <w:b/>
    </w:rPr>
  </w:style>
  <w:style w:type="character" w:styleId="Hyperlink">
    <w:name w:val="Hyperlink"/>
    <w:basedOn w:val="DefaultParagraphFont"/>
    <w:uiPriority w:val="99"/>
    <w:unhideWhenUsed/>
    <w:rsid w:val="00B37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1221</Words>
  <Characters>8200</Characters>
  <Application>Microsoft Office Word</Application>
  <DocSecurity>0</DocSecurity>
  <Lines>200</Lines>
  <Paragraphs>181</Paragraphs>
  <ScaleCrop>false</ScaleCrop>
  <Company>Author-it Software Corporation Ltd.</Company>
  <LinksUpToDate>false</LinksUpToDate>
  <CharactersWithSpaces>9240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CHCFIN005 Provide responsible online wagering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