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18B" w:rsidP="001971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CHCEDS045 Support student mathematics learning</w:t>
      </w:r>
      <w:r>
        <w:fldChar w:fldCharType="end"/>
      </w:r>
    </w:p>
    <w:p w:rsidR="0019718B" w:rsidP="0019718B">
      <w:pPr>
        <w:pStyle w:val="Version"/>
        <w:sectPr w:rsidSect="003B3C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3CAB" w:rsidP="003B3CAB">
      <w:pPr>
        <w:pStyle w:val="SuperHeading"/>
      </w:pPr>
      <w:r w:rsidRPr="003B3CAB">
        <w:t>Assessment Requirements for CHCEDS045 Support student mathematics learning</w:t>
      </w:r>
    </w:p>
    <w:p w:rsidR="00000000" w:rsidRPr="003B3CAB" w:rsidP="003B3CAB">
      <w:pPr>
        <w:pStyle w:val="Heading1"/>
      </w:pPr>
      <w:bookmarkStart w:id="1" w:name="O_1183222"/>
      <w:bookmarkEnd w:id="1"/>
      <w:r w:rsidRPr="003B3CAB">
        <w:t>Modification History</w:t>
      </w:r>
    </w:p>
    <w:p w:rsidR="00000000" w:rsidRPr="003B3CAB" w:rsidP="0019718B">
      <w:pPr>
        <w:pStyle w:val="BodyText"/>
      </w:pPr>
      <w:r w:rsidRPr="003B3CAB">
        <w:t>Release 1. CHCEDS045 Support student mathematics learning supersedes and is equivalent to CHCEDS019 Support students</w:t>
      </w:r>
      <w:r>
        <w:t>’</w:t>
      </w:r>
      <w:r w:rsidRPr="003B3CAB">
        <w:t xml:space="preserve"> mathematics learning.</w:t>
      </w:r>
    </w:p>
    <w:p w:rsidR="00000000" w:rsidRPr="003B3CAB" w:rsidP="003B3CAB">
      <w:pPr>
        <w:pStyle w:val="Heading1"/>
      </w:pPr>
      <w:bookmarkStart w:id="2" w:name="O_1183223"/>
      <w:bookmarkEnd w:id="2"/>
      <w:r w:rsidRPr="003B3CAB">
        <w:t>Performance Evidence</w:t>
      </w:r>
    </w:p>
    <w:p w:rsidR="00000000" w:rsidRPr="003B3CAB" w:rsidP="0019718B">
      <w:pPr>
        <w:pStyle w:val="BodyText"/>
      </w:pPr>
      <w:r w:rsidRPr="003B3CAB">
        <w:t>Evidence of the ability to complete tasks outlined in elements and performance criteria of this unit in the context of the job role, and:</w:t>
      </w:r>
    </w:p>
    <w:p w:rsidR="00000000" w:rsidRPr="003B3CAB" w:rsidP="003B3CAB">
      <w:pPr>
        <w:pStyle w:val="ListBullet"/>
      </w:pPr>
      <w:r w:rsidRPr="003B3CAB">
        <w:t>contribute to the development of support strategies for two students who are a</w:t>
      </w:r>
      <w:r w:rsidRPr="003B3CAB">
        <w:t>t different levels of mathematical ability and adapt and incorporate strategies and resources appropriate to learner needs</w:t>
      </w:r>
    </w:p>
    <w:p w:rsidR="00000000" w:rsidRPr="003B3CAB" w:rsidP="003B3CAB">
      <w:pPr>
        <w:pStyle w:val="ListBullet"/>
      </w:pPr>
      <w:r w:rsidRPr="003B3CAB">
        <w:t>implement above support strategies on at least one occasion for each student and report to teacher on student outcomes to inform futu</w:t>
      </w:r>
      <w:r w:rsidRPr="003B3CAB">
        <w:t xml:space="preserve">re planning. </w:t>
      </w:r>
    </w:p>
    <w:p w:rsidR="00000000" w:rsidRPr="003B3CAB" w:rsidP="003B3CAB">
      <w:pPr>
        <w:pStyle w:val="AllowPageBreak"/>
      </w:pPr>
    </w:p>
    <w:p w:rsidR="00000000" w:rsidRPr="003B3CAB" w:rsidP="003B3CAB">
      <w:pPr>
        <w:pStyle w:val="Heading1"/>
      </w:pPr>
      <w:bookmarkStart w:id="3" w:name="O_1183224"/>
      <w:bookmarkEnd w:id="3"/>
      <w:r w:rsidRPr="003B3CAB">
        <w:t>Knowledge Evidence</w:t>
      </w:r>
    </w:p>
    <w:p w:rsidR="00000000" w:rsidRPr="003B3CAB" w:rsidP="0019718B">
      <w:pPr>
        <w:pStyle w:val="BodyText"/>
      </w:pPr>
      <w:r w:rsidRPr="003B3CAB">
        <w:t>Demonstrated knowledge required to complete the tasks outlined in elements and performance criteria of this unit:</w:t>
      </w:r>
    </w:p>
    <w:p w:rsidR="00000000" w:rsidRPr="003B3CAB" w:rsidP="003B3CAB">
      <w:pPr>
        <w:pStyle w:val="ListBullet"/>
      </w:pPr>
      <w:r w:rsidRPr="003B3CAB">
        <w:t>the role of education support workers in implementing planned mathematics activities with</w:t>
      </w:r>
      <w:r w:rsidRPr="003B3CAB">
        <w:t xml:space="preserve"> students</w:t>
      </w:r>
    </w:p>
    <w:p w:rsidR="00000000" w:rsidRPr="003B3CAB" w:rsidP="003B3CAB">
      <w:pPr>
        <w:pStyle w:val="ListBullet"/>
      </w:pPr>
      <w:r w:rsidRPr="003B3CAB">
        <w:t>differences between the roles and responsibilities of teachers and education support workers</w:t>
      </w:r>
    </w:p>
    <w:p w:rsidR="00000000" w:rsidRPr="003B3CAB" w:rsidP="003B3CAB">
      <w:pPr>
        <w:pStyle w:val="ListBullet"/>
      </w:pPr>
      <w:r w:rsidRPr="003B3CAB">
        <w:t>assessment methodologies and how they are used in mathematics:</w:t>
      </w:r>
    </w:p>
    <w:p w:rsidR="00000000" w:rsidRPr="003B3CAB" w:rsidP="003B3CAB">
      <w:pPr>
        <w:pStyle w:val="ListBullet2"/>
      </w:pPr>
      <w:r w:rsidRPr="003B3CAB">
        <w:t>formative</w:t>
      </w:r>
    </w:p>
    <w:p w:rsidR="00000000" w:rsidRPr="003B3CAB" w:rsidP="003B3CAB">
      <w:pPr>
        <w:pStyle w:val="ListBullet2"/>
      </w:pPr>
      <w:r w:rsidRPr="003B3CAB">
        <w:t xml:space="preserve">summative </w:t>
      </w:r>
    </w:p>
    <w:p w:rsidR="00000000" w:rsidRPr="003B3CAB" w:rsidP="003B3CAB">
      <w:pPr>
        <w:pStyle w:val="ListBullet2"/>
      </w:pPr>
      <w:r w:rsidRPr="003B3CAB">
        <w:t>standardised testing</w:t>
      </w:r>
    </w:p>
    <w:p w:rsidR="00000000" w:rsidRPr="003B3CAB" w:rsidP="003B3CAB">
      <w:pPr>
        <w:pStyle w:val="ListBullet"/>
      </w:pPr>
      <w:r w:rsidRPr="003B3CAB">
        <w:t xml:space="preserve">key content strands </w:t>
      </w:r>
      <w:r w:rsidRPr="003B3CAB">
        <w:t>of current mathematics curriculum:</w:t>
      </w:r>
    </w:p>
    <w:p w:rsidR="00000000" w:rsidRPr="003B3CAB" w:rsidP="003B3CAB">
      <w:pPr>
        <w:pStyle w:val="ListBullet2"/>
      </w:pPr>
      <w:r w:rsidRPr="003B3CAB">
        <w:t>number and algebra</w:t>
      </w:r>
    </w:p>
    <w:p w:rsidR="00000000" w:rsidRPr="003B3CAB" w:rsidP="003B3CAB">
      <w:pPr>
        <w:pStyle w:val="ListBullet2"/>
      </w:pPr>
      <w:r w:rsidRPr="003B3CAB">
        <w:t>measurement and geometry</w:t>
      </w:r>
    </w:p>
    <w:p w:rsidR="00000000" w:rsidRPr="003B3CAB" w:rsidP="003B3CAB">
      <w:pPr>
        <w:pStyle w:val="ListBullet2"/>
      </w:pPr>
      <w:r w:rsidRPr="003B3CAB">
        <w:t>statistics and probability</w:t>
      </w:r>
    </w:p>
    <w:p w:rsidR="00000000" w:rsidRPr="003B3CAB" w:rsidP="003B3CAB">
      <w:pPr>
        <w:pStyle w:val="ListBullet"/>
      </w:pPr>
      <w:r w:rsidRPr="003B3CAB">
        <w:t>terminology and concepts associated with mathematics and numeracy as used by supervising teacher:</w:t>
      </w:r>
    </w:p>
    <w:p w:rsidR="00000000" w:rsidRPr="003B3CAB" w:rsidP="003B3CAB">
      <w:pPr>
        <w:pStyle w:val="ListBullet2"/>
      </w:pPr>
      <w:r w:rsidRPr="003B3CAB">
        <w:t>vocabulary</w:t>
      </w:r>
    </w:p>
    <w:p w:rsidR="00000000" w:rsidRPr="003B3CAB" w:rsidP="003B3CAB">
      <w:pPr>
        <w:pStyle w:val="ListBullet2"/>
      </w:pPr>
      <w:r w:rsidRPr="003B3CAB">
        <w:t>symbols</w:t>
      </w:r>
    </w:p>
    <w:p w:rsidR="00000000" w:rsidRPr="003B3CAB" w:rsidP="003B3CAB">
      <w:pPr>
        <w:pStyle w:val="ListBullet2"/>
      </w:pPr>
      <w:r w:rsidRPr="003B3CAB">
        <w:t>displays such as graphs and ta</w:t>
      </w:r>
      <w:r w:rsidRPr="003B3CAB">
        <w:t>bles</w:t>
      </w:r>
    </w:p>
    <w:p w:rsidR="00000000" w:rsidRPr="003B3CAB" w:rsidP="003B3CAB">
      <w:pPr>
        <w:pStyle w:val="ListBullet2"/>
      </w:pPr>
      <w:r w:rsidRPr="003B3CAB">
        <w:t>units of measurement</w:t>
      </w:r>
    </w:p>
    <w:p w:rsidR="00000000" w:rsidRPr="003B3CAB" w:rsidP="003B3CAB">
      <w:pPr>
        <w:pStyle w:val="ListBullet2"/>
      </w:pPr>
      <w:r w:rsidRPr="003B3CAB">
        <w:t>mathematical conventions</w:t>
      </w:r>
    </w:p>
    <w:p w:rsidR="00000000" w:rsidRPr="003B3CAB" w:rsidP="003B3CAB">
      <w:pPr>
        <w:pStyle w:val="ListBullet"/>
      </w:pPr>
      <w:r w:rsidRPr="003B3CAB">
        <w:t>factors affecting acquisition of mathematics skills:</w:t>
      </w:r>
    </w:p>
    <w:p w:rsidR="00000000" w:rsidRPr="003B3CAB" w:rsidP="003B3CAB">
      <w:pPr>
        <w:pStyle w:val="ListBullet2"/>
      </w:pPr>
      <w:r w:rsidRPr="003B3CAB">
        <w:t>limited opportunities for practice</w:t>
      </w:r>
    </w:p>
    <w:p w:rsidR="00000000" w:rsidRPr="003B3CAB" w:rsidP="003B3CAB">
      <w:pPr>
        <w:pStyle w:val="ListBullet2"/>
      </w:pPr>
      <w:r w:rsidRPr="003B3CAB">
        <w:t>health issues</w:t>
      </w:r>
    </w:p>
    <w:p w:rsidR="00000000" w:rsidRPr="003B3CAB" w:rsidP="003B3CAB">
      <w:pPr>
        <w:pStyle w:val="ListBullet2"/>
      </w:pPr>
      <w:r w:rsidRPr="003B3CAB">
        <w:t>socio-economic issues</w:t>
      </w:r>
    </w:p>
    <w:p w:rsidR="00000000" w:rsidRPr="003B3CAB" w:rsidP="003B3CAB">
      <w:pPr>
        <w:pStyle w:val="ListBullet2"/>
      </w:pPr>
      <w:r w:rsidRPr="003B3CAB">
        <w:t>home language other than English</w:t>
      </w:r>
    </w:p>
    <w:p w:rsidR="00000000" w:rsidRPr="003B3CAB" w:rsidP="003B3CAB">
      <w:pPr>
        <w:pStyle w:val="ListBullet2"/>
      </w:pPr>
      <w:r w:rsidRPr="003B3CAB">
        <w:t>level of confidence</w:t>
      </w:r>
    </w:p>
    <w:p w:rsidR="00000000" w:rsidRPr="003B3CAB" w:rsidP="003B3CAB">
      <w:pPr>
        <w:pStyle w:val="ListBullet2"/>
      </w:pPr>
      <w:r w:rsidRPr="003B3CAB">
        <w:t>planned or incidental learning opportunities</w:t>
      </w:r>
    </w:p>
    <w:p w:rsidR="00000000" w:rsidRPr="003B3CAB" w:rsidP="003B3CAB">
      <w:pPr>
        <w:pStyle w:val="ListBullet"/>
      </w:pPr>
      <w:r w:rsidRPr="003B3CAB">
        <w:t>questioning techniques that can be used to scaffold learning and assist students to problem-solve.</w:t>
      </w:r>
    </w:p>
    <w:p w:rsidR="00000000" w:rsidRPr="003B3CAB" w:rsidP="003B3CAB">
      <w:pPr>
        <w:pStyle w:val="AllowPageBreak"/>
      </w:pPr>
    </w:p>
    <w:p w:rsidR="00000000" w:rsidRPr="003B3CAB" w:rsidP="003B3CAB">
      <w:pPr>
        <w:pStyle w:val="Heading1"/>
      </w:pPr>
      <w:bookmarkStart w:id="4" w:name="O_1183225"/>
      <w:bookmarkEnd w:id="4"/>
      <w:r w:rsidRPr="003B3CAB">
        <w:t>Assessment Conditions</w:t>
      </w:r>
    </w:p>
    <w:p w:rsidR="00000000" w:rsidRPr="003B3CAB" w:rsidP="0019718B">
      <w:pPr>
        <w:pStyle w:val="BodyText"/>
      </w:pPr>
      <w:r w:rsidRPr="003B3CAB">
        <w:t>Skills must be demonstrated in the workplace:</w:t>
      </w:r>
    </w:p>
    <w:p w:rsidR="00000000" w:rsidRPr="003B3CAB" w:rsidP="003B3CAB">
      <w:pPr>
        <w:pStyle w:val="ListBullet"/>
      </w:pPr>
      <w:r w:rsidRPr="003B3CAB">
        <w:t>implementation of strat</w:t>
      </w:r>
      <w:r w:rsidRPr="003B3CAB">
        <w:t>egies must be directly observed by the assessor on at least one occasion</w:t>
      </w:r>
    </w:p>
    <w:p w:rsidR="00000000" w:rsidRPr="003B3CAB" w:rsidP="003B3CAB">
      <w:pPr>
        <w:pStyle w:val="ListBullet"/>
      </w:pPr>
      <w:r w:rsidRPr="003B3CAB">
        <w:t>remaining performance evidence may be collected through authenticated third-party reports</w:t>
      </w:r>
    </w:p>
    <w:p w:rsidR="00000000" w:rsidRPr="003B3CAB" w:rsidP="003B3CAB">
      <w:pPr>
        <w:pStyle w:val="ListBullet"/>
      </w:pPr>
      <w:r w:rsidRPr="003B3CAB">
        <w:t>observation and third-party reports must be supplemented by other forms of evidence.</w:t>
      </w:r>
    </w:p>
    <w:p w:rsidR="00000000" w:rsidRPr="003B3CAB" w:rsidP="0019718B">
      <w:pPr>
        <w:pStyle w:val="BodyText"/>
      </w:pPr>
      <w:r w:rsidRPr="003B3CAB">
        <w:t>Skills r</w:t>
      </w:r>
      <w:r w:rsidRPr="003B3CAB">
        <w:t>elated to resource adaptation may be demonstrated outside of the workplace but must be based on work in a primary or secondary school in Australia.</w:t>
      </w:r>
    </w:p>
    <w:p w:rsidR="00000000" w:rsidRPr="003B3CAB" w:rsidP="0019718B">
      <w:pPr>
        <w:pStyle w:val="BodyText"/>
      </w:pPr>
      <w:r w:rsidRPr="003B3CAB">
        <w:t xml:space="preserve">Interactions with students must be supervised by a teacher or other educational professional. </w:t>
      </w:r>
    </w:p>
    <w:p w:rsidR="00000000" w:rsidRPr="003B3CAB" w:rsidP="0019718B">
      <w:pPr>
        <w:pStyle w:val="BodyText"/>
      </w:pPr>
      <w:r w:rsidRPr="003B3CAB">
        <w:t>Assessment mu</w:t>
      </w:r>
      <w:r w:rsidRPr="003B3CAB">
        <w:t>st ensure access to:</w:t>
      </w:r>
    </w:p>
    <w:p w:rsidR="00000000" w:rsidRPr="003B3CAB" w:rsidP="003B3CAB">
      <w:pPr>
        <w:pStyle w:val="ListBullet"/>
      </w:pPr>
      <w:r w:rsidRPr="003B3CAB">
        <w:t>student information to inform planning</w:t>
      </w:r>
    </w:p>
    <w:p w:rsidR="00000000" w:rsidRPr="003B3CAB" w:rsidP="003B3CAB">
      <w:pPr>
        <w:pStyle w:val="ListBullet"/>
      </w:pPr>
      <w:r w:rsidRPr="003B3CAB">
        <w:t>maths curriculum information</w:t>
      </w:r>
    </w:p>
    <w:p w:rsidR="00000000" w:rsidRPr="003B3CAB" w:rsidP="003B3CAB">
      <w:pPr>
        <w:pStyle w:val="ListBullet"/>
      </w:pPr>
      <w:r w:rsidRPr="003B3CAB">
        <w:t>maths support resources in the areas of:</w:t>
      </w:r>
    </w:p>
    <w:p w:rsidR="00000000" w:rsidRPr="003B3CAB" w:rsidP="003B3CAB">
      <w:pPr>
        <w:pStyle w:val="ListBullet2"/>
      </w:pPr>
      <w:r w:rsidRPr="003B3CAB">
        <w:t>number and algebra</w:t>
      </w:r>
    </w:p>
    <w:p w:rsidR="00000000" w:rsidRPr="003B3CAB" w:rsidP="003B3CAB">
      <w:pPr>
        <w:pStyle w:val="ListBullet2"/>
      </w:pPr>
      <w:r w:rsidRPr="003B3CAB">
        <w:t>measurement and geometry</w:t>
      </w:r>
    </w:p>
    <w:p w:rsidR="00000000" w:rsidRPr="003B3CAB" w:rsidP="003B3CAB">
      <w:pPr>
        <w:pStyle w:val="ListBullet2"/>
      </w:pPr>
      <w:r w:rsidRPr="003B3CAB">
        <w:t>statistics and probability</w:t>
      </w:r>
    </w:p>
    <w:p w:rsidR="00000000" w:rsidRPr="003B3CAB" w:rsidP="003B3CAB">
      <w:pPr>
        <w:pStyle w:val="ListBullet"/>
      </w:pPr>
      <w:r w:rsidRPr="003B3CAB">
        <w:t>organisational policies and procedures for support programs</w:t>
      </w:r>
    </w:p>
    <w:p w:rsidR="00000000" w:rsidRPr="003B3CAB" w:rsidP="003B3CAB">
      <w:pPr>
        <w:pStyle w:val="ListBullet"/>
      </w:pPr>
      <w:r w:rsidRPr="003B3CAB">
        <w:t>students in a school</w:t>
      </w:r>
    </w:p>
    <w:p w:rsidR="00000000" w:rsidRPr="003B3CAB" w:rsidP="003B3CAB">
      <w:pPr>
        <w:pStyle w:val="ListBullet"/>
      </w:pPr>
      <w:r w:rsidRPr="003B3CAB">
        <w:t>colleagues for guidance and collaboration.</w:t>
      </w:r>
    </w:p>
    <w:p w:rsidR="00000000" w:rsidRPr="003B3CAB" w:rsidP="0019718B">
      <w:pPr>
        <w:pStyle w:val="BodyText"/>
      </w:pPr>
      <w:r w:rsidRPr="003B3CAB">
        <w:t>Assessors must satisfy the Standards for Registered Training Organisations requirements for assessors.</w:t>
      </w:r>
    </w:p>
    <w:p w:rsidR="00000000" w:rsidRPr="003B3CAB" w:rsidP="003B3CAB">
      <w:pPr>
        <w:pStyle w:val="Heading1"/>
      </w:pPr>
      <w:bookmarkStart w:id="5" w:name="O_1183228"/>
      <w:bookmarkEnd w:id="5"/>
      <w:r w:rsidRPr="003B3CAB">
        <w:t>Links</w:t>
      </w:r>
    </w:p>
    <w:p w:rsidR="00000000" w:rsidRPr="003B3CAB" w:rsidP="0019718B">
      <w:pPr>
        <w:pStyle w:val="BodyText"/>
      </w:pPr>
      <w:r w:rsidRPr="003B3CAB">
        <w:t>Comp</w:t>
      </w:r>
      <w:r w:rsidRPr="003B3CAB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1290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B3CAB" w:rsidP="003B3CAB"/>
    <w:sectPr w:rsidSect="003B3C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C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CAB" w:rsidRPr="0019718B" w:rsidP="001971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C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18B" w:rsidP="003B3C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718B" w:rsidP="003B3C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9718B" w:rsidP="003B3C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C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1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3CAB" w:rsidRPr="0019718B" w:rsidP="001971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C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18B" w:rsidRPr="002D2AF8" w:rsidP="003B3C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CHCEDS045 Support student mathematics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9718B" w:rsidP="003B3C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E45B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6AB0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9EEE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C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3C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3C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3C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3C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3C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3C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3C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3C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3C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3C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3CAB"/>
  </w:style>
  <w:style w:type="character" w:customStyle="1" w:styleId="Heading1Char">
    <w:name w:val="Heading 1 Char"/>
    <w:basedOn w:val="DefaultParagraphFont"/>
    <w:link w:val="Heading1"/>
    <w:rsid w:val="003B3C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3C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3C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3C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3C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3C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3C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3C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3C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3C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3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3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3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3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3C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3C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3C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3C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3C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3C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3C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3C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3C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3C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3C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3C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3C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3CAB"/>
    <w:rPr>
      <w:b/>
      <w:spacing w:val="0"/>
    </w:rPr>
  </w:style>
  <w:style w:type="paragraph" w:customStyle="1" w:styleId="SuperTitle">
    <w:name w:val="SuperTitle"/>
    <w:basedOn w:val="Title"/>
    <w:rsid w:val="003B3C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3C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3C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3C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3C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3C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3C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3C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3C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3C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3C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3C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3CAB"/>
    <w:rPr>
      <w:i/>
    </w:rPr>
  </w:style>
  <w:style w:type="paragraph" w:styleId="Caption">
    <w:name w:val="caption"/>
    <w:basedOn w:val="BodyText"/>
    <w:next w:val="Normal"/>
    <w:qFormat/>
    <w:rsid w:val="003B3C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3C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3C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3CAB"/>
  </w:style>
  <w:style w:type="paragraph" w:styleId="TableofFigures">
    <w:name w:val="table of figures"/>
    <w:basedOn w:val="Normal"/>
    <w:next w:val="Normal"/>
    <w:semiHidden/>
    <w:rsid w:val="003B3C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3C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3CAB"/>
    <w:rPr>
      <w:rFonts w:ascii="Wingdings" w:hAnsi="Wingdings"/>
    </w:rPr>
  </w:style>
  <w:style w:type="paragraph" w:customStyle="1" w:styleId="TableHeading">
    <w:name w:val="Table Heading"/>
    <w:basedOn w:val="HeadingBase"/>
    <w:rsid w:val="003B3C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3CAB"/>
    <w:rPr>
      <w:color w:val="0033CC"/>
      <w:u w:val="none"/>
    </w:rPr>
  </w:style>
  <w:style w:type="paragraph" w:customStyle="1" w:styleId="BodyTextRight">
    <w:name w:val="Body Text Right"/>
    <w:basedOn w:val="BodyText"/>
    <w:rsid w:val="003B3C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3C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3C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3C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3C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3C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3CAB"/>
    <w:rPr>
      <w:sz w:val="32"/>
    </w:rPr>
  </w:style>
  <w:style w:type="paragraph" w:customStyle="1" w:styleId="HeadingProcedure">
    <w:name w:val="Heading Procedure"/>
    <w:basedOn w:val="HeadingBase"/>
    <w:next w:val="Normal"/>
    <w:rsid w:val="003B3C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3CAB"/>
    <w:pPr>
      <w:spacing w:before="60" w:after="60"/>
    </w:pPr>
  </w:style>
  <w:style w:type="paragraph" w:styleId="ListContinue">
    <w:name w:val="List Continue"/>
    <w:basedOn w:val="List"/>
    <w:rsid w:val="003B3CAB"/>
    <w:pPr>
      <w:ind w:firstLine="0"/>
    </w:pPr>
  </w:style>
  <w:style w:type="paragraph" w:customStyle="1" w:styleId="ListNote">
    <w:name w:val="List Note"/>
    <w:basedOn w:val="List"/>
    <w:rsid w:val="003B3C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3C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3C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3CAB"/>
    <w:rPr>
      <w:rFonts w:ascii="Courier New" w:hAnsi="Courier New"/>
    </w:rPr>
  </w:style>
  <w:style w:type="paragraph" w:customStyle="1" w:styleId="NoteBullet">
    <w:name w:val="Note Bullet"/>
    <w:basedOn w:val="Note"/>
    <w:rsid w:val="003B3C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3C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3C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3C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3C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3C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3C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3CAB"/>
    <w:rPr>
      <w:b/>
      <w:smallCaps/>
    </w:rPr>
  </w:style>
  <w:style w:type="paragraph" w:customStyle="1" w:styleId="TableListNumber">
    <w:name w:val="Table List Number"/>
    <w:basedOn w:val="ListNumber"/>
    <w:rsid w:val="003B3C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3C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3CAB"/>
    <w:pPr>
      <w:numPr>
        <w:numId w:val="9"/>
      </w:numPr>
    </w:pPr>
  </w:style>
  <w:style w:type="paragraph" w:customStyle="1" w:styleId="ListAlpha2">
    <w:name w:val="List Alpha 2"/>
    <w:basedOn w:val="List2"/>
    <w:rsid w:val="003B3CAB"/>
    <w:pPr>
      <w:numPr>
        <w:numId w:val="8"/>
      </w:numPr>
    </w:pPr>
  </w:style>
  <w:style w:type="paragraph" w:styleId="List2">
    <w:name w:val="List 2"/>
    <w:basedOn w:val="BodyText"/>
    <w:rsid w:val="003B3C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3C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3C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3C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3C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3C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3CAB"/>
    <w:pPr>
      <w:numPr>
        <w:numId w:val="4"/>
      </w:numPr>
    </w:pPr>
  </w:style>
  <w:style w:type="paragraph" w:styleId="ListContinue2">
    <w:name w:val="List Continue 2"/>
    <w:basedOn w:val="List2"/>
    <w:rsid w:val="003B3CAB"/>
    <w:pPr>
      <w:ind w:firstLine="0"/>
    </w:pPr>
  </w:style>
  <w:style w:type="paragraph" w:styleId="ListContinue3">
    <w:name w:val="List Continue 3"/>
    <w:basedOn w:val="List3"/>
    <w:rsid w:val="003B3CAB"/>
    <w:pPr>
      <w:ind w:left="1021" w:firstLine="0"/>
    </w:pPr>
  </w:style>
  <w:style w:type="paragraph" w:styleId="ListContinue4">
    <w:name w:val="List Continue 4"/>
    <w:basedOn w:val="List4"/>
    <w:rsid w:val="003B3CAB"/>
    <w:pPr>
      <w:ind w:firstLine="0"/>
    </w:pPr>
  </w:style>
  <w:style w:type="paragraph" w:styleId="ListContinue5">
    <w:name w:val="List Continue 5"/>
    <w:basedOn w:val="List5"/>
    <w:rsid w:val="003B3CAB"/>
    <w:pPr>
      <w:ind w:firstLine="0"/>
    </w:pPr>
  </w:style>
  <w:style w:type="paragraph" w:styleId="ListNumber3">
    <w:name w:val="List Number 3"/>
    <w:basedOn w:val="List3"/>
    <w:rsid w:val="003B3CAB"/>
    <w:pPr>
      <w:numPr>
        <w:numId w:val="5"/>
      </w:numPr>
    </w:pPr>
  </w:style>
  <w:style w:type="paragraph" w:styleId="ListNumber4">
    <w:name w:val="List Number 4"/>
    <w:basedOn w:val="List4"/>
    <w:rsid w:val="003B3CAB"/>
    <w:pPr>
      <w:numPr>
        <w:numId w:val="6"/>
      </w:numPr>
    </w:pPr>
  </w:style>
  <w:style w:type="paragraph" w:styleId="ListNumber5">
    <w:name w:val="List Number 5"/>
    <w:basedOn w:val="List5"/>
    <w:rsid w:val="003B3CAB"/>
    <w:pPr>
      <w:numPr>
        <w:numId w:val="7"/>
      </w:numPr>
    </w:pPr>
  </w:style>
  <w:style w:type="paragraph" w:styleId="BlockText">
    <w:name w:val="Block Text"/>
    <w:basedOn w:val="Normal"/>
    <w:rsid w:val="003B3C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3C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3CAB"/>
    <w:rPr>
      <w:sz w:val="16"/>
      <w:vertAlign w:val="superscript"/>
    </w:rPr>
  </w:style>
  <w:style w:type="character" w:customStyle="1" w:styleId="Symbols">
    <w:name w:val="Symbols"/>
    <w:basedOn w:val="DefaultParagraphFont"/>
    <w:rsid w:val="003B3CAB"/>
    <w:rPr>
      <w:rFonts w:ascii="Symbol" w:hAnsi="Symbol"/>
    </w:rPr>
  </w:style>
  <w:style w:type="character" w:customStyle="1" w:styleId="MenuOptions">
    <w:name w:val="Menu Options"/>
    <w:basedOn w:val="DefaultParagraphFont"/>
    <w:rsid w:val="003B3C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3CAB"/>
    <w:rPr>
      <w:b/>
    </w:rPr>
  </w:style>
  <w:style w:type="character" w:customStyle="1" w:styleId="Underlined">
    <w:name w:val="Underlined"/>
    <w:basedOn w:val="DefaultParagraphFont"/>
    <w:rsid w:val="003B3CAB"/>
    <w:rPr>
      <w:u w:val="single"/>
    </w:rPr>
  </w:style>
  <w:style w:type="paragraph" w:customStyle="1" w:styleId="TableBodyTextRight">
    <w:name w:val="Table Body Text Right"/>
    <w:basedOn w:val="TableBodyText"/>
    <w:rsid w:val="003B3C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3CAB"/>
    <w:rPr>
      <w:sz w:val="18"/>
    </w:rPr>
  </w:style>
  <w:style w:type="paragraph" w:customStyle="1" w:styleId="BodySmallRight">
    <w:name w:val="Body Small Right"/>
    <w:basedOn w:val="BodyTextRight"/>
    <w:rsid w:val="003B3CAB"/>
    <w:rPr>
      <w:sz w:val="18"/>
      <w:szCs w:val="18"/>
    </w:rPr>
  </w:style>
  <w:style w:type="paragraph" w:customStyle="1" w:styleId="MarginEdition">
    <w:name w:val="Margin Edition"/>
    <w:basedOn w:val="MarginNote"/>
    <w:rsid w:val="003B3C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3CAB"/>
    <w:rPr>
      <w:sz w:val="2"/>
      <w:szCs w:val="2"/>
    </w:rPr>
  </w:style>
  <w:style w:type="character" w:customStyle="1" w:styleId="Small">
    <w:name w:val="Small"/>
    <w:basedOn w:val="DefaultParagraphFont"/>
    <w:rsid w:val="003B3CAB"/>
    <w:rPr>
      <w:sz w:val="16"/>
    </w:rPr>
  </w:style>
  <w:style w:type="paragraph" w:customStyle="1" w:styleId="WideTable">
    <w:name w:val="Wide Table"/>
    <w:basedOn w:val="Normal"/>
    <w:rsid w:val="003B3C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3CAB"/>
  </w:style>
  <w:style w:type="paragraph" w:styleId="Quote">
    <w:name w:val="Quote"/>
    <w:basedOn w:val="Heading1"/>
    <w:link w:val="QuoteChar"/>
    <w:qFormat/>
    <w:rsid w:val="003B3C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3C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3CAB"/>
    <w:pPr>
      <w:pageBreakBefore/>
    </w:pPr>
  </w:style>
  <w:style w:type="paragraph" w:customStyle="1" w:styleId="Border">
    <w:name w:val="Border"/>
    <w:basedOn w:val="Normal"/>
    <w:qFormat/>
    <w:rsid w:val="003B3C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3C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C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C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3C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3C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3C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3C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3C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3CAB"/>
    <w:rPr>
      <w:u w:val="single"/>
    </w:rPr>
  </w:style>
  <w:style w:type="character" w:customStyle="1" w:styleId="BoldandItalics">
    <w:name w:val="Bold and Italics"/>
    <w:qFormat/>
    <w:rsid w:val="003B3CAB"/>
    <w:rPr>
      <w:b/>
      <w:i/>
      <w:u w:val="none"/>
    </w:rPr>
  </w:style>
  <w:style w:type="paragraph" w:styleId="BalloonText">
    <w:name w:val="Balloon Text"/>
    <w:basedOn w:val="Normal"/>
    <w:link w:val="BalloonTextChar"/>
    <w:rsid w:val="003B3C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3C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3C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3C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3C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3C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3CAB"/>
    <w:pPr>
      <w:spacing w:before="0" w:after="0"/>
    </w:pPr>
  </w:style>
  <w:style w:type="paragraph" w:customStyle="1" w:styleId="BodyTextBold">
    <w:name w:val="Body Text Bold"/>
    <w:basedOn w:val="BodyText"/>
    <w:qFormat/>
    <w:rsid w:val="003B3CAB"/>
    <w:rPr>
      <w:b/>
    </w:rPr>
  </w:style>
  <w:style w:type="character" w:styleId="Hyperlink">
    <w:name w:val="Hyperlink"/>
    <w:basedOn w:val="DefaultParagraphFont"/>
    <w:uiPriority w:val="99"/>
    <w:unhideWhenUsed/>
    <w:rsid w:val="001971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2835</Characters>
  <Application>Microsoft Office Word</Application>
  <DocSecurity>0</DocSecurity>
  <Lines>81</Lines>
  <Paragraphs>65</Paragraphs>
  <ScaleCrop>false</ScaleCrop>
  <Company>Author-it Software Corporation Ltd.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CHCEDS045 Support student mathematics learning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2023-07-01T03:51:00Z</dcterms:created>
  <dcterms:modified xsi:type="dcterms:W3CDTF">2023-07-01T03:51:00Z</dcterms:modified>
</cp:coreProperties>
</file>