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1BC0" w:rsidP="00BD1B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CHCECE056 Work effectively in children’s education and care</w:t>
      </w:r>
      <w:r>
        <w:fldChar w:fldCharType="end"/>
      </w:r>
    </w:p>
    <w:p w:rsidR="00BD1BC0" w:rsidP="00BD1BC0">
      <w:pPr>
        <w:pStyle w:val="Version"/>
        <w:sectPr w:rsidSect="00D82E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2EA7" w:rsidP="00D82EA7">
      <w:pPr>
        <w:pStyle w:val="SuperHeading"/>
      </w:pPr>
      <w:r w:rsidRPr="00D82EA7">
        <w:t>Assessment Requirements for CHCECE056 Work effectively in children</w:t>
      </w:r>
      <w:r>
        <w:t>’</w:t>
      </w:r>
      <w:r w:rsidRPr="00D82EA7">
        <w:t>s education and care</w:t>
      </w:r>
    </w:p>
    <w:p w:rsidR="00000000" w:rsidRPr="00D82EA7" w:rsidP="00D82EA7">
      <w:pPr>
        <w:pStyle w:val="Heading1"/>
      </w:pPr>
      <w:bookmarkStart w:id="1" w:name="O_1182937"/>
      <w:bookmarkEnd w:id="1"/>
      <w:r w:rsidRPr="00D82EA7">
        <w:t>Modification History</w:t>
      </w:r>
    </w:p>
    <w:p w:rsidR="00000000" w:rsidRPr="00D82EA7" w:rsidP="00BD1BC0">
      <w:pPr>
        <w:pStyle w:val="BodyText"/>
      </w:pPr>
      <w:r w:rsidRPr="00D82EA7">
        <w:t xml:space="preserve">Release 1. CHCECE056 Work effectively in children’s education and care. New unit. No equivalent unit. </w:t>
      </w:r>
    </w:p>
    <w:p w:rsidR="00000000" w:rsidRPr="00D82EA7" w:rsidP="00D82EA7">
      <w:pPr>
        <w:pStyle w:val="Heading1"/>
      </w:pPr>
      <w:bookmarkStart w:id="2" w:name="O_1182938"/>
      <w:bookmarkEnd w:id="2"/>
      <w:r w:rsidRPr="00D82EA7">
        <w:t>Performance Evidence</w:t>
      </w:r>
    </w:p>
    <w:p w:rsidR="00000000" w:rsidRPr="00D82EA7" w:rsidP="00BD1BC0">
      <w:pPr>
        <w:pStyle w:val="BodyText"/>
      </w:pPr>
      <w:r w:rsidRPr="00D82EA7">
        <w:t>Evidence of the ability to complete tasks outlined in elements and performance criteria of this unit in the context of the job role, and:</w:t>
      </w:r>
    </w:p>
    <w:p w:rsidR="00000000" w:rsidRPr="00D82EA7" w:rsidP="00D82EA7">
      <w:pPr>
        <w:pStyle w:val="ListBullet"/>
      </w:pPr>
      <w:r w:rsidRPr="00D82EA7">
        <w:t>access, interpret and use information about employment and service procedures in children’s educ</w:t>
      </w:r>
      <w:r w:rsidRPr="00D82EA7">
        <w:t>ation and care from three different sources</w:t>
      </w:r>
    </w:p>
    <w:p w:rsidR="00000000" w:rsidRPr="00D82EA7" w:rsidP="00D82EA7">
      <w:pPr>
        <w:pStyle w:val="ListBullet"/>
      </w:pPr>
      <w:r w:rsidRPr="00D82EA7">
        <w:t>use effective planning, organisational and communication to complete five different children’s education and care daily work activities.</w:t>
      </w:r>
    </w:p>
    <w:p w:rsidR="00000000" w:rsidRPr="00D82EA7" w:rsidP="00D82EA7">
      <w:pPr>
        <w:pStyle w:val="AllowPageBreak"/>
      </w:pPr>
    </w:p>
    <w:p w:rsidR="00000000" w:rsidRPr="00D82EA7" w:rsidP="00D82EA7">
      <w:pPr>
        <w:pStyle w:val="Heading1"/>
      </w:pPr>
      <w:bookmarkStart w:id="3" w:name="O_1182939"/>
      <w:bookmarkEnd w:id="3"/>
      <w:r w:rsidRPr="00D82EA7">
        <w:t>Knowledge Evidence</w:t>
      </w:r>
    </w:p>
    <w:p w:rsidR="00000000" w:rsidRPr="00D82EA7" w:rsidP="00BD1BC0">
      <w:pPr>
        <w:pStyle w:val="BodyText"/>
      </w:pPr>
      <w:r w:rsidRPr="00D82EA7">
        <w:t>Demonstrated knowledge required to co</w:t>
      </w:r>
      <w:r w:rsidRPr="00D82EA7">
        <w:t>mplete the tasks outlined in elements and performance criteria of this unit:</w:t>
      </w:r>
    </w:p>
    <w:p w:rsidR="00000000" w:rsidRPr="00D82EA7" w:rsidP="00D82EA7">
      <w:pPr>
        <w:pStyle w:val="ListBullet"/>
      </w:pPr>
      <w:r w:rsidRPr="00D82EA7">
        <w:t>role characteristics, boundaries and responsibilities for key job roles in children’s education and care in the following sectors:</w:t>
      </w:r>
    </w:p>
    <w:p w:rsidR="00000000" w:rsidRPr="00D82EA7" w:rsidP="00D82EA7">
      <w:pPr>
        <w:pStyle w:val="ListBullet2"/>
      </w:pPr>
      <w:r w:rsidRPr="00D82EA7">
        <w:t>early childhood</w:t>
      </w:r>
    </w:p>
    <w:p w:rsidR="00000000" w:rsidRPr="00D82EA7" w:rsidP="00D82EA7">
      <w:pPr>
        <w:pStyle w:val="ListBullet2"/>
      </w:pPr>
      <w:r w:rsidRPr="00D82EA7">
        <w:t>out of school hours care</w:t>
      </w:r>
    </w:p>
    <w:p w:rsidR="00000000" w:rsidRPr="00D82EA7" w:rsidP="00D82EA7">
      <w:pPr>
        <w:pStyle w:val="ListBullet2"/>
      </w:pPr>
      <w:r w:rsidRPr="00D82EA7">
        <w:t>education support</w:t>
      </w:r>
    </w:p>
    <w:p w:rsidR="00000000" w:rsidRPr="00D82EA7" w:rsidP="00D82EA7">
      <w:pPr>
        <w:pStyle w:val="ListBullet"/>
      </w:pPr>
      <w:r w:rsidRPr="00D82EA7">
        <w:t>sources of information on employment in children’s education and care:</w:t>
      </w:r>
    </w:p>
    <w:p w:rsidR="00000000" w:rsidRPr="00D82EA7" w:rsidP="00D82EA7">
      <w:pPr>
        <w:pStyle w:val="ListBullet2"/>
      </w:pPr>
      <w:r w:rsidRPr="00D82EA7">
        <w:t>employer associations</w:t>
      </w:r>
    </w:p>
    <w:p w:rsidR="00000000" w:rsidRPr="00D82EA7" w:rsidP="00D82EA7">
      <w:pPr>
        <w:pStyle w:val="ListBullet2"/>
      </w:pPr>
      <w:r w:rsidRPr="00D82EA7">
        <w:t>professional associations</w:t>
      </w:r>
    </w:p>
    <w:p w:rsidR="00000000" w:rsidRPr="00D82EA7" w:rsidP="00D82EA7">
      <w:pPr>
        <w:pStyle w:val="ListBullet2"/>
      </w:pPr>
      <w:r w:rsidRPr="00D82EA7">
        <w:t>staff handbooks</w:t>
      </w:r>
    </w:p>
    <w:p w:rsidR="00000000" w:rsidRPr="00D82EA7" w:rsidP="00D82EA7">
      <w:pPr>
        <w:pStyle w:val="ListBullet2"/>
      </w:pPr>
      <w:r w:rsidRPr="00D82EA7">
        <w:t>trade unions</w:t>
      </w:r>
    </w:p>
    <w:p w:rsidR="00000000" w:rsidRPr="00D82EA7" w:rsidP="00D82EA7">
      <w:pPr>
        <w:pStyle w:val="ListBullet"/>
      </w:pPr>
      <w:r w:rsidRPr="00D82EA7">
        <w:t>purpose and requirements of the National Quality Framework:</w:t>
      </w:r>
    </w:p>
    <w:p w:rsidR="00000000" w:rsidRPr="00D82EA7" w:rsidP="00D82EA7">
      <w:pPr>
        <w:pStyle w:val="ListBullet2"/>
      </w:pPr>
      <w:r w:rsidRPr="00D82EA7">
        <w:t>purpose of National Law an</w:t>
      </w:r>
      <w:r w:rsidRPr="00D82EA7">
        <w:t xml:space="preserve">d National Regulations </w:t>
      </w:r>
    </w:p>
    <w:p w:rsidR="00000000" w:rsidRPr="00D82EA7" w:rsidP="00D82EA7">
      <w:pPr>
        <w:pStyle w:val="ListBullet2"/>
      </w:pPr>
      <w:r w:rsidRPr="00D82EA7">
        <w:t>interrelationships between National Law and National Regulations and the National Quality Framework</w:t>
      </w:r>
    </w:p>
    <w:p w:rsidR="00000000" w:rsidRPr="00D82EA7" w:rsidP="00D82EA7">
      <w:pPr>
        <w:pStyle w:val="ListBullet2"/>
      </w:pPr>
      <w:r w:rsidRPr="00D82EA7">
        <w:t>requirements of each quality area in the National Quality Standard</w:t>
      </w:r>
    </w:p>
    <w:p w:rsidR="00000000" w:rsidRPr="00D82EA7" w:rsidP="00D82EA7">
      <w:pPr>
        <w:pStyle w:val="ListBullet2"/>
      </w:pPr>
      <w:r w:rsidRPr="00D82EA7">
        <w:t>definition of the assessment and quality rating process</w:t>
      </w:r>
    </w:p>
    <w:p w:rsidR="00000000" w:rsidRPr="00D82EA7" w:rsidP="00D82EA7">
      <w:pPr>
        <w:pStyle w:val="ListBullet2"/>
      </w:pPr>
      <w:r w:rsidRPr="00D82EA7">
        <w:t>definitio</w:t>
      </w:r>
      <w:r w:rsidRPr="00D82EA7">
        <w:t xml:space="preserve">n of an approved learning framework </w:t>
      </w:r>
    </w:p>
    <w:p w:rsidR="00000000" w:rsidRPr="00D82EA7" w:rsidP="00D82EA7">
      <w:pPr>
        <w:pStyle w:val="ListBullet"/>
      </w:pPr>
      <w:r w:rsidRPr="00D82EA7">
        <w:t>types of service policies and procedures that relate to general work practices in children’s education and care:</w:t>
      </w:r>
    </w:p>
    <w:p w:rsidR="00000000" w:rsidRPr="00D82EA7" w:rsidP="00D82EA7">
      <w:pPr>
        <w:pStyle w:val="ListBullet2"/>
      </w:pPr>
      <w:r w:rsidRPr="00D82EA7">
        <w:t>communication and reporting</w:t>
      </w:r>
    </w:p>
    <w:p w:rsidR="00000000" w:rsidRPr="00D82EA7" w:rsidP="00D82EA7">
      <w:pPr>
        <w:pStyle w:val="ListBullet2"/>
      </w:pPr>
      <w:r w:rsidRPr="00D82EA7">
        <w:t>employment conditions</w:t>
      </w:r>
    </w:p>
    <w:p w:rsidR="00000000" w:rsidRPr="00D82EA7" w:rsidP="00D82EA7">
      <w:pPr>
        <w:pStyle w:val="ListBullet2"/>
      </w:pPr>
      <w:r w:rsidRPr="00D82EA7">
        <w:t>personal presentation and uniform standards</w:t>
      </w:r>
    </w:p>
    <w:p w:rsidR="00000000" w:rsidRPr="00D82EA7" w:rsidP="00D82EA7">
      <w:pPr>
        <w:pStyle w:val="ListBullet2"/>
      </w:pPr>
      <w:r w:rsidRPr="00D82EA7">
        <w:t>procedures and expectations for work role activities</w:t>
      </w:r>
    </w:p>
    <w:p w:rsidR="00000000" w:rsidRPr="00D82EA7" w:rsidP="00D82EA7">
      <w:pPr>
        <w:pStyle w:val="ListBullet"/>
      </w:pPr>
      <w:r w:rsidRPr="00D82EA7">
        <w:t>the role of collaboration in providing quality education and care</w:t>
      </w:r>
    </w:p>
    <w:p w:rsidR="00000000" w:rsidRPr="00D82EA7" w:rsidP="00D82EA7">
      <w:pPr>
        <w:pStyle w:val="ListBullet"/>
      </w:pPr>
      <w:r w:rsidRPr="00D82EA7">
        <w:t>foundational knowledge of child developmental theory and early childhood learning</w:t>
      </w:r>
    </w:p>
    <w:p w:rsidR="00000000" w:rsidRPr="00D82EA7" w:rsidP="00D82EA7">
      <w:pPr>
        <w:pStyle w:val="ListBullet"/>
      </w:pPr>
      <w:r w:rsidRPr="00D82EA7">
        <w:t>reflective practice:</w:t>
      </w:r>
    </w:p>
    <w:p w:rsidR="00000000" w:rsidRPr="00D82EA7" w:rsidP="00D82EA7">
      <w:pPr>
        <w:pStyle w:val="ListBullet2"/>
      </w:pPr>
      <w:r w:rsidRPr="00D82EA7">
        <w:t>what is reflection</w:t>
      </w:r>
    </w:p>
    <w:p w:rsidR="00000000" w:rsidRPr="00D82EA7" w:rsidP="00D82EA7">
      <w:pPr>
        <w:pStyle w:val="ListBullet2"/>
      </w:pPr>
      <w:r w:rsidRPr="00D82EA7">
        <w:t>why and how e</w:t>
      </w:r>
      <w:r w:rsidRPr="00D82EA7">
        <w:t>ducators use reflection</w:t>
      </w:r>
    </w:p>
    <w:p w:rsidR="00000000" w:rsidRPr="00D82EA7" w:rsidP="00D82EA7">
      <w:pPr>
        <w:pStyle w:val="ListBullet2"/>
      </w:pPr>
      <w:r w:rsidRPr="00D82EA7">
        <w:t>what is meaningful reflection</w:t>
      </w:r>
    </w:p>
    <w:p w:rsidR="00000000" w:rsidRPr="00D82EA7" w:rsidP="00D82EA7">
      <w:pPr>
        <w:pStyle w:val="ListBullet"/>
      </w:pPr>
      <w:r w:rsidRPr="00D82EA7">
        <w:t>communication techniques and how these are applied in a children’s education and care context:</w:t>
      </w:r>
    </w:p>
    <w:p w:rsidR="00000000" w:rsidRPr="00D82EA7" w:rsidP="00D82EA7">
      <w:pPr>
        <w:pStyle w:val="ListBullet2"/>
      </w:pPr>
      <w:r w:rsidRPr="00D82EA7">
        <w:t>active listening</w:t>
      </w:r>
    </w:p>
    <w:p w:rsidR="00000000" w:rsidRPr="00D82EA7" w:rsidP="00D82EA7">
      <w:pPr>
        <w:pStyle w:val="ListBullet2"/>
      </w:pPr>
      <w:r w:rsidRPr="00D82EA7">
        <w:t>body language</w:t>
      </w:r>
    </w:p>
    <w:p w:rsidR="00000000" w:rsidRPr="00D82EA7" w:rsidP="00D82EA7">
      <w:pPr>
        <w:pStyle w:val="ListBullet2"/>
      </w:pPr>
      <w:r w:rsidRPr="00D82EA7">
        <w:t>conflict resolution</w:t>
      </w:r>
    </w:p>
    <w:p w:rsidR="00000000" w:rsidRPr="00D82EA7" w:rsidP="00D82EA7">
      <w:pPr>
        <w:pStyle w:val="ListBullet2"/>
      </w:pPr>
      <w:r w:rsidRPr="00D82EA7">
        <w:t>methods for conveying information clearly and concisel</w:t>
      </w:r>
      <w:r w:rsidRPr="00D82EA7">
        <w:t>y, both oral and written</w:t>
      </w:r>
    </w:p>
    <w:p w:rsidR="00000000" w:rsidRPr="00D82EA7" w:rsidP="00D82EA7">
      <w:pPr>
        <w:pStyle w:val="ListBullet2"/>
      </w:pPr>
      <w:r w:rsidRPr="00D82EA7">
        <w:t>open and closed questioning</w:t>
      </w:r>
    </w:p>
    <w:p w:rsidR="00000000" w:rsidRPr="00D82EA7" w:rsidP="00D82EA7">
      <w:pPr>
        <w:pStyle w:val="ListBullet2"/>
      </w:pPr>
      <w:r w:rsidRPr="00D82EA7">
        <w:t>verbal and non-verbal cues</w:t>
      </w:r>
    </w:p>
    <w:p w:rsidR="00000000" w:rsidRPr="00D82EA7" w:rsidP="00D82EA7">
      <w:pPr>
        <w:pStyle w:val="ListBullet2"/>
      </w:pPr>
      <w:r w:rsidRPr="00D82EA7">
        <w:t>voice tonality</w:t>
      </w:r>
    </w:p>
    <w:p w:rsidR="00000000" w:rsidRPr="00D82EA7" w:rsidP="00D82EA7">
      <w:pPr>
        <w:pStyle w:val="ListBullet"/>
      </w:pPr>
      <w:r w:rsidRPr="00D82EA7">
        <w:t>importance of own well-being:</w:t>
      </w:r>
    </w:p>
    <w:p w:rsidR="00000000" w:rsidRPr="00D82EA7" w:rsidP="00D82EA7">
      <w:pPr>
        <w:pStyle w:val="ListBullet2"/>
      </w:pPr>
      <w:r w:rsidRPr="00D82EA7">
        <w:t>physical health</w:t>
      </w:r>
    </w:p>
    <w:p w:rsidR="00000000" w:rsidRPr="00D82EA7" w:rsidP="00D82EA7">
      <w:pPr>
        <w:pStyle w:val="ListBullet2"/>
      </w:pPr>
      <w:r w:rsidRPr="00D82EA7">
        <w:t>mental health</w:t>
      </w:r>
    </w:p>
    <w:p w:rsidR="00000000" w:rsidRPr="00D82EA7" w:rsidP="00D82EA7">
      <w:pPr>
        <w:pStyle w:val="ListBullet2"/>
      </w:pPr>
      <w:r w:rsidRPr="00D82EA7">
        <w:t>social and emotional well-being</w:t>
      </w:r>
    </w:p>
    <w:p w:rsidR="00000000" w:rsidRPr="00D82EA7" w:rsidP="00D82EA7">
      <w:pPr>
        <w:pStyle w:val="ListBullet2"/>
      </w:pPr>
      <w:r w:rsidRPr="00D82EA7">
        <w:t>access to supports.</w:t>
      </w:r>
    </w:p>
    <w:p w:rsidR="00000000" w:rsidRPr="00D82EA7" w:rsidP="00D82EA7">
      <w:pPr>
        <w:pStyle w:val="AllowPageBreak"/>
      </w:pPr>
    </w:p>
    <w:p w:rsidR="00000000" w:rsidRPr="00D82EA7" w:rsidP="00D82EA7">
      <w:pPr>
        <w:pStyle w:val="Heading1"/>
      </w:pPr>
      <w:bookmarkStart w:id="4" w:name="O_1182940"/>
      <w:bookmarkEnd w:id="4"/>
      <w:r w:rsidRPr="00D82EA7">
        <w:t>Assessment Conditions</w:t>
      </w:r>
    </w:p>
    <w:p w:rsidR="00000000" w:rsidRPr="00D82EA7" w:rsidP="00BD1BC0">
      <w:pPr>
        <w:pStyle w:val="BodyText"/>
      </w:pPr>
      <w:r w:rsidRPr="00D82EA7">
        <w:t>Skills must be demonstrated in a regulated children’s education and care service in Australia:</w:t>
      </w:r>
    </w:p>
    <w:p w:rsidR="00000000" w:rsidRPr="00D82EA7" w:rsidP="00D82EA7">
      <w:pPr>
        <w:pStyle w:val="ListBullet"/>
      </w:pPr>
      <w:r w:rsidRPr="00D82EA7">
        <w:t>interactions with children must be supervised by an approved early childhood educator.</w:t>
      </w:r>
    </w:p>
    <w:p w:rsidR="00000000" w:rsidRPr="00D82EA7" w:rsidP="00BD1BC0">
      <w:pPr>
        <w:pStyle w:val="BodyText"/>
      </w:pPr>
      <w:r w:rsidRPr="00D82EA7">
        <w:t>Skills related to research may be demonstrated outside of the service but</w:t>
      </w:r>
      <w:r w:rsidRPr="00D82EA7">
        <w:t xml:space="preserve"> must be based on work in a regulated children’s education and care service in Australia. </w:t>
      </w:r>
    </w:p>
    <w:p w:rsidR="00000000" w:rsidRPr="00D82EA7" w:rsidP="00BD1BC0">
      <w:pPr>
        <w:pStyle w:val="BodyText"/>
      </w:pPr>
      <w:r w:rsidRPr="00D82EA7">
        <w:t>Assessment must ensure access to:</w:t>
      </w:r>
    </w:p>
    <w:p w:rsidR="00000000" w:rsidRPr="00D82EA7" w:rsidP="00D82EA7">
      <w:pPr>
        <w:pStyle w:val="ListBullet"/>
      </w:pPr>
      <w:r w:rsidRPr="00D82EA7">
        <w:t>information technology for research</w:t>
      </w:r>
    </w:p>
    <w:p w:rsidR="00000000" w:rsidRPr="00D82EA7" w:rsidP="00D82EA7">
      <w:pPr>
        <w:pStyle w:val="ListBullet"/>
      </w:pPr>
      <w:r w:rsidRPr="00D82EA7">
        <w:t>National Quality Framework:</w:t>
      </w:r>
    </w:p>
    <w:p w:rsidR="00000000" w:rsidRPr="00D82EA7" w:rsidP="00D82EA7">
      <w:pPr>
        <w:pStyle w:val="ListBullet2"/>
      </w:pPr>
      <w:r w:rsidRPr="00D82EA7">
        <w:t>Education and Care Services National Regulations</w:t>
      </w:r>
    </w:p>
    <w:p w:rsidR="00000000" w:rsidRPr="00D82EA7" w:rsidP="00D82EA7">
      <w:pPr>
        <w:pStyle w:val="ListBullet2"/>
      </w:pPr>
      <w:r w:rsidRPr="00D82EA7">
        <w:t>National Quality Standard</w:t>
      </w:r>
    </w:p>
    <w:p w:rsidR="00000000" w:rsidRPr="00D82EA7" w:rsidP="00D82EA7">
      <w:pPr>
        <w:pStyle w:val="ListBullet2"/>
      </w:pPr>
      <w:r w:rsidRPr="00D82EA7">
        <w:t xml:space="preserve">the relevant approved learning framework </w:t>
      </w:r>
    </w:p>
    <w:p w:rsidR="00000000" w:rsidRPr="00D82EA7" w:rsidP="00D82EA7">
      <w:pPr>
        <w:pStyle w:val="ListBullet"/>
      </w:pPr>
      <w:r w:rsidRPr="00D82EA7">
        <w:t>service standards, policies and procedures for:</w:t>
      </w:r>
    </w:p>
    <w:p w:rsidR="00000000" w:rsidRPr="00D82EA7" w:rsidP="00D82EA7">
      <w:pPr>
        <w:pStyle w:val="ListBullet2"/>
      </w:pPr>
      <w:r w:rsidRPr="00D82EA7">
        <w:t>children’s health and safety</w:t>
      </w:r>
    </w:p>
    <w:p w:rsidR="00000000" w:rsidRPr="00D82EA7" w:rsidP="00D82EA7">
      <w:pPr>
        <w:pStyle w:val="ListBullet2"/>
      </w:pPr>
      <w:r w:rsidRPr="00D82EA7">
        <w:t>collaboration with families and communities</w:t>
      </w:r>
    </w:p>
    <w:p w:rsidR="00000000" w:rsidRPr="00D82EA7" w:rsidP="00D82EA7">
      <w:pPr>
        <w:pStyle w:val="ListBullet2"/>
      </w:pPr>
      <w:r w:rsidRPr="00D82EA7">
        <w:t>educational program and practice</w:t>
      </w:r>
    </w:p>
    <w:p w:rsidR="00000000" w:rsidRPr="00D82EA7" w:rsidP="00D82EA7">
      <w:pPr>
        <w:pStyle w:val="ListBullet2"/>
      </w:pPr>
      <w:r w:rsidRPr="00D82EA7">
        <w:t>physical environment</w:t>
      </w:r>
    </w:p>
    <w:p w:rsidR="00000000" w:rsidRPr="00D82EA7" w:rsidP="00D82EA7">
      <w:pPr>
        <w:pStyle w:val="ListBullet2"/>
      </w:pPr>
      <w:r w:rsidRPr="00D82EA7">
        <w:t>relationshi</w:t>
      </w:r>
      <w:r w:rsidRPr="00D82EA7">
        <w:t>ps with children</w:t>
      </w:r>
    </w:p>
    <w:p w:rsidR="00000000" w:rsidRPr="00D82EA7" w:rsidP="00D82EA7">
      <w:pPr>
        <w:pStyle w:val="ListBullet"/>
      </w:pPr>
      <w:r w:rsidRPr="00D82EA7">
        <w:t>colleagues and supervisor for communication and collaboration.</w:t>
      </w:r>
    </w:p>
    <w:p w:rsidR="00000000" w:rsidRPr="00D82EA7" w:rsidP="00BD1BC0">
      <w:pPr>
        <w:pStyle w:val="BodyText"/>
      </w:pPr>
      <w:r w:rsidRPr="00D82EA7">
        <w:t>Assessors must satisfy the Standards for Registered Training Organisations’ requirements for assessors.</w:t>
      </w:r>
    </w:p>
    <w:p w:rsidR="00000000" w:rsidRPr="00D82EA7" w:rsidP="00D82EA7">
      <w:pPr>
        <w:pStyle w:val="Heading1"/>
      </w:pPr>
      <w:bookmarkStart w:id="5" w:name="O_1182943"/>
      <w:bookmarkEnd w:id="5"/>
      <w:r w:rsidRPr="00D82EA7">
        <w:t>Links</w:t>
      </w:r>
    </w:p>
    <w:p w:rsidR="00000000" w:rsidRPr="00D82EA7" w:rsidP="00BD1BC0">
      <w:pPr>
        <w:pStyle w:val="BodyText"/>
      </w:pPr>
      <w:r w:rsidRPr="00D82EA7">
        <w:t>Companion Volume implementation guides are fou</w:t>
      </w:r>
      <w:r w:rsidRPr="00D82EA7">
        <w:t xml:space="preserve">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8450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82EA7" w:rsidP="00D82EA7"/>
    <w:sectPr w:rsidSect="00D82E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E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EA7" w:rsidRPr="00BD1BC0" w:rsidP="00BD1B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E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BC0" w:rsidP="00D82E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1BC0" w:rsidP="00D82E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D1BC0" w:rsidP="00D82E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E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B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2EA7" w:rsidRPr="00BD1BC0" w:rsidP="00BD1B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E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BC0" w:rsidRPr="002D2AF8" w:rsidP="00D82E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CHCECE056 Work effectively in children's education and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D1BC0" w:rsidP="00D82E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8E0B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560E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BA2E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E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2E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2E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2E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2E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2E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2E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2E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2E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2E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2E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2EA7"/>
  </w:style>
  <w:style w:type="character" w:customStyle="1" w:styleId="Heading1Char">
    <w:name w:val="Heading 1 Char"/>
    <w:basedOn w:val="DefaultParagraphFont"/>
    <w:link w:val="Heading1"/>
    <w:rsid w:val="00D82E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2E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2E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2EA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2E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2E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2E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2E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2E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2E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2E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2E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2E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2E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2E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2E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2E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2E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2E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2E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2E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2E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2E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2E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2E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2E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2E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2EA7"/>
    <w:rPr>
      <w:b/>
      <w:spacing w:val="0"/>
    </w:rPr>
  </w:style>
  <w:style w:type="paragraph" w:customStyle="1" w:styleId="SuperTitle">
    <w:name w:val="SuperTitle"/>
    <w:basedOn w:val="Title"/>
    <w:rsid w:val="00D82E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2E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2E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2E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2E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2E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2E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2E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2E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2E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2E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2E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2EA7"/>
    <w:rPr>
      <w:i/>
    </w:rPr>
  </w:style>
  <w:style w:type="paragraph" w:styleId="Caption">
    <w:name w:val="caption"/>
    <w:basedOn w:val="BodyText"/>
    <w:next w:val="Normal"/>
    <w:qFormat/>
    <w:rsid w:val="00D82E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2E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2E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2EA7"/>
  </w:style>
  <w:style w:type="paragraph" w:styleId="TableofFigures">
    <w:name w:val="table of figures"/>
    <w:basedOn w:val="Normal"/>
    <w:next w:val="Normal"/>
    <w:semiHidden/>
    <w:rsid w:val="00D82E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2E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2EA7"/>
    <w:rPr>
      <w:rFonts w:ascii="Wingdings" w:hAnsi="Wingdings"/>
    </w:rPr>
  </w:style>
  <w:style w:type="paragraph" w:customStyle="1" w:styleId="TableHeading">
    <w:name w:val="Table Heading"/>
    <w:basedOn w:val="HeadingBase"/>
    <w:rsid w:val="00D82E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2EA7"/>
    <w:rPr>
      <w:color w:val="0033CC"/>
      <w:u w:val="none"/>
    </w:rPr>
  </w:style>
  <w:style w:type="paragraph" w:customStyle="1" w:styleId="BodyTextRight">
    <w:name w:val="Body Text Right"/>
    <w:basedOn w:val="BodyText"/>
    <w:rsid w:val="00D82E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2E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2E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2E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2E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2E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2EA7"/>
    <w:rPr>
      <w:sz w:val="32"/>
    </w:rPr>
  </w:style>
  <w:style w:type="paragraph" w:customStyle="1" w:styleId="HeadingProcedure">
    <w:name w:val="Heading Procedure"/>
    <w:basedOn w:val="HeadingBase"/>
    <w:next w:val="Normal"/>
    <w:rsid w:val="00D82E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2EA7"/>
    <w:pPr>
      <w:spacing w:before="60" w:after="60"/>
    </w:pPr>
  </w:style>
  <w:style w:type="paragraph" w:styleId="ListContinue">
    <w:name w:val="List Continue"/>
    <w:basedOn w:val="List"/>
    <w:rsid w:val="00D82EA7"/>
    <w:pPr>
      <w:ind w:firstLine="0"/>
    </w:pPr>
  </w:style>
  <w:style w:type="paragraph" w:customStyle="1" w:styleId="ListNote">
    <w:name w:val="List Note"/>
    <w:basedOn w:val="List"/>
    <w:rsid w:val="00D82E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2E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2E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2EA7"/>
    <w:rPr>
      <w:rFonts w:ascii="Courier New" w:hAnsi="Courier New"/>
    </w:rPr>
  </w:style>
  <w:style w:type="paragraph" w:customStyle="1" w:styleId="NoteBullet">
    <w:name w:val="Note Bullet"/>
    <w:basedOn w:val="Note"/>
    <w:rsid w:val="00D82E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2E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2E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2E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2E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2E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2E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2EA7"/>
    <w:rPr>
      <w:b/>
      <w:smallCaps/>
    </w:rPr>
  </w:style>
  <w:style w:type="paragraph" w:customStyle="1" w:styleId="TableListNumber">
    <w:name w:val="Table List Number"/>
    <w:basedOn w:val="ListNumber"/>
    <w:rsid w:val="00D82E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2E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2EA7"/>
    <w:pPr>
      <w:numPr>
        <w:numId w:val="9"/>
      </w:numPr>
    </w:pPr>
  </w:style>
  <w:style w:type="paragraph" w:customStyle="1" w:styleId="ListAlpha2">
    <w:name w:val="List Alpha 2"/>
    <w:basedOn w:val="List2"/>
    <w:rsid w:val="00D82EA7"/>
    <w:pPr>
      <w:numPr>
        <w:numId w:val="8"/>
      </w:numPr>
    </w:pPr>
  </w:style>
  <w:style w:type="paragraph" w:styleId="List2">
    <w:name w:val="List 2"/>
    <w:basedOn w:val="BodyText"/>
    <w:rsid w:val="00D82E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2E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2E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2E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2E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2E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2EA7"/>
    <w:pPr>
      <w:numPr>
        <w:numId w:val="4"/>
      </w:numPr>
    </w:pPr>
  </w:style>
  <w:style w:type="paragraph" w:styleId="ListContinue2">
    <w:name w:val="List Continue 2"/>
    <w:basedOn w:val="List2"/>
    <w:rsid w:val="00D82EA7"/>
    <w:pPr>
      <w:ind w:firstLine="0"/>
    </w:pPr>
  </w:style>
  <w:style w:type="paragraph" w:styleId="ListContinue3">
    <w:name w:val="List Continue 3"/>
    <w:basedOn w:val="List3"/>
    <w:rsid w:val="00D82EA7"/>
    <w:pPr>
      <w:ind w:left="1021" w:firstLine="0"/>
    </w:pPr>
  </w:style>
  <w:style w:type="paragraph" w:styleId="ListContinue4">
    <w:name w:val="List Continue 4"/>
    <w:basedOn w:val="List4"/>
    <w:rsid w:val="00D82EA7"/>
    <w:pPr>
      <w:ind w:firstLine="0"/>
    </w:pPr>
  </w:style>
  <w:style w:type="paragraph" w:styleId="ListContinue5">
    <w:name w:val="List Continue 5"/>
    <w:basedOn w:val="List5"/>
    <w:rsid w:val="00D82EA7"/>
    <w:pPr>
      <w:ind w:firstLine="0"/>
    </w:pPr>
  </w:style>
  <w:style w:type="paragraph" w:styleId="ListNumber3">
    <w:name w:val="List Number 3"/>
    <w:basedOn w:val="List3"/>
    <w:rsid w:val="00D82EA7"/>
    <w:pPr>
      <w:numPr>
        <w:numId w:val="5"/>
      </w:numPr>
    </w:pPr>
  </w:style>
  <w:style w:type="paragraph" w:styleId="ListNumber4">
    <w:name w:val="List Number 4"/>
    <w:basedOn w:val="List4"/>
    <w:rsid w:val="00D82EA7"/>
    <w:pPr>
      <w:numPr>
        <w:numId w:val="6"/>
      </w:numPr>
    </w:pPr>
  </w:style>
  <w:style w:type="paragraph" w:styleId="ListNumber5">
    <w:name w:val="List Number 5"/>
    <w:basedOn w:val="List5"/>
    <w:rsid w:val="00D82EA7"/>
    <w:pPr>
      <w:numPr>
        <w:numId w:val="7"/>
      </w:numPr>
    </w:pPr>
  </w:style>
  <w:style w:type="paragraph" w:styleId="BlockText">
    <w:name w:val="Block Text"/>
    <w:basedOn w:val="Normal"/>
    <w:rsid w:val="00D82E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2E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2EA7"/>
    <w:rPr>
      <w:sz w:val="16"/>
      <w:vertAlign w:val="superscript"/>
    </w:rPr>
  </w:style>
  <w:style w:type="character" w:customStyle="1" w:styleId="Symbols">
    <w:name w:val="Symbols"/>
    <w:basedOn w:val="DefaultParagraphFont"/>
    <w:rsid w:val="00D82EA7"/>
    <w:rPr>
      <w:rFonts w:ascii="Symbol" w:hAnsi="Symbol"/>
    </w:rPr>
  </w:style>
  <w:style w:type="character" w:customStyle="1" w:styleId="MenuOptions">
    <w:name w:val="Menu Options"/>
    <w:basedOn w:val="DefaultParagraphFont"/>
    <w:rsid w:val="00D82E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2EA7"/>
    <w:rPr>
      <w:b/>
    </w:rPr>
  </w:style>
  <w:style w:type="character" w:customStyle="1" w:styleId="Underlined">
    <w:name w:val="Underlined"/>
    <w:basedOn w:val="DefaultParagraphFont"/>
    <w:rsid w:val="00D82EA7"/>
    <w:rPr>
      <w:u w:val="single"/>
    </w:rPr>
  </w:style>
  <w:style w:type="paragraph" w:customStyle="1" w:styleId="TableBodyTextRight">
    <w:name w:val="Table Body Text Right"/>
    <w:basedOn w:val="TableBodyText"/>
    <w:rsid w:val="00D82E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2EA7"/>
    <w:rPr>
      <w:sz w:val="18"/>
    </w:rPr>
  </w:style>
  <w:style w:type="paragraph" w:customStyle="1" w:styleId="BodySmallRight">
    <w:name w:val="Body Small Right"/>
    <w:basedOn w:val="BodyTextRight"/>
    <w:rsid w:val="00D82EA7"/>
    <w:rPr>
      <w:sz w:val="18"/>
      <w:szCs w:val="18"/>
    </w:rPr>
  </w:style>
  <w:style w:type="paragraph" w:customStyle="1" w:styleId="MarginEdition">
    <w:name w:val="Margin Edition"/>
    <w:basedOn w:val="MarginNote"/>
    <w:rsid w:val="00D82E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2EA7"/>
    <w:rPr>
      <w:sz w:val="2"/>
      <w:szCs w:val="2"/>
    </w:rPr>
  </w:style>
  <w:style w:type="character" w:customStyle="1" w:styleId="Small">
    <w:name w:val="Small"/>
    <w:basedOn w:val="DefaultParagraphFont"/>
    <w:rsid w:val="00D82EA7"/>
    <w:rPr>
      <w:sz w:val="16"/>
    </w:rPr>
  </w:style>
  <w:style w:type="paragraph" w:customStyle="1" w:styleId="WideTable">
    <w:name w:val="Wide Table"/>
    <w:basedOn w:val="Normal"/>
    <w:rsid w:val="00D82E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2EA7"/>
  </w:style>
  <w:style w:type="paragraph" w:styleId="Quote">
    <w:name w:val="Quote"/>
    <w:basedOn w:val="Heading1"/>
    <w:link w:val="QuoteChar"/>
    <w:qFormat/>
    <w:rsid w:val="00D82E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2E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2EA7"/>
    <w:pPr>
      <w:pageBreakBefore/>
    </w:pPr>
  </w:style>
  <w:style w:type="paragraph" w:customStyle="1" w:styleId="Border">
    <w:name w:val="Border"/>
    <w:basedOn w:val="Normal"/>
    <w:qFormat/>
    <w:rsid w:val="00D82E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2E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E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E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2E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2E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2E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2E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2E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2EA7"/>
    <w:rPr>
      <w:u w:val="single"/>
    </w:rPr>
  </w:style>
  <w:style w:type="character" w:customStyle="1" w:styleId="BoldandItalics">
    <w:name w:val="Bold and Italics"/>
    <w:qFormat/>
    <w:rsid w:val="00D82EA7"/>
    <w:rPr>
      <w:b/>
      <w:i/>
      <w:u w:val="none"/>
    </w:rPr>
  </w:style>
  <w:style w:type="paragraph" w:styleId="BalloonText">
    <w:name w:val="Balloon Text"/>
    <w:basedOn w:val="Normal"/>
    <w:link w:val="BalloonTextChar"/>
    <w:rsid w:val="00D82E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2E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2E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2E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2E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2E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2EA7"/>
    <w:pPr>
      <w:spacing w:before="0" w:after="0"/>
    </w:pPr>
  </w:style>
  <w:style w:type="paragraph" w:customStyle="1" w:styleId="BodyTextBold">
    <w:name w:val="Body Text Bold"/>
    <w:basedOn w:val="BodyText"/>
    <w:qFormat/>
    <w:rsid w:val="00D82EA7"/>
    <w:rPr>
      <w:b/>
    </w:rPr>
  </w:style>
  <w:style w:type="character" w:styleId="Hyperlink">
    <w:name w:val="Hyperlink"/>
    <w:basedOn w:val="DefaultParagraphFont"/>
    <w:uiPriority w:val="99"/>
    <w:unhideWhenUsed/>
    <w:rsid w:val="00BD1B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493</Words>
  <Characters>3304</Characters>
  <Application>Microsoft Office Word</Application>
  <DocSecurity>0</DocSecurity>
  <Lines>94</Lines>
  <Paragraphs>82</Paragraphs>
  <ScaleCrop>false</ScaleCrop>
  <Company>Author-it Software Corporation Ltd.</Company>
  <LinksUpToDate>false</LinksUpToDate>
  <CharactersWithSpaces>3715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CHCECE056 Work effectively in children's education and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2023-07-01T04:20:00Z</dcterms:created>
  <dcterms:modified xsi:type="dcterms:W3CDTF">2023-07-01T04:20:00Z</dcterms:modified>
</cp:coreProperties>
</file>