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766" w:rsidP="006077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CHCECE055 Meet legal and ethical obligations in children’s education and care</w:t>
      </w:r>
      <w:r>
        <w:fldChar w:fldCharType="end"/>
      </w:r>
    </w:p>
    <w:p w:rsidR="00607766" w:rsidP="00607766">
      <w:pPr>
        <w:pStyle w:val="Version"/>
        <w:sectPr w:rsidSect="00C22C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22CCB" w:rsidP="00C22CCB">
      <w:pPr>
        <w:pStyle w:val="SuperHeading"/>
      </w:pPr>
      <w:r w:rsidRPr="00C22CCB">
        <w:t>Assessment Requirements for CHCECE055 Meet legal and ethical obligations in children</w:t>
      </w:r>
      <w:r>
        <w:t>’</w:t>
      </w:r>
      <w:r w:rsidRPr="00C22CCB">
        <w:t>s education and care</w:t>
      </w:r>
    </w:p>
    <w:p w:rsidR="00000000" w:rsidRPr="00C22CCB" w:rsidP="00C22CCB">
      <w:pPr>
        <w:pStyle w:val="Heading1"/>
      </w:pPr>
      <w:bookmarkStart w:id="1" w:name="O_1202439"/>
      <w:bookmarkEnd w:id="1"/>
      <w:r w:rsidRPr="00C22CCB">
        <w:t>Modification History</w:t>
      </w:r>
    </w:p>
    <w:p w:rsidR="00000000" w:rsidRPr="00C22CCB" w:rsidP="00607766">
      <w:pPr>
        <w:pStyle w:val="BodyText"/>
      </w:pPr>
      <w:r w:rsidRPr="00C22CCB">
        <w:t xml:space="preserve">Release 2. Minor changes.  Equivalent outcome. </w:t>
      </w:r>
    </w:p>
    <w:p w:rsidR="00000000" w:rsidRPr="00C22CCB" w:rsidP="00607766">
      <w:pPr>
        <w:pStyle w:val="BodyText"/>
      </w:pPr>
      <w:r w:rsidRPr="00C22CCB">
        <w:t xml:space="preserve">Release 1. CHCECE055 Meet legal and ethical obligations in children’s education and care. New unit. No equivalent unit. </w:t>
      </w:r>
    </w:p>
    <w:p w:rsidR="00000000" w:rsidRPr="00C22CCB" w:rsidP="00C22CCB">
      <w:pPr>
        <w:pStyle w:val="Heading1"/>
      </w:pPr>
      <w:bookmarkStart w:id="2" w:name="O_1202438"/>
      <w:bookmarkEnd w:id="2"/>
      <w:r w:rsidRPr="00C22CCB">
        <w:t>Performance Evidence</w:t>
      </w:r>
    </w:p>
    <w:p w:rsidR="00000000" w:rsidRPr="00C22CCB" w:rsidP="00607766">
      <w:pPr>
        <w:pStyle w:val="BodyText"/>
      </w:pPr>
      <w:r w:rsidRPr="00C22CCB">
        <w:t>Evidence of the ability to complete tasks outlined in elements and performance criteria of this</w:t>
      </w:r>
      <w:r w:rsidRPr="00C22CCB">
        <w:t xml:space="preserve"> unit in the context of the job role, and:</w:t>
      </w:r>
    </w:p>
    <w:p w:rsidR="00000000" w:rsidRPr="00C22CCB" w:rsidP="00C22CCB">
      <w:pPr>
        <w:pStyle w:val="ListBullet"/>
      </w:pPr>
      <w:r w:rsidRPr="00C22CCB">
        <w:t>complete one work activity in at least four of the following areas of practice, demonstrating fulfilment of legal and ethical obligations:</w:t>
      </w:r>
    </w:p>
    <w:p w:rsidR="00000000" w:rsidRPr="00C22CCB" w:rsidP="00C22CCB">
      <w:pPr>
        <w:pStyle w:val="ListBullet2"/>
      </w:pPr>
      <w:r w:rsidRPr="00C22CCB">
        <w:t>health, safety and wellbeing</w:t>
      </w:r>
    </w:p>
    <w:p w:rsidR="00000000" w:rsidRPr="00C22CCB" w:rsidP="00C22CCB">
      <w:pPr>
        <w:pStyle w:val="ListBullet2"/>
      </w:pPr>
      <w:r w:rsidRPr="00C22CCB">
        <w:t>incidents, injury, trauma and illness</w:t>
      </w:r>
    </w:p>
    <w:p w:rsidR="00000000" w:rsidRPr="00C22CCB" w:rsidP="00C22CCB">
      <w:pPr>
        <w:pStyle w:val="ListBullet2"/>
      </w:pPr>
      <w:r w:rsidRPr="00C22CCB">
        <w:t>respo</w:t>
      </w:r>
      <w:r w:rsidRPr="00C22CCB">
        <w:t>nse to medical condition</w:t>
      </w:r>
    </w:p>
    <w:p w:rsidR="00000000" w:rsidRPr="00C22CCB" w:rsidP="00C22CCB">
      <w:pPr>
        <w:pStyle w:val="ListBullet2"/>
      </w:pPr>
      <w:r w:rsidRPr="00C22CCB">
        <w:t>emergency response</w:t>
      </w:r>
    </w:p>
    <w:p w:rsidR="00000000" w:rsidRPr="00C22CCB" w:rsidP="00C22CCB">
      <w:pPr>
        <w:pStyle w:val="ListBullet2"/>
      </w:pPr>
      <w:r w:rsidRPr="00C22CCB">
        <w:t>governance and leadership</w:t>
      </w:r>
    </w:p>
    <w:p w:rsidR="00000000" w:rsidRPr="00C22CCB" w:rsidP="00C22CCB">
      <w:pPr>
        <w:pStyle w:val="ListBullet2"/>
      </w:pPr>
      <w:r w:rsidRPr="00C22CCB">
        <w:t>physical environment</w:t>
      </w:r>
    </w:p>
    <w:p w:rsidR="00000000" w:rsidRPr="00C22CCB" w:rsidP="00C22CCB">
      <w:pPr>
        <w:pStyle w:val="ListBullet2"/>
      </w:pPr>
      <w:r w:rsidRPr="00C22CCB">
        <w:t>staffing arrangements</w:t>
      </w:r>
    </w:p>
    <w:p w:rsidR="00000000" w:rsidRPr="00C22CCB" w:rsidP="00C22CCB">
      <w:pPr>
        <w:pStyle w:val="ListBullet"/>
      </w:pPr>
      <w:r w:rsidRPr="00C22CCB">
        <w:t>develop appropriate responses to at least three different legal or ethical issues or dilemmas relevant to the work role.</w:t>
      </w:r>
    </w:p>
    <w:p w:rsidR="00000000" w:rsidRPr="00C22CCB" w:rsidP="00C22CCB">
      <w:pPr>
        <w:pStyle w:val="AllowPageBreak"/>
      </w:pPr>
    </w:p>
    <w:p w:rsidR="00000000" w:rsidRPr="00C22CCB" w:rsidP="00C22CCB">
      <w:pPr>
        <w:pStyle w:val="Heading1"/>
      </w:pPr>
      <w:bookmarkStart w:id="3" w:name="O_1202437"/>
      <w:bookmarkEnd w:id="3"/>
      <w:r w:rsidRPr="00C22CCB">
        <w:t>Knowledge Evidence</w:t>
      </w:r>
    </w:p>
    <w:p w:rsidR="00000000" w:rsidRPr="00C22CCB" w:rsidP="00607766">
      <w:pPr>
        <w:pStyle w:val="BodyText"/>
      </w:pPr>
      <w:r w:rsidRPr="00C22CCB">
        <w:t>Demonstrated knowledge required to complete the tasks outlined in elements and performance criteria of this unit:</w:t>
      </w:r>
    </w:p>
    <w:p w:rsidR="00000000" w:rsidRPr="00C22CCB" w:rsidP="00C22CCB">
      <w:pPr>
        <w:pStyle w:val="ListBullet"/>
      </w:pPr>
      <w:r w:rsidRPr="00C22CCB">
        <w:t>the National Quality Framework and its key components</w:t>
      </w:r>
    </w:p>
    <w:p w:rsidR="00000000" w:rsidRPr="00C22CCB" w:rsidP="00C22CCB">
      <w:pPr>
        <w:pStyle w:val="ListBullet"/>
      </w:pPr>
      <w:r w:rsidRPr="00C22CCB">
        <w:t>the role of state/territory regulatory authorities</w:t>
      </w:r>
    </w:p>
    <w:p w:rsidR="00000000" w:rsidRPr="00C22CCB" w:rsidP="00C22CCB">
      <w:pPr>
        <w:pStyle w:val="ListBullet"/>
      </w:pPr>
      <w:r w:rsidRPr="00C22CCB">
        <w:t xml:space="preserve">educator duty of </w:t>
      </w:r>
      <w:r w:rsidRPr="00C22CCB">
        <w:t>care responsibilities</w:t>
      </w:r>
    </w:p>
    <w:p w:rsidR="00000000" w:rsidRPr="00C22CCB" w:rsidP="00C22CCB">
      <w:pPr>
        <w:pStyle w:val="ListBullet"/>
      </w:pPr>
      <w:r w:rsidRPr="00C22CCB">
        <w:t>key aspects of the regulatory environment for children’s education and care:</w:t>
      </w:r>
    </w:p>
    <w:p w:rsidR="00000000" w:rsidRPr="00C22CCB" w:rsidP="00C22CCB">
      <w:pPr>
        <w:pStyle w:val="ListBullet2"/>
      </w:pPr>
      <w:r w:rsidRPr="00C22CCB">
        <w:t>Education and Care Services National Law and Regulations</w:t>
      </w:r>
    </w:p>
    <w:p w:rsidR="00000000" w:rsidRPr="00C22CCB" w:rsidP="00C22CCB">
      <w:pPr>
        <w:pStyle w:val="ListBullet2"/>
      </w:pPr>
      <w:r w:rsidRPr="00C22CCB">
        <w:t>interrelationships between National Law and Regulations and the National Quality Framework</w:t>
      </w:r>
    </w:p>
    <w:p w:rsidR="00000000" w:rsidRPr="00C22CCB" w:rsidP="00C22CCB">
      <w:pPr>
        <w:pStyle w:val="ListBullet2"/>
      </w:pPr>
      <w:r w:rsidRPr="00C22CCB">
        <w:t>how to n</w:t>
      </w:r>
      <w:r w:rsidRPr="00C22CCB">
        <w:t>avigate the regulatory documents</w:t>
      </w:r>
    </w:p>
    <w:p w:rsidR="00000000" w:rsidRPr="00C22CCB" w:rsidP="00C22CCB">
      <w:pPr>
        <w:pStyle w:val="ListBullet2"/>
      </w:pPr>
      <w:r w:rsidRPr="00C22CCB">
        <w:t>staffing arrangements:</w:t>
      </w:r>
    </w:p>
    <w:p w:rsidR="00000000" w:rsidRPr="00C22CCB" w:rsidP="00C22CCB">
      <w:pPr>
        <w:pStyle w:val="ListBullet3"/>
      </w:pPr>
      <w:r w:rsidRPr="00C22CCB">
        <w:t>minimum requirements for persons in charge</w:t>
      </w:r>
    </w:p>
    <w:p w:rsidR="00000000" w:rsidRPr="00C22CCB" w:rsidP="00C22CCB">
      <w:pPr>
        <w:pStyle w:val="ListBullet3"/>
      </w:pPr>
      <w:r w:rsidRPr="00C22CCB">
        <w:t>educator to child ratios</w:t>
      </w:r>
    </w:p>
    <w:p w:rsidR="00000000" w:rsidRPr="00C22CCB" w:rsidP="00C22CCB">
      <w:pPr>
        <w:pStyle w:val="ListBullet3"/>
      </w:pPr>
      <w:r w:rsidRPr="00C22CCB">
        <w:t>educational qualifications</w:t>
      </w:r>
    </w:p>
    <w:p w:rsidR="00000000" w:rsidRPr="00C22CCB" w:rsidP="00C22CCB">
      <w:pPr>
        <w:pStyle w:val="ListBullet3"/>
      </w:pPr>
      <w:r w:rsidRPr="00C22CCB">
        <w:t>first aid qualifications</w:t>
      </w:r>
    </w:p>
    <w:p w:rsidR="00000000" w:rsidRPr="00C22CCB" w:rsidP="00C22CCB">
      <w:pPr>
        <w:pStyle w:val="ListBullet3"/>
      </w:pPr>
      <w:r w:rsidRPr="00C22CCB">
        <w:t>staff and educator records</w:t>
      </w:r>
    </w:p>
    <w:p w:rsidR="00000000" w:rsidRPr="00C22CCB" w:rsidP="00C22CCB">
      <w:pPr>
        <w:pStyle w:val="ListBullet2"/>
      </w:pPr>
      <w:r w:rsidRPr="00C22CCB">
        <w:t>information management:</w:t>
      </w:r>
    </w:p>
    <w:p w:rsidR="00000000" w:rsidRPr="00C22CCB" w:rsidP="00C22CCB">
      <w:pPr>
        <w:pStyle w:val="ListBullet3"/>
      </w:pPr>
      <w:r w:rsidRPr="00C22CCB">
        <w:t>record keeping and accessibility of information</w:t>
      </w:r>
    </w:p>
    <w:p w:rsidR="00000000" w:rsidRPr="00C22CCB" w:rsidP="00C22CCB">
      <w:pPr>
        <w:pStyle w:val="ListBullet3"/>
      </w:pPr>
      <w:r w:rsidRPr="00C22CCB">
        <w:t>privacy and confidentiality</w:t>
      </w:r>
    </w:p>
    <w:p w:rsidR="00000000" w:rsidRPr="00C22CCB" w:rsidP="00C22CCB">
      <w:pPr>
        <w:pStyle w:val="ListBullet3"/>
      </w:pPr>
      <w:r w:rsidRPr="00C22CCB">
        <w:t>data security and sharing protocols</w:t>
      </w:r>
    </w:p>
    <w:p w:rsidR="00000000" w:rsidRPr="00C22CCB" w:rsidP="00C22CCB">
      <w:pPr>
        <w:pStyle w:val="ListBullet3"/>
      </w:pPr>
      <w:r w:rsidRPr="00C22CCB">
        <w:t>legislated storage requirements</w:t>
      </w:r>
    </w:p>
    <w:p w:rsidR="00000000" w:rsidRPr="00C22CCB" w:rsidP="00C22CCB">
      <w:pPr>
        <w:pStyle w:val="ListBullet3"/>
      </w:pPr>
      <w:r w:rsidRPr="00C22CCB">
        <w:t>accessibility of information</w:t>
      </w:r>
    </w:p>
    <w:p w:rsidR="00000000" w:rsidRPr="00C22CCB" w:rsidP="00C22CCB">
      <w:pPr>
        <w:pStyle w:val="ListBullet"/>
      </w:pPr>
      <w:r w:rsidRPr="00C22CCB">
        <w:t>United Nations Convention on the Rights of the Child:</w:t>
      </w:r>
    </w:p>
    <w:p w:rsidR="00000000" w:rsidRPr="00C22CCB" w:rsidP="00C22CCB">
      <w:pPr>
        <w:pStyle w:val="ListBullet2"/>
      </w:pPr>
      <w:r w:rsidRPr="00C22CCB">
        <w:t>its purpose</w:t>
      </w:r>
    </w:p>
    <w:p w:rsidR="00000000" w:rsidRPr="00C22CCB" w:rsidP="00C22CCB">
      <w:pPr>
        <w:pStyle w:val="ListBullet2"/>
      </w:pPr>
      <w:r w:rsidRPr="00C22CCB">
        <w:t xml:space="preserve">the articles relevant to children’s education and care </w:t>
      </w:r>
    </w:p>
    <w:p w:rsidR="00000000" w:rsidRPr="00C22CCB" w:rsidP="00C22CCB">
      <w:pPr>
        <w:pStyle w:val="ListBullet"/>
      </w:pPr>
      <w:r w:rsidRPr="00C22CCB">
        <w:t>Early Childhood Australia (ECA) Code of Ethics:</w:t>
      </w:r>
    </w:p>
    <w:p w:rsidR="00000000" w:rsidRPr="00C22CCB" w:rsidP="00C22CCB">
      <w:pPr>
        <w:pStyle w:val="ListBullet2"/>
      </w:pPr>
      <w:r w:rsidRPr="00C22CCB">
        <w:t>definitions used</w:t>
      </w:r>
    </w:p>
    <w:p w:rsidR="00000000" w:rsidRPr="00C22CCB" w:rsidP="00C22CCB">
      <w:pPr>
        <w:pStyle w:val="ListBullet2"/>
      </w:pPr>
      <w:r w:rsidRPr="00C22CCB">
        <w:t>core principles</w:t>
      </w:r>
    </w:p>
    <w:p w:rsidR="00000000" w:rsidRPr="00C22CCB" w:rsidP="00C22CCB">
      <w:pPr>
        <w:pStyle w:val="ListBullet2"/>
      </w:pPr>
      <w:r w:rsidRPr="00C22CCB">
        <w:t>commitments to action</w:t>
      </w:r>
    </w:p>
    <w:p w:rsidR="00000000" w:rsidRPr="00C22CCB" w:rsidP="00C22CCB">
      <w:pPr>
        <w:pStyle w:val="ListBullet"/>
      </w:pPr>
      <w:r w:rsidRPr="00C22CCB">
        <w:t>overview of individual educator legal and ethical considerations when dealing with families:</w:t>
      </w:r>
    </w:p>
    <w:p w:rsidR="00000000" w:rsidRPr="00C22CCB" w:rsidP="00C22CCB">
      <w:pPr>
        <w:pStyle w:val="ListBullet2"/>
      </w:pPr>
      <w:r w:rsidRPr="00C22CCB">
        <w:t>child custody</w:t>
      </w:r>
    </w:p>
    <w:p w:rsidR="00000000" w:rsidRPr="00C22CCB" w:rsidP="00C22CCB">
      <w:pPr>
        <w:pStyle w:val="ListBullet2"/>
      </w:pPr>
      <w:r w:rsidRPr="00C22CCB">
        <w:t>child protection</w:t>
      </w:r>
    </w:p>
    <w:p w:rsidR="00000000" w:rsidRPr="00C22CCB" w:rsidP="00C22CCB">
      <w:pPr>
        <w:pStyle w:val="ListBullet2"/>
      </w:pPr>
      <w:r w:rsidRPr="00C22CCB">
        <w:t>confidentiality and privacy</w:t>
      </w:r>
    </w:p>
    <w:p w:rsidR="00000000" w:rsidRPr="00C22CCB" w:rsidP="00C22CCB">
      <w:pPr>
        <w:pStyle w:val="ListBullet2"/>
      </w:pPr>
      <w:r w:rsidRPr="00C22CCB">
        <w:t>family and service rights and responsibilities</w:t>
      </w:r>
    </w:p>
    <w:p w:rsidR="00000000" w:rsidRPr="00C22CCB" w:rsidP="00C22CCB">
      <w:pPr>
        <w:pStyle w:val="ListBullet"/>
      </w:pPr>
      <w:r w:rsidRPr="00C22CCB">
        <w:t>the similarities, differences and interrelationships between legal and ethical issues in the context of children’s education and care</w:t>
      </w:r>
    </w:p>
    <w:p w:rsidR="00000000" w:rsidRPr="00C22CCB" w:rsidP="00C22CCB">
      <w:pPr>
        <w:pStyle w:val="ListBullet"/>
      </w:pPr>
      <w:r w:rsidRPr="00C22CCB">
        <w:t>potential legal</w:t>
      </w:r>
      <w:r w:rsidRPr="00C22CCB">
        <w:t xml:space="preserve"> and ethical issues and dilemmas that may arise and how to respond</w:t>
      </w:r>
    </w:p>
    <w:p w:rsidR="00000000" w:rsidRPr="00C22CCB" w:rsidP="00C22CCB">
      <w:pPr>
        <w:pStyle w:val="ListBullet"/>
      </w:pPr>
      <w:r w:rsidRPr="00C22CCB">
        <w:t>conflict of interest:</w:t>
      </w:r>
    </w:p>
    <w:p w:rsidR="00000000" w:rsidRPr="00C22CCB" w:rsidP="00C22CCB">
      <w:pPr>
        <w:pStyle w:val="ListBullet2"/>
      </w:pPr>
      <w:r w:rsidRPr="00C22CCB">
        <w:t>identifying real and perceived conflicts of interest</w:t>
      </w:r>
    </w:p>
    <w:p w:rsidR="00000000" w:rsidRPr="00C22CCB" w:rsidP="00C22CCB">
      <w:pPr>
        <w:pStyle w:val="ListBullet2"/>
      </w:pPr>
      <w:r w:rsidRPr="00C22CCB">
        <w:t>responding to conflicts of interest</w:t>
      </w:r>
    </w:p>
    <w:p w:rsidR="00000000" w:rsidRPr="00C22CCB" w:rsidP="00C22CCB">
      <w:pPr>
        <w:pStyle w:val="ListBullet"/>
      </w:pPr>
      <w:r w:rsidRPr="00C22CCB">
        <w:t>ways to constructively contribute to workplace improvements.</w:t>
      </w:r>
    </w:p>
    <w:p w:rsidR="00000000" w:rsidRPr="00C22CCB" w:rsidP="00C22CCB">
      <w:pPr>
        <w:pStyle w:val="AllowPageBreak"/>
      </w:pPr>
    </w:p>
    <w:p w:rsidR="00000000" w:rsidRPr="00C22CCB" w:rsidP="00C22CCB">
      <w:pPr>
        <w:pStyle w:val="Heading1"/>
      </w:pPr>
      <w:bookmarkStart w:id="4" w:name="O_1202436"/>
      <w:bookmarkEnd w:id="4"/>
      <w:r w:rsidRPr="00C22CCB">
        <w:t>Assessment Conditions</w:t>
      </w:r>
    </w:p>
    <w:p w:rsidR="00000000" w:rsidRPr="00C22CCB" w:rsidP="00607766">
      <w:pPr>
        <w:pStyle w:val="BodyText"/>
      </w:pPr>
      <w:r w:rsidRPr="00C22CCB">
        <w:t>Skills must be demonstrated in the workplace or in a simulated environment that reflects workplace conditions:</w:t>
      </w:r>
    </w:p>
    <w:p w:rsidR="00000000" w:rsidRPr="00C22CCB" w:rsidP="00C22CCB">
      <w:pPr>
        <w:pStyle w:val="ListBullet"/>
      </w:pPr>
      <w:r w:rsidRPr="00C22CCB">
        <w:t>interactions with children must be supervised by an approved early childhood educator or teacher.</w:t>
      </w:r>
    </w:p>
    <w:p w:rsidR="00000000" w:rsidRPr="00C22CCB" w:rsidP="00607766">
      <w:pPr>
        <w:pStyle w:val="BodyText"/>
      </w:pPr>
      <w:r w:rsidRPr="00C22CCB">
        <w:t>Simulated asses</w:t>
      </w:r>
      <w:r w:rsidRPr="00C22CCB">
        <w:t xml:space="preserve">sment environments must simulate the real-life working environment where the skills and knowledge within this unit would be utilised, with all the relevant equipment and resources of that working environment. </w:t>
      </w:r>
    </w:p>
    <w:p w:rsidR="00000000" w:rsidRPr="00C22CCB" w:rsidP="00607766">
      <w:pPr>
        <w:pStyle w:val="BodyText"/>
      </w:pPr>
      <w:r w:rsidRPr="00C22CCB">
        <w:t>Assessment must ensure access to:</w:t>
      </w:r>
    </w:p>
    <w:p w:rsidR="00000000" w:rsidRPr="00C22CCB" w:rsidP="00C22CCB">
      <w:pPr>
        <w:pStyle w:val="ListBullet"/>
      </w:pPr>
      <w:r w:rsidRPr="00C22CCB">
        <w:t>information</w:t>
      </w:r>
      <w:r w:rsidRPr="00C22CCB">
        <w:t xml:space="preserve"> technology for sourcing information</w:t>
      </w:r>
    </w:p>
    <w:p w:rsidR="00000000" w:rsidRPr="00C22CCB" w:rsidP="00C22CCB">
      <w:pPr>
        <w:pStyle w:val="ListBullet"/>
      </w:pPr>
      <w:r w:rsidRPr="00C22CCB">
        <w:t>Early Childhood Australia (ECA) Code of Ethics</w:t>
      </w:r>
    </w:p>
    <w:p w:rsidR="00000000" w:rsidRPr="00C22CCB" w:rsidP="00C22CCB">
      <w:pPr>
        <w:pStyle w:val="ListBullet"/>
      </w:pPr>
      <w:r w:rsidRPr="00C22CCB">
        <w:t>United Nations Convention on the Rights of the Child</w:t>
      </w:r>
    </w:p>
    <w:p w:rsidR="00000000" w:rsidRPr="00C22CCB" w:rsidP="00C22CCB">
      <w:pPr>
        <w:pStyle w:val="ListBullet"/>
      </w:pPr>
      <w:r w:rsidRPr="00C22CCB">
        <w:t>National Quality Framework:</w:t>
      </w:r>
    </w:p>
    <w:p w:rsidR="00000000" w:rsidRPr="00C22CCB" w:rsidP="00C22CCB">
      <w:pPr>
        <w:pStyle w:val="ListBullet2"/>
      </w:pPr>
      <w:r w:rsidRPr="00C22CCB">
        <w:t>Education and Care Services National Law and Regulations</w:t>
      </w:r>
    </w:p>
    <w:p w:rsidR="00000000" w:rsidRPr="00C22CCB" w:rsidP="00C22CCB">
      <w:pPr>
        <w:pStyle w:val="ListBullet2"/>
      </w:pPr>
      <w:r w:rsidRPr="00C22CCB">
        <w:t>National Quality Standard</w:t>
      </w:r>
    </w:p>
    <w:p w:rsidR="00000000" w:rsidRPr="00C22CCB" w:rsidP="00C22CCB">
      <w:pPr>
        <w:pStyle w:val="ListBullet2"/>
      </w:pPr>
      <w:r w:rsidRPr="00C22CCB">
        <w:t xml:space="preserve">the relevant approved learning framework </w:t>
      </w:r>
    </w:p>
    <w:p w:rsidR="00000000" w:rsidRPr="00C22CCB" w:rsidP="00C22CCB">
      <w:pPr>
        <w:pStyle w:val="ListBullet"/>
      </w:pPr>
      <w:r w:rsidRPr="00C22CCB">
        <w:t>service standards, policies and procedures for all aspects of operation.</w:t>
      </w:r>
    </w:p>
    <w:p w:rsidR="00000000" w:rsidRPr="00C22CCB" w:rsidP="00607766">
      <w:pPr>
        <w:pStyle w:val="BodyText"/>
      </w:pPr>
      <w:r w:rsidRPr="00C22CCB">
        <w:t>Assessors must satisfy the Standards for Registered Training Organisations’ requirements for assessors.</w:t>
      </w:r>
    </w:p>
    <w:p w:rsidR="00000000" w:rsidRPr="00C22CCB" w:rsidP="00C22CCB">
      <w:pPr>
        <w:pStyle w:val="Heading1"/>
      </w:pPr>
      <w:bookmarkStart w:id="5" w:name="O_1202450"/>
      <w:bookmarkEnd w:id="5"/>
      <w:r w:rsidRPr="00C22CCB">
        <w:t>Links</w:t>
      </w:r>
    </w:p>
    <w:p w:rsidR="00000000" w:rsidRPr="00C22CCB" w:rsidP="00607766">
      <w:pPr>
        <w:pStyle w:val="BodyText"/>
      </w:pPr>
      <w:r w:rsidRPr="00C22CCB">
        <w:t>Companion V</w:t>
      </w:r>
      <w:r w:rsidRPr="00C22CCB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D3F8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22CCB" w:rsidP="00C22CCB"/>
    <w:sectPr w:rsidSect="00C22C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CB" w:rsidRPr="00607766" w:rsidP="006077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766" w:rsidP="00C22C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7766" w:rsidP="00C22C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07766" w:rsidP="00C22C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7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CCB" w:rsidRPr="00607766" w:rsidP="006077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766" w:rsidRPr="002D2AF8" w:rsidP="00C22C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CHCECE055 Meet legal and ethical obligations in children's education and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07766" w:rsidP="00C22C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9055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862C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5E61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C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C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C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C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C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C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C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C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C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C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C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CCB"/>
  </w:style>
  <w:style w:type="character" w:customStyle="1" w:styleId="Heading1Char">
    <w:name w:val="Heading 1 Char"/>
    <w:basedOn w:val="DefaultParagraphFont"/>
    <w:link w:val="Heading1"/>
    <w:rsid w:val="00C22C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C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C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2CC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2CC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2C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C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22CC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22C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C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C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C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C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C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C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C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C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C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C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C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C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C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C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2C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2CCB"/>
    <w:rPr>
      <w:b/>
      <w:spacing w:val="0"/>
    </w:rPr>
  </w:style>
  <w:style w:type="paragraph" w:customStyle="1" w:styleId="SuperTitle">
    <w:name w:val="SuperTitle"/>
    <w:basedOn w:val="Title"/>
    <w:rsid w:val="00C22C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C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C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2C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C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C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C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C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C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C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C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C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CCB"/>
    <w:rPr>
      <w:i/>
    </w:rPr>
  </w:style>
  <w:style w:type="paragraph" w:styleId="Caption">
    <w:name w:val="caption"/>
    <w:basedOn w:val="BodyText"/>
    <w:next w:val="Normal"/>
    <w:qFormat/>
    <w:rsid w:val="00C22C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C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C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CCB"/>
  </w:style>
  <w:style w:type="paragraph" w:styleId="TableofFigures">
    <w:name w:val="table of figures"/>
    <w:basedOn w:val="Normal"/>
    <w:next w:val="Normal"/>
    <w:semiHidden/>
    <w:rsid w:val="00C22C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CC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22CCB"/>
    <w:rPr>
      <w:rFonts w:ascii="Wingdings" w:hAnsi="Wingdings"/>
    </w:rPr>
  </w:style>
  <w:style w:type="paragraph" w:customStyle="1" w:styleId="TableHeading">
    <w:name w:val="Table Heading"/>
    <w:basedOn w:val="HeadingBase"/>
    <w:rsid w:val="00C22C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CCB"/>
    <w:rPr>
      <w:color w:val="0033CC"/>
      <w:u w:val="none"/>
    </w:rPr>
  </w:style>
  <w:style w:type="paragraph" w:customStyle="1" w:styleId="BodyTextRight">
    <w:name w:val="Body Text Right"/>
    <w:basedOn w:val="BodyText"/>
    <w:rsid w:val="00C22C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C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CC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C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C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C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CCB"/>
    <w:rPr>
      <w:sz w:val="32"/>
    </w:rPr>
  </w:style>
  <w:style w:type="paragraph" w:customStyle="1" w:styleId="HeadingProcedure">
    <w:name w:val="Heading Procedure"/>
    <w:basedOn w:val="HeadingBase"/>
    <w:next w:val="Normal"/>
    <w:rsid w:val="00C22C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CCB"/>
    <w:pPr>
      <w:spacing w:before="60" w:after="60"/>
    </w:pPr>
  </w:style>
  <w:style w:type="paragraph" w:styleId="ListContinue">
    <w:name w:val="List Continue"/>
    <w:basedOn w:val="List"/>
    <w:rsid w:val="00C22CCB"/>
    <w:pPr>
      <w:ind w:firstLine="0"/>
    </w:pPr>
  </w:style>
  <w:style w:type="paragraph" w:customStyle="1" w:styleId="ListNote">
    <w:name w:val="List Note"/>
    <w:basedOn w:val="List"/>
    <w:rsid w:val="00C22C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C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C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CCB"/>
    <w:rPr>
      <w:rFonts w:ascii="Courier New" w:hAnsi="Courier New"/>
    </w:rPr>
  </w:style>
  <w:style w:type="paragraph" w:customStyle="1" w:styleId="NoteBullet">
    <w:name w:val="Note Bullet"/>
    <w:basedOn w:val="Note"/>
    <w:rsid w:val="00C22C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C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C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C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C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22C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C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CCB"/>
    <w:rPr>
      <w:b/>
      <w:smallCaps/>
    </w:rPr>
  </w:style>
  <w:style w:type="paragraph" w:customStyle="1" w:styleId="TableListNumber">
    <w:name w:val="Table List Number"/>
    <w:basedOn w:val="ListNumber"/>
    <w:rsid w:val="00C22C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C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CCB"/>
    <w:pPr>
      <w:numPr>
        <w:numId w:val="10"/>
      </w:numPr>
    </w:pPr>
  </w:style>
  <w:style w:type="paragraph" w:customStyle="1" w:styleId="ListAlpha2">
    <w:name w:val="List Alpha 2"/>
    <w:basedOn w:val="List2"/>
    <w:rsid w:val="00C22CCB"/>
    <w:pPr>
      <w:numPr>
        <w:numId w:val="9"/>
      </w:numPr>
    </w:pPr>
  </w:style>
  <w:style w:type="paragraph" w:styleId="List2">
    <w:name w:val="List 2"/>
    <w:basedOn w:val="BodyText"/>
    <w:rsid w:val="00C22C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C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C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CC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22CC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22CCB"/>
    <w:pPr>
      <w:numPr>
        <w:numId w:val="5"/>
      </w:numPr>
    </w:pPr>
  </w:style>
  <w:style w:type="paragraph" w:styleId="ListContinue2">
    <w:name w:val="List Continue 2"/>
    <w:basedOn w:val="List2"/>
    <w:rsid w:val="00C22CCB"/>
    <w:pPr>
      <w:ind w:firstLine="0"/>
    </w:pPr>
  </w:style>
  <w:style w:type="paragraph" w:styleId="ListContinue3">
    <w:name w:val="List Continue 3"/>
    <w:basedOn w:val="List3"/>
    <w:rsid w:val="00C22CCB"/>
    <w:pPr>
      <w:ind w:left="1021" w:firstLine="0"/>
    </w:pPr>
  </w:style>
  <w:style w:type="paragraph" w:styleId="ListContinue4">
    <w:name w:val="List Continue 4"/>
    <w:basedOn w:val="List4"/>
    <w:rsid w:val="00C22CCB"/>
    <w:pPr>
      <w:ind w:firstLine="0"/>
    </w:pPr>
  </w:style>
  <w:style w:type="paragraph" w:styleId="ListContinue5">
    <w:name w:val="List Continue 5"/>
    <w:basedOn w:val="List5"/>
    <w:rsid w:val="00C22CCB"/>
    <w:pPr>
      <w:ind w:firstLine="0"/>
    </w:pPr>
  </w:style>
  <w:style w:type="paragraph" w:styleId="ListNumber3">
    <w:name w:val="List Number 3"/>
    <w:basedOn w:val="List3"/>
    <w:rsid w:val="00C22CCB"/>
    <w:pPr>
      <w:numPr>
        <w:numId w:val="6"/>
      </w:numPr>
    </w:pPr>
  </w:style>
  <w:style w:type="paragraph" w:styleId="ListNumber4">
    <w:name w:val="List Number 4"/>
    <w:basedOn w:val="List4"/>
    <w:rsid w:val="00C22CCB"/>
    <w:pPr>
      <w:numPr>
        <w:numId w:val="7"/>
      </w:numPr>
    </w:pPr>
  </w:style>
  <w:style w:type="paragraph" w:styleId="ListNumber5">
    <w:name w:val="List Number 5"/>
    <w:basedOn w:val="List5"/>
    <w:rsid w:val="00C22CCB"/>
    <w:pPr>
      <w:numPr>
        <w:numId w:val="8"/>
      </w:numPr>
    </w:pPr>
  </w:style>
  <w:style w:type="paragraph" w:styleId="BlockText">
    <w:name w:val="Block Text"/>
    <w:basedOn w:val="Normal"/>
    <w:rsid w:val="00C22C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C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CCB"/>
    <w:rPr>
      <w:sz w:val="16"/>
      <w:vertAlign w:val="superscript"/>
    </w:rPr>
  </w:style>
  <w:style w:type="character" w:customStyle="1" w:styleId="Symbols">
    <w:name w:val="Symbols"/>
    <w:basedOn w:val="DefaultParagraphFont"/>
    <w:rsid w:val="00C22CCB"/>
    <w:rPr>
      <w:rFonts w:ascii="Symbol" w:hAnsi="Symbol"/>
    </w:rPr>
  </w:style>
  <w:style w:type="character" w:customStyle="1" w:styleId="MenuOptions">
    <w:name w:val="Menu Options"/>
    <w:basedOn w:val="DefaultParagraphFont"/>
    <w:rsid w:val="00C22C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CCB"/>
    <w:rPr>
      <w:b/>
    </w:rPr>
  </w:style>
  <w:style w:type="character" w:customStyle="1" w:styleId="Underlined">
    <w:name w:val="Underlined"/>
    <w:basedOn w:val="DefaultParagraphFont"/>
    <w:rsid w:val="00C22CCB"/>
    <w:rPr>
      <w:u w:val="single"/>
    </w:rPr>
  </w:style>
  <w:style w:type="paragraph" w:customStyle="1" w:styleId="TableBodyTextRight">
    <w:name w:val="Table Body Text Right"/>
    <w:basedOn w:val="TableBodyText"/>
    <w:rsid w:val="00C22C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CCB"/>
    <w:rPr>
      <w:sz w:val="18"/>
    </w:rPr>
  </w:style>
  <w:style w:type="paragraph" w:customStyle="1" w:styleId="BodySmallRight">
    <w:name w:val="Body Small Right"/>
    <w:basedOn w:val="BodyTextRight"/>
    <w:rsid w:val="00C22CCB"/>
    <w:rPr>
      <w:sz w:val="18"/>
      <w:szCs w:val="18"/>
    </w:rPr>
  </w:style>
  <w:style w:type="paragraph" w:customStyle="1" w:styleId="MarginEdition">
    <w:name w:val="Margin Edition"/>
    <w:basedOn w:val="MarginNote"/>
    <w:rsid w:val="00C22C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CCB"/>
    <w:rPr>
      <w:sz w:val="2"/>
      <w:szCs w:val="2"/>
    </w:rPr>
  </w:style>
  <w:style w:type="character" w:customStyle="1" w:styleId="Small">
    <w:name w:val="Small"/>
    <w:basedOn w:val="DefaultParagraphFont"/>
    <w:rsid w:val="00C22CCB"/>
    <w:rPr>
      <w:sz w:val="16"/>
    </w:rPr>
  </w:style>
  <w:style w:type="paragraph" w:customStyle="1" w:styleId="WideTable">
    <w:name w:val="Wide Table"/>
    <w:basedOn w:val="Normal"/>
    <w:rsid w:val="00C22C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CCB"/>
  </w:style>
  <w:style w:type="paragraph" w:styleId="Quote">
    <w:name w:val="Quote"/>
    <w:basedOn w:val="Heading1"/>
    <w:link w:val="QuoteChar"/>
    <w:qFormat/>
    <w:rsid w:val="00C22C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C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CCB"/>
    <w:pPr>
      <w:pageBreakBefore/>
    </w:pPr>
  </w:style>
  <w:style w:type="paragraph" w:customStyle="1" w:styleId="Border">
    <w:name w:val="Border"/>
    <w:basedOn w:val="Normal"/>
    <w:qFormat/>
    <w:rsid w:val="00C22C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C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C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C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C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C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C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C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C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CCB"/>
    <w:rPr>
      <w:u w:val="single"/>
    </w:rPr>
  </w:style>
  <w:style w:type="character" w:customStyle="1" w:styleId="BoldandItalics">
    <w:name w:val="Bold and Italics"/>
    <w:qFormat/>
    <w:rsid w:val="00C22CCB"/>
    <w:rPr>
      <w:b/>
      <w:i/>
      <w:u w:val="none"/>
    </w:rPr>
  </w:style>
  <w:style w:type="paragraph" w:styleId="BalloonText">
    <w:name w:val="Balloon Text"/>
    <w:basedOn w:val="Normal"/>
    <w:link w:val="BalloonTextChar"/>
    <w:rsid w:val="00C22C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C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C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C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C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C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CCB"/>
    <w:pPr>
      <w:spacing w:before="0" w:after="0"/>
    </w:pPr>
  </w:style>
  <w:style w:type="paragraph" w:customStyle="1" w:styleId="BodyTextBold">
    <w:name w:val="Body Text Bold"/>
    <w:basedOn w:val="BodyText"/>
    <w:qFormat/>
    <w:rsid w:val="00C22CCB"/>
    <w:rPr>
      <w:b/>
    </w:rPr>
  </w:style>
  <w:style w:type="character" w:styleId="Hyperlink">
    <w:name w:val="Hyperlink"/>
    <w:basedOn w:val="DefaultParagraphFont"/>
    <w:uiPriority w:val="99"/>
    <w:unhideWhenUsed/>
    <w:rsid w:val="006077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3503</Characters>
  <Application>Microsoft Office Word</Application>
  <DocSecurity>0</DocSecurity>
  <Lines>97</Lines>
  <Paragraphs>83</Paragraphs>
  <ScaleCrop>false</ScaleCrop>
  <Company>Author-it Software Corporation Ltd.</Company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CHCECE055 Meet legal and ethical obligations in children's education and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2023-07-02T02:27:00Z</dcterms:created>
  <dcterms:modified xsi:type="dcterms:W3CDTF">2023-07-02T02:27:00Z</dcterms:modified>
</cp:coreProperties>
</file>