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6A1" w:rsidP="00C0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CHCECE054 Encourage understanding of Aboriginal and/or Torres Strait Islander peoples’ cultures</w:t>
      </w:r>
      <w:r>
        <w:fldChar w:fldCharType="end"/>
      </w:r>
    </w:p>
    <w:p w:rsidR="00C076A1" w:rsidP="00C076A1">
      <w:pPr>
        <w:pStyle w:val="Version"/>
        <w:sectPr w:rsidSect="00C13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233" w:rsidP="00C13233">
      <w:pPr>
        <w:pStyle w:val="SuperHeading"/>
      </w:pPr>
      <w:r w:rsidRPr="00C13233">
        <w:t>Assessment Requirements for CHCECE054 Encourage understanding of Aboriginal and/or Torres Strait Islander peoples</w:t>
      </w:r>
      <w:r>
        <w:t>’</w:t>
      </w:r>
      <w:r w:rsidRPr="00C13233">
        <w:t xml:space="preserve"> cultures</w:t>
      </w:r>
    </w:p>
    <w:p w:rsidR="00000000" w:rsidRPr="00C13233" w:rsidP="00C13233">
      <w:pPr>
        <w:pStyle w:val="Heading1"/>
      </w:pPr>
      <w:bookmarkStart w:id="1" w:name="O_1182899"/>
      <w:bookmarkEnd w:id="1"/>
      <w:r w:rsidRPr="00C13233">
        <w:t>Modification History</w:t>
      </w:r>
    </w:p>
    <w:p w:rsidR="00000000" w:rsidRPr="00C13233" w:rsidP="00C076A1">
      <w:pPr>
        <w:pStyle w:val="BodyText"/>
      </w:pPr>
      <w:r w:rsidRPr="00C13233">
        <w:t xml:space="preserve">Release 1. CHCECE054 </w:t>
      </w:r>
      <w:r w:rsidRPr="00C13233">
        <w:t xml:space="preserve">Encourage understanding of Aboriginal and/or Torres Strait Islander peoples’ cultures. New unit. No equivalent unit. </w:t>
      </w:r>
    </w:p>
    <w:p w:rsidR="00000000" w:rsidRPr="00C13233" w:rsidP="00C13233">
      <w:pPr>
        <w:pStyle w:val="Heading1"/>
      </w:pPr>
      <w:bookmarkStart w:id="2" w:name="O_1182900"/>
      <w:bookmarkEnd w:id="2"/>
      <w:r w:rsidRPr="00C13233">
        <w:t>Performance Evidence</w:t>
      </w:r>
    </w:p>
    <w:p w:rsidR="00000000" w:rsidRPr="00C13233" w:rsidP="00C076A1">
      <w:pPr>
        <w:pStyle w:val="BodyText"/>
      </w:pPr>
      <w:r w:rsidRPr="00C13233">
        <w:t>Evidence of the ability to complete tasks outlined in elements and performance criteria of this un</w:t>
      </w:r>
      <w:r w:rsidRPr="00C13233">
        <w:t>it in the context of the job role, and:</w:t>
      </w:r>
    </w:p>
    <w:p w:rsidR="00000000" w:rsidRPr="00C13233" w:rsidP="00C13233">
      <w:pPr>
        <w:pStyle w:val="ListBullet"/>
      </w:pPr>
      <w:r w:rsidRPr="00C13233">
        <w:t>use reflection to identify own perspectives on Aboriginal and/or Torres Strait Islander peoples’ cultures and discuss the reflection process and outcome with a workplace or learning supervisor on one occassion</w:t>
      </w:r>
    </w:p>
    <w:p w:rsidR="00000000" w:rsidRPr="00C13233" w:rsidP="00C13233">
      <w:pPr>
        <w:pStyle w:val="ListBullet"/>
      </w:pPr>
      <w:r w:rsidRPr="00C13233">
        <w:t>sourc</w:t>
      </w:r>
      <w:r w:rsidRPr="00C13233">
        <w:t>e information and collaborate to develop and report on three ideas about how local Aboriginal and/or Torres Strait Islander peoples’ cultures could be embedded into daily practice in culturally safe and sensitive ways</w:t>
      </w:r>
    </w:p>
    <w:p w:rsidR="00000000" w:rsidRPr="00C13233" w:rsidP="00C13233">
      <w:pPr>
        <w:pStyle w:val="ListBullet"/>
      </w:pPr>
      <w:r w:rsidRPr="00C13233">
        <w:t>support one experience with a group of</w:t>
      </w:r>
      <w:r w:rsidRPr="00C13233">
        <w:t xml:space="preserve"> children that encourages their understanding of local Aboriginal and/or Torres Strait Islander peoples’ cultures.</w:t>
      </w:r>
    </w:p>
    <w:p w:rsidR="00000000" w:rsidRPr="00C13233" w:rsidP="00C13233">
      <w:pPr>
        <w:pStyle w:val="AllowPageBreak"/>
      </w:pPr>
    </w:p>
    <w:p w:rsidR="00000000" w:rsidRPr="00C13233" w:rsidP="00C13233">
      <w:pPr>
        <w:pStyle w:val="Heading1"/>
      </w:pPr>
      <w:bookmarkStart w:id="3" w:name="O_1182901"/>
      <w:bookmarkEnd w:id="3"/>
      <w:r w:rsidRPr="00C13233">
        <w:t>Knowledge Evidence</w:t>
      </w:r>
    </w:p>
    <w:p w:rsidR="00000000" w:rsidRPr="00C13233" w:rsidP="00C076A1">
      <w:pPr>
        <w:pStyle w:val="BodyText"/>
      </w:pPr>
      <w:r w:rsidRPr="00C13233">
        <w:t xml:space="preserve">Demonstrated knowledge required to complete the tasks outlined in elements and performance criteria of </w:t>
      </w:r>
      <w:r w:rsidRPr="00C13233">
        <w:t>this unit:</w:t>
      </w:r>
    </w:p>
    <w:p w:rsidR="00000000" w:rsidRPr="00C13233" w:rsidP="00C13233">
      <w:pPr>
        <w:pStyle w:val="ListBullet"/>
      </w:pPr>
      <w:r w:rsidRPr="00C13233">
        <w:t>requirements of the following National Quality Standard and related regulations and laws applicable to this unit including:</w:t>
      </w:r>
    </w:p>
    <w:p w:rsidR="00000000" w:rsidRPr="00C13233" w:rsidP="00C13233">
      <w:pPr>
        <w:pStyle w:val="ListBullet2"/>
      </w:pPr>
      <w:r w:rsidRPr="00C13233">
        <w:t>collaborative partnerships with families and communities including direct relationships with First Nations families and</w:t>
      </w:r>
      <w:r w:rsidRPr="00C13233">
        <w:t xml:space="preserve"> communities</w:t>
      </w:r>
    </w:p>
    <w:p w:rsidR="00000000" w:rsidRPr="00C13233" w:rsidP="00C13233">
      <w:pPr>
        <w:pStyle w:val="ListBullet2"/>
      </w:pPr>
      <w:r w:rsidRPr="00C13233">
        <w:t>educational program and practice</w:t>
      </w:r>
    </w:p>
    <w:p w:rsidR="00000000" w:rsidRPr="00C13233" w:rsidP="00C13233">
      <w:pPr>
        <w:pStyle w:val="ListBullet2"/>
      </w:pPr>
      <w:r w:rsidRPr="00C13233">
        <w:t>relationships with children</w:t>
      </w:r>
    </w:p>
    <w:p w:rsidR="00000000" w:rsidRPr="00C13233" w:rsidP="00C13233">
      <w:pPr>
        <w:pStyle w:val="ListBullet"/>
      </w:pPr>
      <w:r w:rsidRPr="00C13233">
        <w:t>relevant Aboriginal and/or Torres Strait Islander peoples’ led organisations and peak agencies</w:t>
      </w:r>
    </w:p>
    <w:p w:rsidR="00000000" w:rsidRPr="00C13233" w:rsidP="00C13233">
      <w:pPr>
        <w:pStyle w:val="ListBullet"/>
      </w:pPr>
      <w:r w:rsidRPr="00C13233">
        <w:t>the educator role in promoting children’s understanding of, and respect for, Aborigin</w:t>
      </w:r>
      <w:r w:rsidRPr="00C13233">
        <w:t>al and/or Torres Strait Islander peoples’ history and cultures</w:t>
      </w:r>
    </w:p>
    <w:p w:rsidR="00000000" w:rsidRPr="00C13233" w:rsidP="00C13233">
      <w:pPr>
        <w:pStyle w:val="ListBullet"/>
      </w:pPr>
      <w:r w:rsidRPr="00C13233">
        <w:t>purpose and significance of Reconciliation Action Plans</w:t>
      </w:r>
    </w:p>
    <w:p w:rsidR="00000000" w:rsidRPr="00C13233" w:rsidP="00C13233">
      <w:pPr>
        <w:pStyle w:val="ListBullet"/>
      </w:pPr>
      <w:r w:rsidRPr="00C13233">
        <w:t>Aboriginal and/or Torres Strait Islander peoples’ perspectives on early childhood learning and development</w:t>
      </w:r>
    </w:p>
    <w:p w:rsidR="00000000" w:rsidRPr="00C13233" w:rsidP="00C13233">
      <w:pPr>
        <w:pStyle w:val="ListBullet"/>
      </w:pPr>
      <w:r w:rsidRPr="00C13233">
        <w:t>aspects of Aboriginal and/or T</w:t>
      </w:r>
      <w:r w:rsidRPr="00C13233">
        <w:t>orres Strait Islander peoples’ ways of learning:</w:t>
      </w:r>
    </w:p>
    <w:p w:rsidR="00000000" w:rsidRPr="00C13233" w:rsidP="00C13233">
      <w:pPr>
        <w:pStyle w:val="ListBullet2"/>
      </w:pPr>
      <w:r w:rsidRPr="00C13233">
        <w:t>mathematics</w:t>
      </w:r>
    </w:p>
    <w:p w:rsidR="00000000" w:rsidRPr="00C13233" w:rsidP="00C13233">
      <w:pPr>
        <w:pStyle w:val="ListBullet2"/>
      </w:pPr>
      <w:r w:rsidRPr="00C13233">
        <w:t>music</w:t>
      </w:r>
    </w:p>
    <w:p w:rsidR="00000000" w:rsidRPr="00C13233" w:rsidP="00C13233">
      <w:pPr>
        <w:pStyle w:val="ListBullet2"/>
      </w:pPr>
      <w:r w:rsidRPr="00C13233">
        <w:t>art</w:t>
      </w:r>
    </w:p>
    <w:p w:rsidR="00000000" w:rsidRPr="00C13233" w:rsidP="00C13233">
      <w:pPr>
        <w:pStyle w:val="ListBullet2"/>
      </w:pPr>
      <w:r w:rsidRPr="00C13233">
        <w:t>science</w:t>
      </w:r>
    </w:p>
    <w:p w:rsidR="00000000" w:rsidRPr="00C13233" w:rsidP="00C13233">
      <w:pPr>
        <w:pStyle w:val="ListBullet"/>
      </w:pPr>
      <w:r w:rsidRPr="00C13233">
        <w:t>how to use a process of reflection in relation to:</w:t>
      </w:r>
    </w:p>
    <w:p w:rsidR="00000000" w:rsidRPr="00C13233" w:rsidP="00C13233">
      <w:pPr>
        <w:pStyle w:val="ListBullet2"/>
      </w:pPr>
      <w:r w:rsidRPr="00C13233">
        <w:t>different perspectives on Aboriginal and/or Torres Strait Islander peoples’ cultures</w:t>
      </w:r>
    </w:p>
    <w:p w:rsidR="00000000" w:rsidRPr="00C13233" w:rsidP="00C13233">
      <w:pPr>
        <w:pStyle w:val="ListBullet2"/>
      </w:pPr>
      <w:r w:rsidRPr="00C13233">
        <w:t>evaluating information found in invest</w:t>
      </w:r>
      <w:r w:rsidRPr="00C13233">
        <w:t>igation</w:t>
      </w:r>
    </w:p>
    <w:p w:rsidR="00000000" w:rsidRPr="00C13233" w:rsidP="00C13233">
      <w:pPr>
        <w:pStyle w:val="ListBullet"/>
      </w:pPr>
      <w:r w:rsidRPr="00C13233">
        <w:t>reflective practice:</w:t>
      </w:r>
    </w:p>
    <w:p w:rsidR="00000000" w:rsidRPr="00C13233" w:rsidP="00C13233">
      <w:pPr>
        <w:pStyle w:val="ListBullet2"/>
      </w:pPr>
      <w:r w:rsidRPr="00C13233">
        <w:t>what is reflection</w:t>
      </w:r>
    </w:p>
    <w:p w:rsidR="00000000" w:rsidRPr="00C13233" w:rsidP="00C13233">
      <w:pPr>
        <w:pStyle w:val="ListBullet2"/>
      </w:pPr>
      <w:r w:rsidRPr="00C13233">
        <w:t>why and how educators use reflection</w:t>
      </w:r>
    </w:p>
    <w:p w:rsidR="00000000" w:rsidRPr="00C13233" w:rsidP="00C13233">
      <w:pPr>
        <w:pStyle w:val="ListBullet2"/>
      </w:pPr>
      <w:r w:rsidRPr="00C13233">
        <w:t>what is meaningful reflection</w:t>
      </w:r>
    </w:p>
    <w:p w:rsidR="00000000" w:rsidRPr="00C13233" w:rsidP="00C13233">
      <w:pPr>
        <w:pStyle w:val="ListBullet"/>
      </w:pPr>
      <w:r w:rsidRPr="00C13233">
        <w:t xml:space="preserve">sources of information on Aboriginal and/or Torres Strait Islander peoples’ histories </w:t>
      </w:r>
      <w:r w:rsidRPr="00C13233">
        <w:t>and cultures and how to determine what makes a credible source</w:t>
      </w:r>
    </w:p>
    <w:p w:rsidR="00000000" w:rsidRPr="00C13233" w:rsidP="00C13233">
      <w:pPr>
        <w:pStyle w:val="ListBullet"/>
      </w:pPr>
      <w:r w:rsidRPr="00C13233">
        <w:t>impact of colonisation, historical events and issues on Aboriginal and/or Torres Strait Islander people in the local and broader Australian contexts</w:t>
      </w:r>
    </w:p>
    <w:p w:rsidR="00000000" w:rsidRPr="00C13233" w:rsidP="00C13233">
      <w:pPr>
        <w:pStyle w:val="ListBullet2"/>
      </w:pPr>
      <w:r w:rsidRPr="00C13233">
        <w:t>inter-generational effects of forced separa</w:t>
      </w:r>
      <w:r w:rsidRPr="00C13233">
        <w:t>tion</w:t>
      </w:r>
    </w:p>
    <w:p w:rsidR="00000000" w:rsidRPr="00C13233" w:rsidP="00C13233">
      <w:pPr>
        <w:pStyle w:val="ListBullet2"/>
      </w:pPr>
      <w:r w:rsidRPr="00C13233">
        <w:t>inter-generational trauma and disadvantage</w:t>
      </w:r>
    </w:p>
    <w:p w:rsidR="00000000" w:rsidRPr="00C13233" w:rsidP="00C13233">
      <w:pPr>
        <w:pStyle w:val="ListBullet"/>
      </w:pPr>
      <w:r w:rsidRPr="00C13233">
        <w:t>protocols for researching and sharing information about Aboriginal and/or Torres Strait Islander peoples’ histories and cultures:</w:t>
      </w:r>
    </w:p>
    <w:p w:rsidR="00000000" w:rsidRPr="00C13233" w:rsidP="00C13233">
      <w:pPr>
        <w:pStyle w:val="ListBullet2"/>
      </w:pPr>
      <w:r w:rsidRPr="00C13233">
        <w:t>relevant codes of ethics</w:t>
      </w:r>
    </w:p>
    <w:p w:rsidR="00000000" w:rsidRPr="00C13233" w:rsidP="00C13233">
      <w:pPr>
        <w:pStyle w:val="ListBullet2"/>
      </w:pPr>
      <w:r w:rsidRPr="00C13233">
        <w:t>permissions for sharing information</w:t>
      </w:r>
    </w:p>
    <w:p w:rsidR="00000000" w:rsidRPr="00C13233" w:rsidP="00C13233">
      <w:pPr>
        <w:pStyle w:val="ListBullet2"/>
      </w:pPr>
      <w:r w:rsidRPr="00C13233">
        <w:t>awareness aroun</w:t>
      </w:r>
      <w:r w:rsidRPr="00C13233">
        <w:t>d appropriation of Aboriginal and/or Torres Strait Islander peoples’ cultures</w:t>
      </w:r>
    </w:p>
    <w:p w:rsidR="00000000" w:rsidRPr="00C13233" w:rsidP="00C13233">
      <w:pPr>
        <w:pStyle w:val="ListBullet2"/>
      </w:pPr>
      <w:r w:rsidRPr="00C13233">
        <w:t>awareness around languages when being re-learned</w:t>
      </w:r>
    </w:p>
    <w:p w:rsidR="00000000" w:rsidRPr="00C13233" w:rsidP="00C13233">
      <w:pPr>
        <w:pStyle w:val="ListBullet"/>
      </w:pPr>
      <w:r w:rsidRPr="00C13233">
        <w:t xml:space="preserve">ways in which Aboriginal and/or Torres Strait Islander peoples’ cultures may be appropriately embedded in routines and learning </w:t>
      </w:r>
      <w:r w:rsidRPr="00C13233">
        <w:t>experiences.</w:t>
      </w:r>
    </w:p>
    <w:p w:rsidR="00000000" w:rsidRPr="00C13233" w:rsidP="00C13233">
      <w:pPr>
        <w:pStyle w:val="AllowPageBreak"/>
      </w:pPr>
    </w:p>
    <w:p w:rsidR="00000000" w:rsidRPr="00C13233" w:rsidP="00C13233">
      <w:pPr>
        <w:pStyle w:val="Heading1"/>
      </w:pPr>
      <w:bookmarkStart w:id="4" w:name="O_1182902"/>
      <w:bookmarkEnd w:id="4"/>
      <w:r w:rsidRPr="00C13233">
        <w:t>Assessment Conditions</w:t>
      </w:r>
    </w:p>
    <w:p w:rsidR="00000000" w:rsidRPr="00C13233" w:rsidP="00C076A1">
      <w:pPr>
        <w:pStyle w:val="BodyText"/>
      </w:pPr>
      <w:r w:rsidRPr="00C13233">
        <w:t>Skills must be demonstrated in a regulated children’s education and care service or school in Australia:</w:t>
      </w:r>
    </w:p>
    <w:p w:rsidR="00000000" w:rsidRPr="00C13233" w:rsidP="00C13233">
      <w:pPr>
        <w:pStyle w:val="ListBullet"/>
      </w:pPr>
      <w:r w:rsidRPr="00C13233">
        <w:t>interactions with children must be supervised by an approved early childhood educator or teacher.</w:t>
      </w:r>
    </w:p>
    <w:p w:rsidR="00000000" w:rsidRPr="00C13233" w:rsidP="00C076A1">
      <w:pPr>
        <w:pStyle w:val="BodyText"/>
      </w:pPr>
      <w:r w:rsidRPr="00C13233">
        <w:t>Skills related to collaboration, reflection and research may be demonstrated outside of the service but must be based on work in a regulated children’s educat</w:t>
      </w:r>
      <w:r w:rsidRPr="00C13233">
        <w:t>ion and care service or school in Australia.</w:t>
      </w:r>
    </w:p>
    <w:p w:rsidR="00000000" w:rsidRPr="00C13233" w:rsidP="00C076A1">
      <w:pPr>
        <w:pStyle w:val="BodyText"/>
      </w:pPr>
      <w:r w:rsidRPr="00C13233">
        <w:t>Assessment must ensure access to:</w:t>
      </w:r>
    </w:p>
    <w:p w:rsidR="00000000" w:rsidRPr="00C13233" w:rsidP="00C13233">
      <w:pPr>
        <w:pStyle w:val="ListBullet"/>
      </w:pPr>
      <w:r w:rsidRPr="00C13233">
        <w:t>curriculum from the regulated service or school</w:t>
      </w:r>
    </w:p>
    <w:p w:rsidR="00000000" w:rsidRPr="00C13233" w:rsidP="00C13233">
      <w:pPr>
        <w:pStyle w:val="ListBullet"/>
      </w:pPr>
      <w:r w:rsidRPr="00C13233">
        <w:t>sources of information on local Aboriginal and/or Torres Strait Islander peoples’ histories and cultures</w:t>
      </w:r>
    </w:p>
    <w:p w:rsidR="00000000" w:rsidRPr="00C13233" w:rsidP="00C13233">
      <w:pPr>
        <w:pStyle w:val="ListBullet"/>
      </w:pPr>
      <w:r w:rsidRPr="00C13233">
        <w:t>service standards, poli</w:t>
      </w:r>
      <w:r w:rsidRPr="00C13233">
        <w:t>cies and procedures for:</w:t>
      </w:r>
    </w:p>
    <w:p w:rsidR="00000000" w:rsidRPr="00C13233" w:rsidP="00C13233">
      <w:pPr>
        <w:pStyle w:val="ListBullet2"/>
      </w:pPr>
      <w:r w:rsidRPr="00C13233">
        <w:t>collaborative partnerships with families and communities including direct relationships with First Nations families and communities</w:t>
      </w:r>
    </w:p>
    <w:p w:rsidR="00000000" w:rsidRPr="00C13233" w:rsidP="00C13233">
      <w:pPr>
        <w:pStyle w:val="ListBullet2"/>
      </w:pPr>
      <w:r w:rsidRPr="00C13233">
        <w:t>educational program and practice</w:t>
      </w:r>
    </w:p>
    <w:p w:rsidR="00000000" w:rsidRPr="00C13233" w:rsidP="00C13233">
      <w:pPr>
        <w:pStyle w:val="ListBullet2"/>
      </w:pPr>
      <w:r w:rsidRPr="00C13233">
        <w:t>relationships with children</w:t>
      </w:r>
    </w:p>
    <w:p w:rsidR="00000000" w:rsidRPr="00C13233" w:rsidP="00C13233">
      <w:pPr>
        <w:pStyle w:val="ListBullet"/>
      </w:pPr>
      <w:r w:rsidRPr="00C13233">
        <w:t>National Quality Framework:</w:t>
      </w:r>
    </w:p>
    <w:p w:rsidR="00000000" w:rsidRPr="00C13233" w:rsidP="00C13233">
      <w:pPr>
        <w:pStyle w:val="ListBullet2"/>
      </w:pPr>
      <w:r w:rsidRPr="00C13233">
        <w:t>Nationa</w:t>
      </w:r>
      <w:r w:rsidRPr="00C13233">
        <w:t>l Quality Standard</w:t>
      </w:r>
    </w:p>
    <w:p w:rsidR="00000000" w:rsidRPr="00C13233" w:rsidP="00C13233">
      <w:pPr>
        <w:pStyle w:val="ListBullet2"/>
      </w:pPr>
      <w:r w:rsidRPr="00C13233">
        <w:t xml:space="preserve">the relevant approved learning framework </w:t>
      </w:r>
    </w:p>
    <w:p w:rsidR="00000000" w:rsidRPr="00C13233" w:rsidP="00C13233">
      <w:pPr>
        <w:pStyle w:val="ListBullet"/>
      </w:pPr>
      <w:r w:rsidRPr="00C13233">
        <w:t xml:space="preserve">educators for collaboration </w:t>
      </w:r>
    </w:p>
    <w:p w:rsidR="00000000" w:rsidRPr="00C13233" w:rsidP="00C13233">
      <w:pPr>
        <w:pStyle w:val="ListBullet"/>
      </w:pPr>
      <w:r w:rsidRPr="00C13233">
        <w:t xml:space="preserve">children in an education and care service or school. </w:t>
      </w:r>
    </w:p>
    <w:p w:rsidR="00000000" w:rsidRPr="00C13233" w:rsidP="00C076A1">
      <w:pPr>
        <w:pStyle w:val="BodyText"/>
      </w:pPr>
      <w:r w:rsidRPr="00C13233">
        <w:t>Assessors must satisfy the Standards for Registered Training Organisations’ requirements for assessors.</w:t>
      </w:r>
    </w:p>
    <w:p w:rsidR="00000000" w:rsidRPr="00C13233" w:rsidP="00C13233">
      <w:pPr>
        <w:pStyle w:val="Heading1"/>
      </w:pPr>
      <w:bookmarkStart w:id="5" w:name="O_1182905"/>
      <w:bookmarkEnd w:id="5"/>
      <w:r w:rsidRPr="00C13233">
        <w:t>Links</w:t>
      </w:r>
    </w:p>
    <w:p w:rsidR="00000000" w:rsidRPr="00C13233" w:rsidP="00C076A1">
      <w:pPr>
        <w:pStyle w:val="BodyText"/>
      </w:pPr>
      <w:r w:rsidRPr="00C13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1C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13233" w:rsidP="00C13233"/>
    <w:sectPr w:rsidSect="00C13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33" w:rsidRPr="00C076A1" w:rsidP="00C0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A1" w:rsidP="00C13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6A1" w:rsidP="00C13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76A1" w:rsidP="00C13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233" w:rsidRPr="00C076A1" w:rsidP="00C0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6A1" w:rsidRPr="002D2AF8" w:rsidP="00C13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CHCECE054 Encourage understanding of Aboriginal and/or Torres Strait Islander peoples'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076A1" w:rsidP="00C13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E4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8D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8F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233"/>
  </w:style>
  <w:style w:type="character" w:customStyle="1" w:styleId="Heading1Char">
    <w:name w:val="Heading 1 Char"/>
    <w:basedOn w:val="DefaultParagraphFont"/>
    <w:link w:val="Heading1"/>
    <w:rsid w:val="00C13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2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32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233"/>
    <w:rPr>
      <w:b/>
      <w:spacing w:val="0"/>
    </w:rPr>
  </w:style>
  <w:style w:type="paragraph" w:customStyle="1" w:styleId="SuperTitle">
    <w:name w:val="SuperTitle"/>
    <w:basedOn w:val="Title"/>
    <w:rsid w:val="00C13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2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233"/>
    <w:rPr>
      <w:i/>
    </w:rPr>
  </w:style>
  <w:style w:type="paragraph" w:styleId="Caption">
    <w:name w:val="caption"/>
    <w:basedOn w:val="BodyText"/>
    <w:next w:val="Normal"/>
    <w:qFormat/>
    <w:rsid w:val="00C13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233"/>
  </w:style>
  <w:style w:type="paragraph" w:styleId="TableofFigures">
    <w:name w:val="table of figures"/>
    <w:basedOn w:val="Normal"/>
    <w:next w:val="Normal"/>
    <w:semiHidden/>
    <w:rsid w:val="00C13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2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233"/>
    <w:rPr>
      <w:rFonts w:ascii="Wingdings" w:hAnsi="Wingdings"/>
    </w:rPr>
  </w:style>
  <w:style w:type="paragraph" w:customStyle="1" w:styleId="TableHeading">
    <w:name w:val="Table Heading"/>
    <w:basedOn w:val="HeadingBase"/>
    <w:rsid w:val="00C13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233"/>
    <w:rPr>
      <w:color w:val="0033CC"/>
      <w:u w:val="none"/>
    </w:rPr>
  </w:style>
  <w:style w:type="paragraph" w:customStyle="1" w:styleId="BodyTextRight">
    <w:name w:val="Body Text Right"/>
    <w:basedOn w:val="BodyText"/>
    <w:rsid w:val="00C13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2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233"/>
    <w:rPr>
      <w:sz w:val="32"/>
    </w:rPr>
  </w:style>
  <w:style w:type="paragraph" w:customStyle="1" w:styleId="HeadingProcedure">
    <w:name w:val="Heading Procedure"/>
    <w:basedOn w:val="HeadingBase"/>
    <w:next w:val="Normal"/>
    <w:rsid w:val="00C13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233"/>
    <w:pPr>
      <w:spacing w:before="60" w:after="60"/>
    </w:pPr>
  </w:style>
  <w:style w:type="paragraph" w:styleId="ListContinue">
    <w:name w:val="List Continue"/>
    <w:basedOn w:val="List"/>
    <w:rsid w:val="00C13233"/>
    <w:pPr>
      <w:ind w:firstLine="0"/>
    </w:pPr>
  </w:style>
  <w:style w:type="paragraph" w:customStyle="1" w:styleId="ListNote">
    <w:name w:val="List Note"/>
    <w:basedOn w:val="List"/>
    <w:rsid w:val="00C13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233"/>
    <w:rPr>
      <w:rFonts w:ascii="Courier New" w:hAnsi="Courier New"/>
    </w:rPr>
  </w:style>
  <w:style w:type="paragraph" w:customStyle="1" w:styleId="NoteBullet">
    <w:name w:val="Note Bullet"/>
    <w:basedOn w:val="Note"/>
    <w:rsid w:val="00C13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2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233"/>
    <w:rPr>
      <w:b/>
      <w:smallCaps/>
    </w:rPr>
  </w:style>
  <w:style w:type="paragraph" w:customStyle="1" w:styleId="TableListNumber">
    <w:name w:val="Table List Number"/>
    <w:basedOn w:val="ListNumber"/>
    <w:rsid w:val="00C13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233"/>
    <w:pPr>
      <w:numPr>
        <w:numId w:val="9"/>
      </w:numPr>
    </w:pPr>
  </w:style>
  <w:style w:type="paragraph" w:customStyle="1" w:styleId="ListAlpha2">
    <w:name w:val="List Alpha 2"/>
    <w:basedOn w:val="List2"/>
    <w:rsid w:val="00C13233"/>
    <w:pPr>
      <w:numPr>
        <w:numId w:val="8"/>
      </w:numPr>
    </w:pPr>
  </w:style>
  <w:style w:type="paragraph" w:styleId="List2">
    <w:name w:val="List 2"/>
    <w:basedOn w:val="BodyText"/>
    <w:rsid w:val="00C13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2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2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233"/>
    <w:pPr>
      <w:numPr>
        <w:numId w:val="4"/>
      </w:numPr>
    </w:pPr>
  </w:style>
  <w:style w:type="paragraph" w:styleId="ListContinue2">
    <w:name w:val="List Continue 2"/>
    <w:basedOn w:val="List2"/>
    <w:rsid w:val="00C13233"/>
    <w:pPr>
      <w:ind w:firstLine="0"/>
    </w:pPr>
  </w:style>
  <w:style w:type="paragraph" w:styleId="ListContinue3">
    <w:name w:val="List Continue 3"/>
    <w:basedOn w:val="List3"/>
    <w:rsid w:val="00C13233"/>
    <w:pPr>
      <w:ind w:left="1021" w:firstLine="0"/>
    </w:pPr>
  </w:style>
  <w:style w:type="paragraph" w:styleId="ListContinue4">
    <w:name w:val="List Continue 4"/>
    <w:basedOn w:val="List4"/>
    <w:rsid w:val="00C13233"/>
    <w:pPr>
      <w:ind w:firstLine="0"/>
    </w:pPr>
  </w:style>
  <w:style w:type="paragraph" w:styleId="ListContinue5">
    <w:name w:val="List Continue 5"/>
    <w:basedOn w:val="List5"/>
    <w:rsid w:val="00C13233"/>
    <w:pPr>
      <w:ind w:firstLine="0"/>
    </w:pPr>
  </w:style>
  <w:style w:type="paragraph" w:styleId="ListNumber3">
    <w:name w:val="List Number 3"/>
    <w:basedOn w:val="List3"/>
    <w:rsid w:val="00C13233"/>
    <w:pPr>
      <w:numPr>
        <w:numId w:val="5"/>
      </w:numPr>
    </w:pPr>
  </w:style>
  <w:style w:type="paragraph" w:styleId="ListNumber4">
    <w:name w:val="List Number 4"/>
    <w:basedOn w:val="List4"/>
    <w:rsid w:val="00C13233"/>
    <w:pPr>
      <w:numPr>
        <w:numId w:val="6"/>
      </w:numPr>
    </w:pPr>
  </w:style>
  <w:style w:type="paragraph" w:styleId="ListNumber5">
    <w:name w:val="List Number 5"/>
    <w:basedOn w:val="List5"/>
    <w:rsid w:val="00C13233"/>
    <w:pPr>
      <w:numPr>
        <w:numId w:val="7"/>
      </w:numPr>
    </w:pPr>
  </w:style>
  <w:style w:type="paragraph" w:styleId="BlockText">
    <w:name w:val="Block Text"/>
    <w:basedOn w:val="Normal"/>
    <w:rsid w:val="00C13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233"/>
    <w:rPr>
      <w:sz w:val="16"/>
      <w:vertAlign w:val="superscript"/>
    </w:rPr>
  </w:style>
  <w:style w:type="character" w:customStyle="1" w:styleId="Symbols">
    <w:name w:val="Symbols"/>
    <w:basedOn w:val="DefaultParagraphFont"/>
    <w:rsid w:val="00C13233"/>
    <w:rPr>
      <w:rFonts w:ascii="Symbol" w:hAnsi="Symbol"/>
    </w:rPr>
  </w:style>
  <w:style w:type="character" w:customStyle="1" w:styleId="MenuOptions">
    <w:name w:val="Menu Options"/>
    <w:basedOn w:val="DefaultParagraphFont"/>
    <w:rsid w:val="00C13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233"/>
    <w:rPr>
      <w:b/>
    </w:rPr>
  </w:style>
  <w:style w:type="character" w:customStyle="1" w:styleId="Underlined">
    <w:name w:val="Underlined"/>
    <w:basedOn w:val="DefaultParagraphFont"/>
    <w:rsid w:val="00C13233"/>
    <w:rPr>
      <w:u w:val="single"/>
    </w:rPr>
  </w:style>
  <w:style w:type="paragraph" w:customStyle="1" w:styleId="TableBodyTextRight">
    <w:name w:val="Table Body Text Right"/>
    <w:basedOn w:val="TableBodyText"/>
    <w:rsid w:val="00C13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233"/>
    <w:rPr>
      <w:sz w:val="18"/>
    </w:rPr>
  </w:style>
  <w:style w:type="paragraph" w:customStyle="1" w:styleId="BodySmallRight">
    <w:name w:val="Body Small Right"/>
    <w:basedOn w:val="BodyTextRight"/>
    <w:rsid w:val="00C13233"/>
    <w:rPr>
      <w:sz w:val="18"/>
      <w:szCs w:val="18"/>
    </w:rPr>
  </w:style>
  <w:style w:type="paragraph" w:customStyle="1" w:styleId="MarginEdition">
    <w:name w:val="Margin Edition"/>
    <w:basedOn w:val="MarginNote"/>
    <w:rsid w:val="00C13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233"/>
    <w:rPr>
      <w:sz w:val="2"/>
      <w:szCs w:val="2"/>
    </w:rPr>
  </w:style>
  <w:style w:type="character" w:customStyle="1" w:styleId="Small">
    <w:name w:val="Small"/>
    <w:basedOn w:val="DefaultParagraphFont"/>
    <w:rsid w:val="00C13233"/>
    <w:rPr>
      <w:sz w:val="16"/>
    </w:rPr>
  </w:style>
  <w:style w:type="paragraph" w:customStyle="1" w:styleId="WideTable">
    <w:name w:val="Wide Table"/>
    <w:basedOn w:val="Normal"/>
    <w:rsid w:val="00C13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233"/>
  </w:style>
  <w:style w:type="paragraph" w:styleId="Quote">
    <w:name w:val="Quote"/>
    <w:basedOn w:val="Heading1"/>
    <w:link w:val="QuoteChar"/>
    <w:qFormat/>
    <w:rsid w:val="00C13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233"/>
    <w:pPr>
      <w:pageBreakBefore/>
    </w:pPr>
  </w:style>
  <w:style w:type="paragraph" w:customStyle="1" w:styleId="Border">
    <w:name w:val="Border"/>
    <w:basedOn w:val="Normal"/>
    <w:qFormat/>
    <w:rsid w:val="00C13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233"/>
    <w:rPr>
      <w:u w:val="single"/>
    </w:rPr>
  </w:style>
  <w:style w:type="character" w:customStyle="1" w:styleId="BoldandItalics">
    <w:name w:val="Bold and Italics"/>
    <w:qFormat/>
    <w:rsid w:val="00C13233"/>
    <w:rPr>
      <w:b/>
      <w:i/>
      <w:u w:val="none"/>
    </w:rPr>
  </w:style>
  <w:style w:type="paragraph" w:styleId="BalloonText">
    <w:name w:val="Balloon Text"/>
    <w:basedOn w:val="Normal"/>
    <w:link w:val="BalloonTextChar"/>
    <w:rsid w:val="00C1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233"/>
    <w:pPr>
      <w:spacing w:before="0" w:after="0"/>
    </w:pPr>
  </w:style>
  <w:style w:type="paragraph" w:customStyle="1" w:styleId="BodyTextBold">
    <w:name w:val="Body Text Bold"/>
    <w:basedOn w:val="BodyText"/>
    <w:qFormat/>
    <w:rsid w:val="00C13233"/>
    <w:rPr>
      <w:b/>
    </w:rPr>
  </w:style>
  <w:style w:type="character" w:styleId="Hyperlink">
    <w:name w:val="Hyperlink"/>
    <w:basedOn w:val="DefaultParagraphFont"/>
    <w:uiPriority w:val="99"/>
    <w:unhideWhenUsed/>
    <w:rsid w:val="00C0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4128</Characters>
  <Application>Microsoft Office Word</Application>
  <DocSecurity>0</DocSecurity>
  <Lines>100</Lines>
  <Paragraphs>71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CHCECE054 Encourage understanding of Aboriginal and/or Torres Strait Islander peoples' cultures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