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513" w:rsidP="00094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CHCECE051 Promote equity in access to the service</w:t>
      </w:r>
      <w:r>
        <w:fldChar w:fldCharType="end"/>
      </w:r>
    </w:p>
    <w:p w:rsidR="00094513" w:rsidP="00094513">
      <w:pPr>
        <w:pStyle w:val="Version"/>
        <w:sectPr w:rsidSect="00643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D79" w:rsidP="00643D79">
      <w:pPr>
        <w:pStyle w:val="SuperHeading"/>
      </w:pPr>
      <w:r w:rsidRPr="00643D79">
        <w:t>Assessment Requirements for CHCECE051 Promote equity in access to the service</w:t>
      </w:r>
    </w:p>
    <w:p w:rsidR="00000000" w:rsidRPr="00643D79" w:rsidP="00643D79">
      <w:pPr>
        <w:pStyle w:val="Heading1"/>
      </w:pPr>
      <w:bookmarkStart w:id="1" w:name="O_1182842"/>
      <w:bookmarkEnd w:id="1"/>
      <w:r w:rsidRPr="00643D79">
        <w:t>Modification History</w:t>
      </w:r>
    </w:p>
    <w:p w:rsidR="00000000" w:rsidRPr="00643D79" w:rsidP="00094513">
      <w:pPr>
        <w:pStyle w:val="BodyText"/>
      </w:pPr>
      <w:r w:rsidRPr="00643D79">
        <w:t>Release 1. CHCECE051 Promote equity in access to the service supers</w:t>
      </w:r>
      <w:r w:rsidRPr="00643D79">
        <w:t xml:space="preserve">edes and is not equivalent to CHCECE027 Promote equity in access to the service. </w:t>
      </w:r>
    </w:p>
    <w:p w:rsidR="00000000" w:rsidRPr="00643D79" w:rsidP="00643D79">
      <w:pPr>
        <w:pStyle w:val="Heading1"/>
      </w:pPr>
      <w:bookmarkStart w:id="2" w:name="O_1182843"/>
      <w:bookmarkEnd w:id="2"/>
      <w:r w:rsidRPr="00643D79">
        <w:t>Performance Evidence</w:t>
      </w:r>
    </w:p>
    <w:p w:rsidR="00000000" w:rsidRPr="00643D79" w:rsidP="00094513">
      <w:pPr>
        <w:pStyle w:val="BodyText"/>
      </w:pPr>
      <w:r w:rsidRPr="00643D79">
        <w:t>Evidence of the ability to complete tasks outlined in elements and performance criteria of this unit in the context of the job role, a</w:t>
      </w:r>
      <w:r w:rsidRPr="00643D79">
        <w:t>nd:</w:t>
      </w:r>
    </w:p>
    <w:p w:rsidR="00000000" w:rsidRPr="00643D79" w:rsidP="00643D79">
      <w:pPr>
        <w:pStyle w:val="ListBullet"/>
      </w:pPr>
      <w:r w:rsidRPr="00643D79">
        <w:t>develop and document strategies to enhance participation for one underrepresented group in the local community.</w:t>
      </w:r>
    </w:p>
    <w:p w:rsidR="00000000" w:rsidRPr="00643D79" w:rsidP="00643D79">
      <w:pPr>
        <w:pStyle w:val="AllowPageBreak"/>
      </w:pPr>
    </w:p>
    <w:p w:rsidR="00000000" w:rsidRPr="00643D79" w:rsidP="00643D79">
      <w:pPr>
        <w:pStyle w:val="Heading1"/>
      </w:pPr>
      <w:bookmarkStart w:id="3" w:name="O_1182844"/>
      <w:bookmarkEnd w:id="3"/>
      <w:r w:rsidRPr="00643D79">
        <w:t>Knowledge Evidence</w:t>
      </w:r>
    </w:p>
    <w:p w:rsidR="00000000" w:rsidRPr="00643D79" w:rsidP="00094513">
      <w:pPr>
        <w:pStyle w:val="BodyText"/>
      </w:pPr>
      <w:r w:rsidRPr="00643D79">
        <w:t>Demonstrated knowledge required to complete the tasks outlined in elements and performance criteria o</w:t>
      </w:r>
      <w:r w:rsidRPr="00643D79">
        <w:t>f this unit:</w:t>
      </w:r>
    </w:p>
    <w:p w:rsidR="00000000" w:rsidRPr="00643D79" w:rsidP="00643D79">
      <w:pPr>
        <w:pStyle w:val="ListBullet"/>
      </w:pPr>
      <w:r w:rsidRPr="00643D79">
        <w:t>current social and political context of early childhood education and care and research about disengaged families</w:t>
      </w:r>
    </w:p>
    <w:p w:rsidR="00000000" w:rsidRPr="00643D79" w:rsidP="00643D79">
      <w:pPr>
        <w:pStyle w:val="ListBullet"/>
      </w:pPr>
      <w:r w:rsidRPr="00643D79">
        <w:t xml:space="preserve">social justice philosophy and principles </w:t>
      </w:r>
    </w:p>
    <w:p w:rsidR="00000000" w:rsidRPr="00643D79" w:rsidP="00643D79">
      <w:pPr>
        <w:pStyle w:val="ListBullet"/>
      </w:pPr>
      <w:r w:rsidRPr="00643D79">
        <w:t>United Nations Convention on the Rights of the Child:</w:t>
      </w:r>
    </w:p>
    <w:p w:rsidR="00000000" w:rsidRPr="00643D79" w:rsidP="00643D79">
      <w:pPr>
        <w:pStyle w:val="ListBullet2"/>
      </w:pPr>
      <w:r w:rsidRPr="00643D79">
        <w:t>its purpose</w:t>
      </w:r>
    </w:p>
    <w:p w:rsidR="00000000" w:rsidRPr="00643D79" w:rsidP="00643D79">
      <w:pPr>
        <w:pStyle w:val="ListBullet2"/>
      </w:pPr>
      <w:r w:rsidRPr="00643D79">
        <w:t xml:space="preserve">the articles relevant to children’s education and care </w:t>
      </w:r>
    </w:p>
    <w:p w:rsidR="00000000" w:rsidRPr="00643D79" w:rsidP="00643D79">
      <w:pPr>
        <w:pStyle w:val="ListBullet"/>
      </w:pPr>
      <w:r w:rsidRPr="00643D79">
        <w:t>Principles of the Equal Opportunity Act 2010 or its successor</w:t>
      </w:r>
    </w:p>
    <w:p w:rsidR="00000000" w:rsidRPr="00643D79" w:rsidP="00643D79">
      <w:pPr>
        <w:pStyle w:val="ListBullet"/>
      </w:pPr>
      <w:r w:rsidRPr="00643D79">
        <w:t>client perspectives on service provision and access to services</w:t>
      </w:r>
    </w:p>
    <w:p w:rsidR="00000000" w:rsidRPr="00643D79" w:rsidP="00643D79">
      <w:pPr>
        <w:pStyle w:val="ListBullet"/>
      </w:pPr>
      <w:r w:rsidRPr="00643D79">
        <w:t>hard to reach populations:</w:t>
      </w:r>
    </w:p>
    <w:p w:rsidR="00000000" w:rsidRPr="00643D79" w:rsidP="00643D79">
      <w:pPr>
        <w:pStyle w:val="ListBullet2"/>
      </w:pPr>
      <w:r w:rsidRPr="00643D79">
        <w:t>barriers to engagement</w:t>
      </w:r>
    </w:p>
    <w:p w:rsidR="00000000" w:rsidRPr="00643D79" w:rsidP="00643D79">
      <w:pPr>
        <w:pStyle w:val="ListBullet2"/>
      </w:pPr>
      <w:r w:rsidRPr="00643D79">
        <w:t>techniques for engagin</w:t>
      </w:r>
      <w:r w:rsidRPr="00643D79">
        <w:t xml:space="preserve">g </w:t>
      </w:r>
    </w:p>
    <w:p w:rsidR="00000000" w:rsidRPr="00643D79" w:rsidP="00643D79">
      <w:pPr>
        <w:pStyle w:val="ListBullet"/>
      </w:pPr>
      <w:r w:rsidRPr="00643D79">
        <w:t>types of barriers to accessing and maintaining engagement with a service and how to address these:</w:t>
      </w:r>
    </w:p>
    <w:p w:rsidR="00000000" w:rsidRPr="00643D79" w:rsidP="00643D79">
      <w:pPr>
        <w:pStyle w:val="ListBullet2"/>
      </w:pPr>
      <w:r w:rsidRPr="00643D79">
        <w:t>service barriers</w:t>
      </w:r>
    </w:p>
    <w:p w:rsidR="00000000" w:rsidRPr="00643D79" w:rsidP="00643D79">
      <w:pPr>
        <w:pStyle w:val="ListBullet2"/>
      </w:pPr>
      <w:r w:rsidRPr="00643D79">
        <w:t>family barriers</w:t>
      </w:r>
    </w:p>
    <w:p w:rsidR="00000000" w:rsidRPr="00643D79" w:rsidP="00643D79">
      <w:pPr>
        <w:pStyle w:val="ListBullet2"/>
      </w:pPr>
      <w:r w:rsidRPr="00643D79">
        <w:t>relational and interpersonal barriers</w:t>
      </w:r>
    </w:p>
    <w:p w:rsidR="00000000" w:rsidRPr="00643D79" w:rsidP="00643D79">
      <w:pPr>
        <w:pStyle w:val="ListBullet"/>
      </w:pPr>
      <w:r w:rsidRPr="00643D79">
        <w:t xml:space="preserve">importance of equity and diversity in early childhood learning, development and </w:t>
      </w:r>
      <w:r w:rsidRPr="00643D79">
        <w:t>teaching:</w:t>
      </w:r>
    </w:p>
    <w:p w:rsidR="00000000" w:rsidRPr="00643D79" w:rsidP="00643D79">
      <w:pPr>
        <w:pStyle w:val="ListBullet2"/>
      </w:pPr>
      <w:r w:rsidRPr="00643D79">
        <w:t>contemporary practice models</w:t>
      </w:r>
    </w:p>
    <w:p w:rsidR="00000000" w:rsidRPr="00643D79" w:rsidP="00643D79">
      <w:pPr>
        <w:pStyle w:val="ListBullet2"/>
      </w:pPr>
      <w:r w:rsidRPr="00643D79">
        <w:t>processes for evaluation of current practice against access and equity principles</w:t>
      </w:r>
    </w:p>
    <w:p w:rsidR="00000000" w:rsidRPr="00643D79" w:rsidP="00643D79">
      <w:pPr>
        <w:pStyle w:val="ListBullet"/>
      </w:pPr>
      <w:r w:rsidRPr="00643D79">
        <w:t>how information can be developed, adapted and communicated to meet the needs of different audiences and community groups, including k</w:t>
      </w:r>
      <w:r w:rsidRPr="00643D79">
        <w:t>ey considerations for:</w:t>
      </w:r>
    </w:p>
    <w:p w:rsidR="00000000" w:rsidRPr="00643D79" w:rsidP="00643D79">
      <w:pPr>
        <w:pStyle w:val="ListBullet2"/>
      </w:pPr>
      <w:r w:rsidRPr="00643D79">
        <w:t>type of media used</w:t>
      </w:r>
    </w:p>
    <w:p w:rsidR="00000000" w:rsidRPr="00643D79" w:rsidP="00643D79">
      <w:pPr>
        <w:pStyle w:val="ListBullet2"/>
      </w:pPr>
      <w:r w:rsidRPr="00643D79">
        <w:t>use of language and imagery</w:t>
      </w:r>
    </w:p>
    <w:p w:rsidR="00000000" w:rsidRPr="00643D79" w:rsidP="00643D79">
      <w:pPr>
        <w:pStyle w:val="ListBullet2"/>
      </w:pPr>
      <w:r w:rsidRPr="00643D79">
        <w:t>distribution mechanisms</w:t>
      </w:r>
    </w:p>
    <w:p w:rsidR="00000000" w:rsidRPr="00643D79" w:rsidP="00643D79">
      <w:pPr>
        <w:pStyle w:val="ListBullet"/>
      </w:pPr>
      <w:r w:rsidRPr="00643D79">
        <w:t>legal and ethical considerations for promoting access and equity and how these are applied in early childhood education and care:</w:t>
      </w:r>
    </w:p>
    <w:p w:rsidR="00000000" w:rsidRPr="00643D79" w:rsidP="00643D79">
      <w:pPr>
        <w:pStyle w:val="ListBullet2"/>
      </w:pPr>
      <w:r w:rsidRPr="00643D79">
        <w:t>complaints and appeals processes</w:t>
      </w:r>
    </w:p>
    <w:p w:rsidR="00000000" w:rsidRPr="00643D79" w:rsidP="00643D79">
      <w:pPr>
        <w:pStyle w:val="ListBullet2"/>
      </w:pPr>
      <w:r w:rsidRPr="00643D79">
        <w:t xml:space="preserve">disability </w:t>
      </w:r>
    </w:p>
    <w:p w:rsidR="00000000" w:rsidRPr="00643D79" w:rsidP="00643D79">
      <w:pPr>
        <w:pStyle w:val="ListBullet2"/>
      </w:pPr>
      <w:r w:rsidRPr="00643D79">
        <w:t>discrimination</w:t>
      </w:r>
    </w:p>
    <w:p w:rsidR="00000000" w:rsidRPr="00643D79" w:rsidP="00643D79">
      <w:pPr>
        <w:pStyle w:val="ListBullet2"/>
      </w:pPr>
      <w:r w:rsidRPr="00643D79">
        <w:t>equal opportunity</w:t>
      </w:r>
    </w:p>
    <w:p w:rsidR="00000000" w:rsidRPr="00643D79" w:rsidP="00643D79">
      <w:pPr>
        <w:pStyle w:val="ListBullet"/>
      </w:pPr>
      <w:r w:rsidRPr="00643D79">
        <w:t>potential users of the service considering:</w:t>
      </w:r>
    </w:p>
    <w:p w:rsidR="00000000" w:rsidRPr="00643D79" w:rsidP="00643D79">
      <w:pPr>
        <w:pStyle w:val="ListBullet2"/>
      </w:pPr>
      <w:r w:rsidRPr="00643D79">
        <w:t>cultural background</w:t>
      </w:r>
    </w:p>
    <w:p w:rsidR="00000000" w:rsidRPr="00643D79" w:rsidP="00643D79">
      <w:pPr>
        <w:pStyle w:val="ListBullet2"/>
      </w:pPr>
      <w:r w:rsidRPr="00643D79">
        <w:t>social circumstances</w:t>
      </w:r>
    </w:p>
    <w:p w:rsidR="00000000" w:rsidRPr="00643D79" w:rsidP="00643D79">
      <w:pPr>
        <w:pStyle w:val="ListBullet2"/>
      </w:pPr>
      <w:r w:rsidRPr="00643D79">
        <w:t>range of abilities and disabilities</w:t>
      </w:r>
    </w:p>
    <w:p w:rsidR="00000000" w:rsidRPr="00643D79" w:rsidP="00643D79">
      <w:pPr>
        <w:pStyle w:val="ListBullet2"/>
      </w:pPr>
      <w:r w:rsidRPr="00643D79">
        <w:t>rural and remote users</w:t>
      </w:r>
    </w:p>
    <w:p w:rsidR="00000000" w:rsidRPr="00643D79" w:rsidP="00643D79">
      <w:pPr>
        <w:pStyle w:val="ListBullet"/>
      </w:pPr>
      <w:r w:rsidRPr="00643D79">
        <w:t>eligibility criteria that impac</w:t>
      </w:r>
      <w:r w:rsidRPr="00643D79">
        <w:t>t access:</w:t>
      </w:r>
    </w:p>
    <w:p w:rsidR="00000000" w:rsidRPr="00643D79" w:rsidP="00643D79">
      <w:pPr>
        <w:pStyle w:val="ListBullet2"/>
      </w:pPr>
      <w:r w:rsidRPr="00643D79">
        <w:t>funding program guidelines</w:t>
      </w:r>
    </w:p>
    <w:p w:rsidR="00000000" w:rsidRPr="00643D79" w:rsidP="00643D79">
      <w:pPr>
        <w:pStyle w:val="ListBullet2"/>
      </w:pPr>
      <w:r w:rsidRPr="00643D79">
        <w:t xml:space="preserve">service guidelines </w:t>
      </w:r>
    </w:p>
    <w:p w:rsidR="00000000" w:rsidRPr="00643D79" w:rsidP="00643D79">
      <w:pPr>
        <w:pStyle w:val="ListBullet2"/>
      </w:pPr>
      <w:r w:rsidRPr="00643D79">
        <w:t>circumstances which lead to a child and family being eligible and having priority for the service</w:t>
      </w:r>
    </w:p>
    <w:p w:rsidR="00000000" w:rsidRPr="00643D79" w:rsidP="00643D79">
      <w:pPr>
        <w:pStyle w:val="ListBullet2"/>
      </w:pPr>
      <w:r w:rsidRPr="00643D79">
        <w:t>circumstances that might exclude a person from the service</w:t>
      </w:r>
    </w:p>
    <w:p w:rsidR="00000000" w:rsidRPr="00643D79" w:rsidP="00643D79">
      <w:pPr>
        <w:pStyle w:val="ListBullet"/>
      </w:pPr>
      <w:r w:rsidRPr="00643D79">
        <w:t>other services available within the local community and the eligibility criteria of these</w:t>
      </w:r>
    </w:p>
    <w:p w:rsidR="00000000" w:rsidRPr="00643D79" w:rsidP="00643D79">
      <w:pPr>
        <w:pStyle w:val="ListBullet"/>
      </w:pPr>
      <w:r w:rsidRPr="00643D79">
        <w:t>service standards, policies and procedures for inclusion.</w:t>
      </w:r>
    </w:p>
    <w:p w:rsidR="00000000" w:rsidRPr="00643D79" w:rsidP="00643D79">
      <w:pPr>
        <w:pStyle w:val="AllowPageBreak"/>
      </w:pPr>
    </w:p>
    <w:p w:rsidR="00000000" w:rsidRPr="00643D79" w:rsidP="00643D79">
      <w:pPr>
        <w:pStyle w:val="Heading1"/>
      </w:pPr>
      <w:bookmarkStart w:id="4" w:name="O_1182845"/>
      <w:bookmarkEnd w:id="4"/>
      <w:r w:rsidRPr="00643D79">
        <w:t>Assessment Conditions</w:t>
      </w:r>
    </w:p>
    <w:p w:rsidR="00000000" w:rsidRPr="00643D79" w:rsidP="00094513">
      <w:pPr>
        <w:pStyle w:val="BodyText"/>
      </w:pPr>
      <w:r w:rsidRPr="00643D79">
        <w:t>Skills must be demonstrated in a workplace that provides services o</w:t>
      </w:r>
      <w:r w:rsidRPr="00643D79">
        <w:t>r support to children and families.</w:t>
      </w:r>
    </w:p>
    <w:p w:rsidR="00000000" w:rsidRPr="00643D79" w:rsidP="00094513">
      <w:pPr>
        <w:pStyle w:val="BodyText"/>
      </w:pPr>
      <w:r w:rsidRPr="00643D79">
        <w:t>Assessment must ensure access to:</w:t>
      </w:r>
    </w:p>
    <w:p w:rsidR="00000000" w:rsidRPr="00643D79" w:rsidP="00643D79">
      <w:pPr>
        <w:pStyle w:val="ListBullet"/>
      </w:pPr>
      <w:r w:rsidRPr="00643D79">
        <w:t>information technology for research and documentation</w:t>
      </w:r>
    </w:p>
    <w:p w:rsidR="00000000" w:rsidRPr="00643D79" w:rsidP="00643D79">
      <w:pPr>
        <w:pStyle w:val="ListBullet"/>
      </w:pPr>
      <w:r w:rsidRPr="00643D79">
        <w:t>service standards, policies and procedures for inclusion.</w:t>
      </w:r>
    </w:p>
    <w:p w:rsidR="00000000" w:rsidRPr="00643D79" w:rsidP="00094513">
      <w:pPr>
        <w:pStyle w:val="BodyText"/>
      </w:pPr>
      <w:r w:rsidRPr="00643D79">
        <w:t>Assessors must satisfy the Standards for Registered Training Organisation</w:t>
      </w:r>
      <w:r w:rsidRPr="00643D79">
        <w:t>s’ requirements for assessors.</w:t>
      </w:r>
    </w:p>
    <w:p w:rsidR="00000000" w:rsidRPr="00643D79" w:rsidP="00643D79">
      <w:pPr>
        <w:pStyle w:val="Heading1"/>
      </w:pPr>
      <w:bookmarkStart w:id="5" w:name="O_1182848"/>
      <w:bookmarkEnd w:id="5"/>
      <w:r w:rsidRPr="00643D79">
        <w:t>Links</w:t>
      </w:r>
    </w:p>
    <w:p w:rsidR="00000000" w:rsidRPr="00643D79" w:rsidP="00094513">
      <w:pPr>
        <w:pStyle w:val="BodyText"/>
      </w:pPr>
      <w:r w:rsidRPr="006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357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43D79" w:rsidP="00643D79"/>
    <w:sectPr w:rsidSect="00643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79" w:rsidRPr="00094513" w:rsidP="00094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13" w:rsidP="00643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513" w:rsidP="00643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4513" w:rsidP="00643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D79" w:rsidRPr="00094513" w:rsidP="00094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13" w:rsidRPr="002D2AF8" w:rsidP="00643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CHCECE051 Promote equity in access to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4513" w:rsidP="00643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54E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BAA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EA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D79"/>
  </w:style>
  <w:style w:type="character" w:customStyle="1" w:styleId="Heading1Char">
    <w:name w:val="Heading 1 Char"/>
    <w:basedOn w:val="DefaultParagraphFont"/>
    <w:link w:val="Heading1"/>
    <w:rsid w:val="00643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D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3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D79"/>
    <w:rPr>
      <w:b/>
      <w:spacing w:val="0"/>
    </w:rPr>
  </w:style>
  <w:style w:type="paragraph" w:customStyle="1" w:styleId="SuperTitle">
    <w:name w:val="SuperTitle"/>
    <w:basedOn w:val="Title"/>
    <w:rsid w:val="00643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D79"/>
    <w:rPr>
      <w:i/>
    </w:rPr>
  </w:style>
  <w:style w:type="paragraph" w:styleId="Caption">
    <w:name w:val="caption"/>
    <w:basedOn w:val="BodyText"/>
    <w:next w:val="Normal"/>
    <w:qFormat/>
    <w:rsid w:val="00643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D79"/>
  </w:style>
  <w:style w:type="paragraph" w:styleId="TableofFigures">
    <w:name w:val="table of figures"/>
    <w:basedOn w:val="Normal"/>
    <w:next w:val="Normal"/>
    <w:semiHidden/>
    <w:rsid w:val="00643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D79"/>
    <w:rPr>
      <w:rFonts w:ascii="Wingdings" w:hAnsi="Wingdings"/>
    </w:rPr>
  </w:style>
  <w:style w:type="paragraph" w:customStyle="1" w:styleId="TableHeading">
    <w:name w:val="Table Heading"/>
    <w:basedOn w:val="HeadingBase"/>
    <w:rsid w:val="00643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D79"/>
    <w:rPr>
      <w:color w:val="0033CC"/>
      <w:u w:val="none"/>
    </w:rPr>
  </w:style>
  <w:style w:type="paragraph" w:customStyle="1" w:styleId="BodyTextRight">
    <w:name w:val="Body Text Right"/>
    <w:basedOn w:val="BodyText"/>
    <w:rsid w:val="00643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D79"/>
    <w:rPr>
      <w:sz w:val="32"/>
    </w:rPr>
  </w:style>
  <w:style w:type="paragraph" w:customStyle="1" w:styleId="HeadingProcedure">
    <w:name w:val="Heading Procedure"/>
    <w:basedOn w:val="HeadingBase"/>
    <w:next w:val="Normal"/>
    <w:rsid w:val="00643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D79"/>
    <w:pPr>
      <w:spacing w:before="60" w:after="60"/>
    </w:pPr>
  </w:style>
  <w:style w:type="paragraph" w:styleId="ListContinue">
    <w:name w:val="List Continue"/>
    <w:basedOn w:val="List"/>
    <w:rsid w:val="00643D79"/>
    <w:pPr>
      <w:ind w:firstLine="0"/>
    </w:pPr>
  </w:style>
  <w:style w:type="paragraph" w:customStyle="1" w:styleId="ListNote">
    <w:name w:val="List Note"/>
    <w:basedOn w:val="List"/>
    <w:rsid w:val="00643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D79"/>
    <w:rPr>
      <w:rFonts w:ascii="Courier New" w:hAnsi="Courier New"/>
    </w:rPr>
  </w:style>
  <w:style w:type="paragraph" w:customStyle="1" w:styleId="NoteBullet">
    <w:name w:val="Note Bullet"/>
    <w:basedOn w:val="Note"/>
    <w:rsid w:val="00643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D79"/>
    <w:rPr>
      <w:b/>
      <w:smallCaps/>
    </w:rPr>
  </w:style>
  <w:style w:type="paragraph" w:customStyle="1" w:styleId="TableListNumber">
    <w:name w:val="Table List Number"/>
    <w:basedOn w:val="ListNumber"/>
    <w:rsid w:val="00643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D79"/>
    <w:pPr>
      <w:numPr>
        <w:numId w:val="9"/>
      </w:numPr>
    </w:pPr>
  </w:style>
  <w:style w:type="paragraph" w:customStyle="1" w:styleId="ListAlpha2">
    <w:name w:val="List Alpha 2"/>
    <w:basedOn w:val="List2"/>
    <w:rsid w:val="00643D79"/>
    <w:pPr>
      <w:numPr>
        <w:numId w:val="8"/>
      </w:numPr>
    </w:pPr>
  </w:style>
  <w:style w:type="paragraph" w:styleId="List2">
    <w:name w:val="List 2"/>
    <w:basedOn w:val="BodyText"/>
    <w:rsid w:val="00643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D79"/>
    <w:pPr>
      <w:numPr>
        <w:numId w:val="4"/>
      </w:numPr>
    </w:pPr>
  </w:style>
  <w:style w:type="paragraph" w:styleId="ListContinue2">
    <w:name w:val="List Continue 2"/>
    <w:basedOn w:val="List2"/>
    <w:rsid w:val="00643D79"/>
    <w:pPr>
      <w:ind w:firstLine="0"/>
    </w:pPr>
  </w:style>
  <w:style w:type="paragraph" w:styleId="ListContinue3">
    <w:name w:val="List Continue 3"/>
    <w:basedOn w:val="List3"/>
    <w:rsid w:val="00643D79"/>
    <w:pPr>
      <w:ind w:left="1021" w:firstLine="0"/>
    </w:pPr>
  </w:style>
  <w:style w:type="paragraph" w:styleId="ListContinue4">
    <w:name w:val="List Continue 4"/>
    <w:basedOn w:val="List4"/>
    <w:rsid w:val="00643D79"/>
    <w:pPr>
      <w:ind w:firstLine="0"/>
    </w:pPr>
  </w:style>
  <w:style w:type="paragraph" w:styleId="ListContinue5">
    <w:name w:val="List Continue 5"/>
    <w:basedOn w:val="List5"/>
    <w:rsid w:val="00643D79"/>
    <w:pPr>
      <w:ind w:firstLine="0"/>
    </w:pPr>
  </w:style>
  <w:style w:type="paragraph" w:styleId="ListNumber3">
    <w:name w:val="List Number 3"/>
    <w:basedOn w:val="List3"/>
    <w:rsid w:val="00643D79"/>
    <w:pPr>
      <w:numPr>
        <w:numId w:val="5"/>
      </w:numPr>
    </w:pPr>
  </w:style>
  <w:style w:type="paragraph" w:styleId="ListNumber4">
    <w:name w:val="List Number 4"/>
    <w:basedOn w:val="List4"/>
    <w:rsid w:val="00643D79"/>
    <w:pPr>
      <w:numPr>
        <w:numId w:val="6"/>
      </w:numPr>
    </w:pPr>
  </w:style>
  <w:style w:type="paragraph" w:styleId="ListNumber5">
    <w:name w:val="List Number 5"/>
    <w:basedOn w:val="List5"/>
    <w:rsid w:val="00643D79"/>
    <w:pPr>
      <w:numPr>
        <w:numId w:val="7"/>
      </w:numPr>
    </w:pPr>
  </w:style>
  <w:style w:type="paragraph" w:styleId="BlockText">
    <w:name w:val="Block Text"/>
    <w:basedOn w:val="Normal"/>
    <w:rsid w:val="00643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D79"/>
    <w:rPr>
      <w:sz w:val="16"/>
      <w:vertAlign w:val="superscript"/>
    </w:rPr>
  </w:style>
  <w:style w:type="character" w:customStyle="1" w:styleId="Symbols">
    <w:name w:val="Symbols"/>
    <w:basedOn w:val="DefaultParagraphFont"/>
    <w:rsid w:val="00643D79"/>
    <w:rPr>
      <w:rFonts w:ascii="Symbol" w:hAnsi="Symbol"/>
    </w:rPr>
  </w:style>
  <w:style w:type="character" w:customStyle="1" w:styleId="MenuOptions">
    <w:name w:val="Menu Options"/>
    <w:basedOn w:val="DefaultParagraphFont"/>
    <w:rsid w:val="00643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D79"/>
    <w:rPr>
      <w:b/>
    </w:rPr>
  </w:style>
  <w:style w:type="character" w:customStyle="1" w:styleId="Underlined">
    <w:name w:val="Underlined"/>
    <w:basedOn w:val="DefaultParagraphFont"/>
    <w:rsid w:val="00643D79"/>
    <w:rPr>
      <w:u w:val="single"/>
    </w:rPr>
  </w:style>
  <w:style w:type="paragraph" w:customStyle="1" w:styleId="TableBodyTextRight">
    <w:name w:val="Table Body Text Right"/>
    <w:basedOn w:val="TableBodyText"/>
    <w:rsid w:val="00643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D79"/>
    <w:rPr>
      <w:sz w:val="18"/>
    </w:rPr>
  </w:style>
  <w:style w:type="paragraph" w:customStyle="1" w:styleId="BodySmallRight">
    <w:name w:val="Body Small Right"/>
    <w:basedOn w:val="BodyTextRight"/>
    <w:rsid w:val="00643D79"/>
    <w:rPr>
      <w:sz w:val="18"/>
      <w:szCs w:val="18"/>
    </w:rPr>
  </w:style>
  <w:style w:type="paragraph" w:customStyle="1" w:styleId="MarginEdition">
    <w:name w:val="Margin Edition"/>
    <w:basedOn w:val="MarginNote"/>
    <w:rsid w:val="00643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D79"/>
    <w:rPr>
      <w:sz w:val="2"/>
      <w:szCs w:val="2"/>
    </w:rPr>
  </w:style>
  <w:style w:type="character" w:customStyle="1" w:styleId="Small">
    <w:name w:val="Small"/>
    <w:basedOn w:val="DefaultParagraphFont"/>
    <w:rsid w:val="00643D79"/>
    <w:rPr>
      <w:sz w:val="16"/>
    </w:rPr>
  </w:style>
  <w:style w:type="paragraph" w:customStyle="1" w:styleId="WideTable">
    <w:name w:val="Wide Table"/>
    <w:basedOn w:val="Normal"/>
    <w:rsid w:val="00643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D79"/>
  </w:style>
  <w:style w:type="paragraph" w:styleId="Quote">
    <w:name w:val="Quote"/>
    <w:basedOn w:val="Heading1"/>
    <w:link w:val="QuoteChar"/>
    <w:qFormat/>
    <w:rsid w:val="00643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D79"/>
    <w:pPr>
      <w:pageBreakBefore/>
    </w:pPr>
  </w:style>
  <w:style w:type="paragraph" w:customStyle="1" w:styleId="Border">
    <w:name w:val="Border"/>
    <w:basedOn w:val="Normal"/>
    <w:qFormat/>
    <w:rsid w:val="00643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D79"/>
    <w:rPr>
      <w:u w:val="single"/>
    </w:rPr>
  </w:style>
  <w:style w:type="character" w:customStyle="1" w:styleId="BoldandItalics">
    <w:name w:val="Bold and Italics"/>
    <w:qFormat/>
    <w:rsid w:val="00643D79"/>
    <w:rPr>
      <w:b/>
      <w:i/>
      <w:u w:val="none"/>
    </w:rPr>
  </w:style>
  <w:style w:type="paragraph" w:styleId="BalloonText">
    <w:name w:val="Balloon Text"/>
    <w:basedOn w:val="Normal"/>
    <w:link w:val="BalloonTextChar"/>
    <w:rsid w:val="00643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D79"/>
    <w:pPr>
      <w:spacing w:before="0" w:after="0"/>
    </w:pPr>
  </w:style>
  <w:style w:type="paragraph" w:customStyle="1" w:styleId="BodyTextBold">
    <w:name w:val="Body Text Bold"/>
    <w:basedOn w:val="BodyText"/>
    <w:qFormat/>
    <w:rsid w:val="00643D79"/>
    <w:rPr>
      <w:b/>
    </w:rPr>
  </w:style>
  <w:style w:type="character" w:styleId="Hyperlink">
    <w:name w:val="Hyperlink"/>
    <w:basedOn w:val="DefaultParagraphFont"/>
    <w:uiPriority w:val="99"/>
    <w:unhideWhenUsed/>
    <w:rsid w:val="00094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2823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CHCECE051 Promote equity in access to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