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6B40" w:rsidP="00116B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CHCECE043 Nurture creativity in children</w:t>
      </w:r>
      <w:r>
        <w:fldChar w:fldCharType="end"/>
      </w:r>
    </w:p>
    <w:p w:rsidR="00116B40" w:rsidP="00116B40">
      <w:pPr>
        <w:pStyle w:val="Version"/>
        <w:sectPr w:rsidSect="00C75F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5FE2" w:rsidP="00C75FE2">
      <w:pPr>
        <w:pStyle w:val="SuperHeading"/>
      </w:pPr>
      <w:r w:rsidRPr="00C75FE2">
        <w:t>Assessment Requirements for CHCECE043 Nurture creativity in children</w:t>
      </w:r>
    </w:p>
    <w:p w:rsidR="00000000" w:rsidRPr="00C75FE2" w:rsidP="00C75FE2">
      <w:pPr>
        <w:pStyle w:val="Heading1"/>
      </w:pPr>
      <w:bookmarkStart w:id="1" w:name="O_1182690"/>
      <w:bookmarkEnd w:id="1"/>
      <w:r w:rsidRPr="00C75FE2">
        <w:t>Modification History</w:t>
      </w:r>
    </w:p>
    <w:p w:rsidR="00000000" w:rsidRPr="00C75FE2" w:rsidP="00116B40">
      <w:pPr>
        <w:pStyle w:val="BodyText"/>
      </w:pPr>
      <w:r w:rsidRPr="00C75FE2">
        <w:t xml:space="preserve">Release 1. CHCECE043 Nurture creativity in children supersedes and is not equivalent to CHCECE018 Nurture creativity in children. </w:t>
      </w:r>
    </w:p>
    <w:p w:rsidR="00000000" w:rsidRPr="00C75FE2" w:rsidP="00C75FE2">
      <w:pPr>
        <w:pStyle w:val="Heading1"/>
      </w:pPr>
      <w:bookmarkStart w:id="2" w:name="O_1182691"/>
      <w:bookmarkEnd w:id="2"/>
      <w:r w:rsidRPr="00C75FE2">
        <w:t>Performance Evidence</w:t>
      </w:r>
    </w:p>
    <w:p w:rsidR="00000000" w:rsidRPr="00C75FE2" w:rsidP="00116B40">
      <w:pPr>
        <w:pStyle w:val="BodyText"/>
      </w:pPr>
      <w:r w:rsidRPr="00C75FE2">
        <w:t>Evidence of the ability to complete tasks outlined in elements and performance criteria of this unit in the context of the job role, and:</w:t>
      </w:r>
    </w:p>
    <w:p w:rsidR="00000000" w:rsidRPr="00C75FE2" w:rsidP="00C75FE2">
      <w:pPr>
        <w:pStyle w:val="ListBullet"/>
      </w:pPr>
      <w:r w:rsidRPr="00C75FE2">
        <w:t>plan and implement at least three experiences for children between the ages of birth an</w:t>
      </w:r>
      <w:r w:rsidRPr="00C75FE2">
        <w:t xml:space="preserve">d six years that collectively involve all of the following: </w:t>
      </w:r>
    </w:p>
    <w:p w:rsidR="00000000" w:rsidRPr="00C75FE2" w:rsidP="00C75FE2">
      <w:pPr>
        <w:pStyle w:val="ListBullet2"/>
      </w:pPr>
      <w:r w:rsidRPr="00C75FE2">
        <w:t>construction</w:t>
      </w:r>
    </w:p>
    <w:p w:rsidR="00000000" w:rsidRPr="00C75FE2" w:rsidP="00C75FE2">
      <w:pPr>
        <w:pStyle w:val="ListBullet2"/>
      </w:pPr>
      <w:r w:rsidRPr="00C75FE2">
        <w:t>digital technologies</w:t>
      </w:r>
    </w:p>
    <w:p w:rsidR="00000000" w:rsidRPr="00C75FE2" w:rsidP="00C75FE2">
      <w:pPr>
        <w:pStyle w:val="ListBullet2"/>
      </w:pPr>
      <w:r w:rsidRPr="00C75FE2">
        <w:t xml:space="preserve">dramatic play </w:t>
      </w:r>
    </w:p>
    <w:p w:rsidR="00000000" w:rsidRPr="00C75FE2" w:rsidP="00C75FE2">
      <w:pPr>
        <w:pStyle w:val="ListBullet2"/>
      </w:pPr>
      <w:r w:rsidRPr="00C75FE2">
        <w:t>imaginative play</w:t>
      </w:r>
    </w:p>
    <w:p w:rsidR="00000000" w:rsidRPr="00C75FE2" w:rsidP="00C75FE2">
      <w:pPr>
        <w:pStyle w:val="ListBullet2"/>
      </w:pPr>
      <w:r w:rsidRPr="00C75FE2">
        <w:t>language and storytelling</w:t>
      </w:r>
    </w:p>
    <w:p w:rsidR="00000000" w:rsidRPr="00C75FE2" w:rsidP="00C75FE2">
      <w:pPr>
        <w:pStyle w:val="ListBullet2"/>
      </w:pPr>
      <w:r w:rsidRPr="00C75FE2">
        <w:t>movement</w:t>
      </w:r>
    </w:p>
    <w:p w:rsidR="00000000" w:rsidRPr="00C75FE2" w:rsidP="00C75FE2">
      <w:pPr>
        <w:pStyle w:val="ListBullet2"/>
      </w:pPr>
      <w:r w:rsidRPr="00C75FE2">
        <w:t>music</w:t>
      </w:r>
    </w:p>
    <w:p w:rsidR="00000000" w:rsidRPr="00C75FE2" w:rsidP="00C75FE2">
      <w:pPr>
        <w:pStyle w:val="ListBullet2"/>
      </w:pPr>
      <w:r w:rsidRPr="00C75FE2">
        <w:t>science, technology, engineering, arts and maths (STEAM)</w:t>
      </w:r>
    </w:p>
    <w:p w:rsidR="00000000" w:rsidRPr="00C75FE2" w:rsidP="00C75FE2">
      <w:pPr>
        <w:pStyle w:val="ListBullet2"/>
      </w:pPr>
      <w:r w:rsidRPr="00C75FE2">
        <w:t>visual art</w:t>
      </w:r>
    </w:p>
    <w:p w:rsidR="00000000" w:rsidRPr="00C75FE2" w:rsidP="00C75FE2">
      <w:pPr>
        <w:pStyle w:val="ListBullet"/>
      </w:pPr>
      <w:r w:rsidRPr="00C75FE2">
        <w:t>document evaluation outcomes for each of the above planned experiences.</w:t>
      </w:r>
    </w:p>
    <w:p w:rsidR="00000000" w:rsidRPr="00C75FE2" w:rsidP="00C75FE2">
      <w:pPr>
        <w:pStyle w:val="AllowPageBreak"/>
      </w:pPr>
    </w:p>
    <w:p w:rsidR="00000000" w:rsidRPr="00C75FE2" w:rsidP="00C75FE2">
      <w:pPr>
        <w:pStyle w:val="Heading1"/>
      </w:pPr>
      <w:bookmarkStart w:id="3" w:name="O_1182692"/>
      <w:bookmarkEnd w:id="3"/>
      <w:r w:rsidRPr="00C75FE2">
        <w:t>Knowledge Evidence</w:t>
      </w:r>
    </w:p>
    <w:p w:rsidR="00000000" w:rsidRPr="00C75FE2" w:rsidP="00116B40">
      <w:pPr>
        <w:pStyle w:val="BodyText"/>
      </w:pPr>
      <w:r w:rsidRPr="00C75FE2">
        <w:t>Demonstrated knowledge required to complete the tasks outlined in elements and performance criteria of this unit:</w:t>
      </w:r>
    </w:p>
    <w:p w:rsidR="00000000" w:rsidRPr="00C75FE2" w:rsidP="00C75FE2">
      <w:pPr>
        <w:pStyle w:val="ListBullet"/>
      </w:pPr>
      <w:r w:rsidRPr="00C75FE2">
        <w:t>requirements of the following N</w:t>
      </w:r>
      <w:r w:rsidRPr="00C75FE2">
        <w:t>ational Quality Standard and related regulations and laws applicable to this unit including:</w:t>
      </w:r>
    </w:p>
    <w:p w:rsidR="00000000" w:rsidRPr="00C75FE2" w:rsidP="00C75FE2">
      <w:pPr>
        <w:pStyle w:val="ListBullet2"/>
      </w:pPr>
      <w:r w:rsidRPr="00C75FE2">
        <w:t>children’s health and safety</w:t>
      </w:r>
    </w:p>
    <w:p w:rsidR="00000000" w:rsidRPr="00C75FE2" w:rsidP="00C75FE2">
      <w:pPr>
        <w:pStyle w:val="ListBullet2"/>
      </w:pPr>
      <w:r w:rsidRPr="00C75FE2">
        <w:t>educational program and practice</w:t>
      </w:r>
    </w:p>
    <w:p w:rsidR="00000000" w:rsidRPr="00C75FE2" w:rsidP="00C75FE2">
      <w:pPr>
        <w:pStyle w:val="ListBullet2"/>
      </w:pPr>
      <w:r w:rsidRPr="00C75FE2">
        <w:t>physical environment</w:t>
      </w:r>
    </w:p>
    <w:p w:rsidR="00000000" w:rsidRPr="00C75FE2" w:rsidP="00C75FE2">
      <w:pPr>
        <w:pStyle w:val="ListBullet2"/>
      </w:pPr>
      <w:r w:rsidRPr="00C75FE2">
        <w:t>relationships with children</w:t>
      </w:r>
    </w:p>
    <w:p w:rsidR="00000000" w:rsidRPr="00C75FE2" w:rsidP="00C75FE2">
      <w:pPr>
        <w:pStyle w:val="ListBullet"/>
      </w:pPr>
      <w:r w:rsidRPr="00C75FE2">
        <w:t>current research and theories about the role of th</w:t>
      </w:r>
      <w:r w:rsidRPr="00C75FE2">
        <w:t>e arts and creativity, including:</w:t>
      </w:r>
    </w:p>
    <w:p w:rsidR="00000000" w:rsidRPr="00C75FE2" w:rsidP="00C75FE2">
      <w:pPr>
        <w:pStyle w:val="ListBullet2"/>
      </w:pPr>
      <w:r w:rsidRPr="00C75FE2">
        <w:t>the value of process as well as product</w:t>
      </w:r>
    </w:p>
    <w:p w:rsidR="00000000" w:rsidRPr="00C75FE2" w:rsidP="00C75FE2">
      <w:pPr>
        <w:pStyle w:val="ListBullet2"/>
      </w:pPr>
      <w:r w:rsidRPr="00C75FE2">
        <w:t>arts and creativity in diverse cultures</w:t>
      </w:r>
    </w:p>
    <w:p w:rsidR="00000000" w:rsidRPr="00C75FE2" w:rsidP="00C75FE2">
      <w:pPr>
        <w:pStyle w:val="ListBullet2"/>
      </w:pPr>
      <w:r w:rsidRPr="00C75FE2">
        <w:t>forms of artistic expression</w:t>
      </w:r>
    </w:p>
    <w:p w:rsidR="00000000" w:rsidRPr="00C75FE2" w:rsidP="00C75FE2">
      <w:pPr>
        <w:pStyle w:val="ListBullet2"/>
      </w:pPr>
      <w:r w:rsidRPr="00C75FE2">
        <w:t>the importance of creative freedom</w:t>
      </w:r>
    </w:p>
    <w:p w:rsidR="00000000" w:rsidRPr="00C75FE2" w:rsidP="00C75FE2">
      <w:pPr>
        <w:pStyle w:val="ListBullet"/>
      </w:pPr>
      <w:r w:rsidRPr="00C75FE2">
        <w:t>techniques and skills in the creative areas at a level sufficient to assist children implement their ideas</w:t>
      </w:r>
    </w:p>
    <w:p w:rsidR="00000000" w:rsidRPr="00C75FE2" w:rsidP="00C75FE2">
      <w:pPr>
        <w:pStyle w:val="ListBullet"/>
      </w:pPr>
      <w:r w:rsidRPr="00C75FE2">
        <w:t xml:space="preserve">maintenance of resources and equipment used in creative experiences </w:t>
      </w:r>
    </w:p>
    <w:p w:rsidR="00000000" w:rsidRPr="00C75FE2" w:rsidP="00C75FE2">
      <w:pPr>
        <w:pStyle w:val="ListBullet"/>
      </w:pPr>
      <w:r w:rsidRPr="00C75FE2">
        <w:t>types of creative opportunities in the following areas, how to match these to ch</w:t>
      </w:r>
      <w:r w:rsidRPr="00C75FE2">
        <w:t>ildren’s interests, and the appropriate types of resources required, including re-cycled, re-purposed or re-used:</w:t>
      </w:r>
    </w:p>
    <w:p w:rsidR="00000000" w:rsidRPr="00C75FE2" w:rsidP="00C75FE2">
      <w:pPr>
        <w:pStyle w:val="ListBullet2"/>
      </w:pPr>
      <w:r w:rsidRPr="00C75FE2">
        <w:t>construction</w:t>
      </w:r>
    </w:p>
    <w:p w:rsidR="00000000" w:rsidRPr="00C75FE2" w:rsidP="00C75FE2">
      <w:pPr>
        <w:pStyle w:val="ListBullet2"/>
      </w:pPr>
      <w:r w:rsidRPr="00C75FE2">
        <w:t>digital technologies</w:t>
      </w:r>
    </w:p>
    <w:p w:rsidR="00000000" w:rsidRPr="00C75FE2" w:rsidP="00C75FE2">
      <w:pPr>
        <w:pStyle w:val="ListBullet2"/>
      </w:pPr>
      <w:r w:rsidRPr="00C75FE2">
        <w:t xml:space="preserve">dramatic play </w:t>
      </w:r>
    </w:p>
    <w:p w:rsidR="00000000" w:rsidRPr="00C75FE2" w:rsidP="00C75FE2">
      <w:pPr>
        <w:pStyle w:val="ListBullet2"/>
      </w:pPr>
      <w:r w:rsidRPr="00C75FE2">
        <w:t>imaginative play</w:t>
      </w:r>
    </w:p>
    <w:p w:rsidR="00000000" w:rsidRPr="00C75FE2" w:rsidP="00C75FE2">
      <w:pPr>
        <w:pStyle w:val="ListBullet2"/>
      </w:pPr>
      <w:r w:rsidRPr="00C75FE2">
        <w:t>language and storytelling</w:t>
      </w:r>
    </w:p>
    <w:p w:rsidR="00000000" w:rsidRPr="00C75FE2" w:rsidP="00C75FE2">
      <w:pPr>
        <w:pStyle w:val="ListBullet2"/>
      </w:pPr>
      <w:r w:rsidRPr="00C75FE2">
        <w:t>movement</w:t>
      </w:r>
    </w:p>
    <w:p w:rsidR="00000000" w:rsidRPr="00C75FE2" w:rsidP="00C75FE2">
      <w:pPr>
        <w:pStyle w:val="ListBullet2"/>
      </w:pPr>
      <w:r w:rsidRPr="00C75FE2">
        <w:t>music</w:t>
      </w:r>
    </w:p>
    <w:p w:rsidR="00000000" w:rsidRPr="00C75FE2" w:rsidP="00C75FE2">
      <w:pPr>
        <w:pStyle w:val="ListBullet2"/>
      </w:pPr>
      <w:r w:rsidRPr="00C75FE2">
        <w:t>science, technology, engineering a</w:t>
      </w:r>
      <w:r w:rsidRPr="00C75FE2">
        <w:t>rts and maths (STEAM)</w:t>
      </w:r>
    </w:p>
    <w:p w:rsidR="00000000" w:rsidRPr="00C75FE2" w:rsidP="00C75FE2">
      <w:pPr>
        <w:pStyle w:val="ListBullet2"/>
      </w:pPr>
      <w:r w:rsidRPr="00C75FE2">
        <w:t xml:space="preserve">visual art </w:t>
      </w:r>
    </w:p>
    <w:p w:rsidR="00000000" w:rsidRPr="00C75FE2" w:rsidP="00C75FE2">
      <w:pPr>
        <w:pStyle w:val="ListBullet"/>
      </w:pPr>
      <w:r w:rsidRPr="00C75FE2">
        <w:t>ways to structure experiences in the above areas that encourage and support:</w:t>
      </w:r>
    </w:p>
    <w:p w:rsidR="00000000" w:rsidRPr="00C75FE2" w:rsidP="00C75FE2">
      <w:pPr>
        <w:pStyle w:val="ListBullet2"/>
      </w:pPr>
      <w:r w:rsidRPr="00C75FE2">
        <w:t>active learning</w:t>
      </w:r>
    </w:p>
    <w:p w:rsidR="00000000" w:rsidRPr="00C75FE2" w:rsidP="00C75FE2">
      <w:pPr>
        <w:pStyle w:val="ListBullet2"/>
      </w:pPr>
      <w:r w:rsidRPr="00C75FE2">
        <w:t>applying aesthetic values</w:t>
      </w:r>
    </w:p>
    <w:p w:rsidR="00000000" w:rsidRPr="00C75FE2" w:rsidP="00C75FE2">
      <w:pPr>
        <w:pStyle w:val="ListBullet2"/>
      </w:pPr>
      <w:r w:rsidRPr="00C75FE2">
        <w:t>fostering children’s agency</w:t>
      </w:r>
    </w:p>
    <w:p w:rsidR="00000000" w:rsidRPr="00C75FE2" w:rsidP="00C75FE2">
      <w:pPr>
        <w:pStyle w:val="ListBullet2"/>
      </w:pPr>
      <w:r w:rsidRPr="00C75FE2">
        <w:t>culturally awareness and sensitivity</w:t>
      </w:r>
    </w:p>
    <w:p w:rsidR="00000000" w:rsidRPr="00C75FE2" w:rsidP="00C75FE2">
      <w:pPr>
        <w:pStyle w:val="ListBullet2"/>
      </w:pPr>
      <w:r w:rsidRPr="00C75FE2">
        <w:t>fostering curiosity</w:t>
      </w:r>
    </w:p>
    <w:p w:rsidR="00000000" w:rsidRPr="00C75FE2" w:rsidP="00C75FE2">
      <w:pPr>
        <w:pStyle w:val="ListBullet2"/>
      </w:pPr>
      <w:r w:rsidRPr="00C75FE2">
        <w:t>developing literacy</w:t>
      </w:r>
    </w:p>
    <w:p w:rsidR="00000000" w:rsidRPr="00C75FE2" w:rsidP="00C75FE2">
      <w:pPr>
        <w:pStyle w:val="ListBullet2"/>
      </w:pPr>
      <w:r w:rsidRPr="00C75FE2">
        <w:t>ensuring safety</w:t>
      </w:r>
    </w:p>
    <w:p w:rsidR="00000000" w:rsidRPr="00C75FE2" w:rsidP="00C75FE2">
      <w:pPr>
        <w:pStyle w:val="ListBullet"/>
      </w:pPr>
      <w:r w:rsidRPr="00C75FE2">
        <w:t>critical reflection:</w:t>
      </w:r>
    </w:p>
    <w:p w:rsidR="00000000" w:rsidRPr="00C75FE2" w:rsidP="00C75FE2">
      <w:pPr>
        <w:pStyle w:val="ListBullet2"/>
      </w:pPr>
      <w:r w:rsidRPr="00C75FE2">
        <w:t>what is critical reflection</w:t>
      </w:r>
    </w:p>
    <w:p w:rsidR="00000000" w:rsidRPr="00C75FE2" w:rsidP="00C75FE2">
      <w:pPr>
        <w:pStyle w:val="ListBullet2"/>
      </w:pPr>
      <w:r w:rsidRPr="00C75FE2">
        <w:t>why and how educators use critical reflection</w:t>
      </w:r>
    </w:p>
    <w:p w:rsidR="00000000" w:rsidRPr="00C75FE2" w:rsidP="00C75FE2">
      <w:pPr>
        <w:pStyle w:val="ListBullet2"/>
      </w:pPr>
      <w:r w:rsidRPr="00C75FE2">
        <w:t>what makes for meaningful critical reflection</w:t>
      </w:r>
    </w:p>
    <w:p w:rsidR="00000000" w:rsidRPr="00C75FE2" w:rsidP="00C75FE2">
      <w:pPr>
        <w:pStyle w:val="ListBullet"/>
      </w:pPr>
      <w:r w:rsidRPr="00C75FE2">
        <w:t>evaluation methods for reviewing children’s learning and educator’s practice</w:t>
      </w:r>
      <w:r w:rsidRPr="00C75FE2">
        <w:t>s throughout the artistic process.</w:t>
      </w:r>
    </w:p>
    <w:p w:rsidR="00000000" w:rsidRPr="00C75FE2" w:rsidP="00C75FE2">
      <w:pPr>
        <w:pStyle w:val="AllowPageBreak"/>
      </w:pPr>
    </w:p>
    <w:p w:rsidR="00000000" w:rsidRPr="00C75FE2" w:rsidP="00C75FE2">
      <w:pPr>
        <w:pStyle w:val="Heading1"/>
      </w:pPr>
      <w:bookmarkStart w:id="4" w:name="O_1182693"/>
      <w:bookmarkEnd w:id="4"/>
      <w:r w:rsidRPr="00C75FE2">
        <w:t>Assessment Conditions</w:t>
      </w:r>
    </w:p>
    <w:p w:rsidR="00000000" w:rsidRPr="00C75FE2" w:rsidP="00116B40">
      <w:pPr>
        <w:pStyle w:val="BodyText"/>
      </w:pPr>
      <w:r w:rsidRPr="00C75FE2">
        <w:t>Skills must be demonstrated in a regulated children’s education and care service in Australia:</w:t>
      </w:r>
    </w:p>
    <w:p w:rsidR="00000000" w:rsidRPr="00C75FE2" w:rsidP="00C75FE2">
      <w:pPr>
        <w:pStyle w:val="ListBullet"/>
      </w:pPr>
      <w:r w:rsidRPr="00C75FE2">
        <w:t>the following aspects of performance evidence must be directly observed by the assessor:</w:t>
      </w:r>
    </w:p>
    <w:p w:rsidR="00000000" w:rsidRPr="00C75FE2" w:rsidP="00C75FE2">
      <w:pPr>
        <w:pStyle w:val="ListBullet2"/>
      </w:pPr>
      <w:r w:rsidRPr="00C75FE2">
        <w:t>provision of one experience</w:t>
      </w:r>
    </w:p>
    <w:p w:rsidR="00000000" w:rsidRPr="00C75FE2" w:rsidP="00C75FE2">
      <w:pPr>
        <w:pStyle w:val="ListBullet"/>
      </w:pPr>
      <w:r w:rsidRPr="00C75FE2">
        <w:t>remaining performance evidence may be collected through authenticated third-party reports</w:t>
      </w:r>
    </w:p>
    <w:p w:rsidR="00000000" w:rsidRPr="00C75FE2" w:rsidP="00C75FE2">
      <w:pPr>
        <w:pStyle w:val="ListBullet"/>
      </w:pPr>
      <w:r w:rsidRPr="00C75FE2">
        <w:t>observation and third-party reports must be sup</w:t>
      </w:r>
      <w:r w:rsidRPr="00C75FE2">
        <w:t>plemented by other forms of evidence</w:t>
      </w:r>
    </w:p>
    <w:p w:rsidR="00000000" w:rsidRPr="00C75FE2" w:rsidP="00C75FE2">
      <w:pPr>
        <w:pStyle w:val="ListBullet"/>
      </w:pPr>
      <w:r w:rsidRPr="00C75FE2">
        <w:t>interactions with children must be supervised by an approved early childhood educator.</w:t>
      </w:r>
    </w:p>
    <w:p w:rsidR="00000000" w:rsidRPr="00C75FE2" w:rsidP="00116B40">
      <w:pPr>
        <w:pStyle w:val="BodyText"/>
      </w:pPr>
      <w:r w:rsidRPr="00C75FE2">
        <w:t>Skills related to planning and evaluation may be demonstrated outside of the service, but must be based on work in a regulated child</w:t>
      </w:r>
      <w:r w:rsidRPr="00C75FE2">
        <w:t>ren’s education and care service in Australia.</w:t>
      </w:r>
    </w:p>
    <w:p w:rsidR="00000000" w:rsidRPr="00C75FE2" w:rsidP="00116B40">
      <w:pPr>
        <w:pStyle w:val="BodyText"/>
      </w:pPr>
      <w:r w:rsidRPr="00C75FE2">
        <w:t>Assessment must ensure access to:</w:t>
      </w:r>
    </w:p>
    <w:p w:rsidR="00000000" w:rsidRPr="00C75FE2" w:rsidP="00C75FE2">
      <w:pPr>
        <w:pStyle w:val="ListBullet"/>
      </w:pPr>
      <w:r w:rsidRPr="00C75FE2">
        <w:t xml:space="preserve">curriculum documentation </w:t>
      </w:r>
    </w:p>
    <w:p w:rsidR="00000000" w:rsidRPr="00C75FE2" w:rsidP="00C75FE2">
      <w:pPr>
        <w:pStyle w:val="ListBullet"/>
      </w:pPr>
      <w:r w:rsidRPr="00C75FE2">
        <w:t>resources that support the specific opportunities for creativity</w:t>
      </w:r>
    </w:p>
    <w:p w:rsidR="00000000" w:rsidRPr="00C75FE2" w:rsidP="00C75FE2">
      <w:pPr>
        <w:pStyle w:val="ListBullet"/>
      </w:pPr>
      <w:r w:rsidRPr="00C75FE2">
        <w:t xml:space="preserve">information technology </w:t>
      </w:r>
    </w:p>
    <w:p w:rsidR="00000000" w:rsidRPr="00C75FE2" w:rsidP="00C75FE2">
      <w:pPr>
        <w:pStyle w:val="ListBullet"/>
      </w:pPr>
      <w:r w:rsidRPr="00C75FE2">
        <w:t>National Quality Framework:</w:t>
      </w:r>
    </w:p>
    <w:p w:rsidR="00000000" w:rsidRPr="00C75FE2" w:rsidP="00C75FE2">
      <w:pPr>
        <w:pStyle w:val="ListBullet2"/>
      </w:pPr>
      <w:r w:rsidRPr="00C75FE2">
        <w:t>National Quality Standard</w:t>
      </w:r>
    </w:p>
    <w:p w:rsidR="00000000" w:rsidRPr="00C75FE2" w:rsidP="00C75FE2">
      <w:pPr>
        <w:pStyle w:val="ListBullet2"/>
      </w:pPr>
      <w:r w:rsidRPr="00C75FE2">
        <w:t xml:space="preserve">the </w:t>
      </w:r>
      <w:r w:rsidRPr="00C75FE2">
        <w:t xml:space="preserve">relevant approved learning framework </w:t>
      </w:r>
    </w:p>
    <w:p w:rsidR="00000000" w:rsidRPr="00C75FE2" w:rsidP="00C75FE2">
      <w:pPr>
        <w:pStyle w:val="ListBullet"/>
      </w:pPr>
      <w:r w:rsidRPr="00C75FE2">
        <w:t>service standards, policies and procedures for:</w:t>
      </w:r>
    </w:p>
    <w:p w:rsidR="00000000" w:rsidRPr="00C75FE2" w:rsidP="00C75FE2">
      <w:pPr>
        <w:pStyle w:val="ListBullet2"/>
      </w:pPr>
      <w:r w:rsidRPr="00C75FE2">
        <w:t>children’s health and safety</w:t>
      </w:r>
    </w:p>
    <w:p w:rsidR="00000000" w:rsidRPr="00C75FE2" w:rsidP="00C75FE2">
      <w:pPr>
        <w:pStyle w:val="ListBullet2"/>
      </w:pPr>
      <w:r w:rsidRPr="00C75FE2">
        <w:t>educational program and practice</w:t>
      </w:r>
    </w:p>
    <w:p w:rsidR="00000000" w:rsidRPr="00C75FE2" w:rsidP="00C75FE2">
      <w:pPr>
        <w:pStyle w:val="ListBullet2"/>
      </w:pPr>
      <w:r w:rsidRPr="00C75FE2">
        <w:t>physical environment</w:t>
      </w:r>
    </w:p>
    <w:p w:rsidR="00000000" w:rsidRPr="00C75FE2" w:rsidP="00C75FE2">
      <w:pPr>
        <w:pStyle w:val="ListBullet2"/>
      </w:pPr>
      <w:r w:rsidRPr="00C75FE2">
        <w:t xml:space="preserve">relationships with children </w:t>
      </w:r>
    </w:p>
    <w:p w:rsidR="00000000" w:rsidRPr="00C75FE2" w:rsidP="00C75FE2">
      <w:pPr>
        <w:pStyle w:val="ListBullet"/>
      </w:pPr>
      <w:r w:rsidRPr="00C75FE2">
        <w:t>educators for collaboration</w:t>
      </w:r>
    </w:p>
    <w:p w:rsidR="00000000" w:rsidRPr="00C75FE2" w:rsidP="00C75FE2">
      <w:pPr>
        <w:pStyle w:val="ListBullet"/>
      </w:pPr>
      <w:r w:rsidRPr="00C75FE2">
        <w:t xml:space="preserve">children up to six years of age in a regulated education and care service in Australia. </w:t>
      </w:r>
    </w:p>
    <w:p w:rsidR="00000000" w:rsidRPr="00C75FE2" w:rsidP="00116B40">
      <w:pPr>
        <w:pStyle w:val="BodyText"/>
      </w:pPr>
      <w:r w:rsidRPr="00C75FE2">
        <w:t>Assessors must satisfy the Standards for Registered Training Organisations’ requirements for assessors.</w:t>
      </w:r>
    </w:p>
    <w:p w:rsidR="00000000" w:rsidRPr="00C75FE2" w:rsidP="00C75FE2">
      <w:pPr>
        <w:pStyle w:val="Heading1"/>
      </w:pPr>
      <w:bookmarkStart w:id="5" w:name="O_1182696"/>
      <w:bookmarkEnd w:id="5"/>
      <w:r w:rsidRPr="00C75FE2">
        <w:t>Links</w:t>
      </w:r>
    </w:p>
    <w:p w:rsidR="00000000" w:rsidRPr="00C75FE2" w:rsidP="00116B40">
      <w:pPr>
        <w:pStyle w:val="BodyText"/>
      </w:pPr>
      <w:r w:rsidRPr="00C75FE2">
        <w:t>Companion Volume implementation guides</w:t>
      </w:r>
      <w:r w:rsidRPr="00C75FE2">
        <w:t xml:space="preserve">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55E82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75FE2" w:rsidP="00C75FE2"/>
    <w:sectPr w:rsidSect="00C75F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F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FE2" w:rsidRPr="00116B40" w:rsidP="00116B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F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B40" w:rsidP="00C75F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6B40" w:rsidP="00C75F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16B40" w:rsidP="00C75F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F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B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5FE2" w:rsidRPr="00116B40" w:rsidP="00116B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F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B40" w:rsidRPr="002D2AF8" w:rsidP="00C75F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CHCECE043 Nurture creativity in children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116B40" w:rsidP="00C75F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F25C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1EEF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A024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5F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5F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5F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5F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5F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5F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5F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5F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5F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5F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5F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5FE2"/>
  </w:style>
  <w:style w:type="character" w:customStyle="1" w:styleId="Heading1Char">
    <w:name w:val="Heading 1 Char"/>
    <w:basedOn w:val="DefaultParagraphFont"/>
    <w:link w:val="Heading1"/>
    <w:rsid w:val="00C75F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5F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5F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5FE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75FE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5F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5F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5F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5F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5F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5F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5F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5F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5F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5F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5F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5F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5F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5F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5F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5F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5F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5F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5F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5F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5F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5F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5FE2"/>
    <w:rPr>
      <w:b/>
      <w:spacing w:val="0"/>
    </w:rPr>
  </w:style>
  <w:style w:type="paragraph" w:customStyle="1" w:styleId="SuperTitle">
    <w:name w:val="SuperTitle"/>
    <w:basedOn w:val="Title"/>
    <w:rsid w:val="00C75F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5F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5F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5F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5F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5F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5F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5F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5F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5F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5F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5F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5FE2"/>
    <w:rPr>
      <w:i/>
    </w:rPr>
  </w:style>
  <w:style w:type="paragraph" w:styleId="Caption">
    <w:name w:val="caption"/>
    <w:basedOn w:val="BodyText"/>
    <w:next w:val="Normal"/>
    <w:qFormat/>
    <w:rsid w:val="00C75F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5F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5F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5FE2"/>
  </w:style>
  <w:style w:type="paragraph" w:styleId="TableofFigures">
    <w:name w:val="table of figures"/>
    <w:basedOn w:val="Normal"/>
    <w:next w:val="Normal"/>
    <w:semiHidden/>
    <w:rsid w:val="00C75F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5F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5FE2"/>
    <w:rPr>
      <w:rFonts w:ascii="Wingdings" w:hAnsi="Wingdings"/>
    </w:rPr>
  </w:style>
  <w:style w:type="paragraph" w:customStyle="1" w:styleId="TableHeading">
    <w:name w:val="Table Heading"/>
    <w:basedOn w:val="HeadingBase"/>
    <w:rsid w:val="00C75F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5FE2"/>
    <w:rPr>
      <w:color w:val="0033CC"/>
      <w:u w:val="none"/>
    </w:rPr>
  </w:style>
  <w:style w:type="paragraph" w:customStyle="1" w:styleId="BodyTextRight">
    <w:name w:val="Body Text Right"/>
    <w:basedOn w:val="BodyText"/>
    <w:rsid w:val="00C75F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5F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5F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5F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5F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5F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5FE2"/>
    <w:rPr>
      <w:sz w:val="32"/>
    </w:rPr>
  </w:style>
  <w:style w:type="paragraph" w:customStyle="1" w:styleId="HeadingProcedure">
    <w:name w:val="Heading Procedure"/>
    <w:basedOn w:val="HeadingBase"/>
    <w:next w:val="Normal"/>
    <w:rsid w:val="00C75F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5FE2"/>
    <w:pPr>
      <w:spacing w:before="60" w:after="60"/>
    </w:pPr>
  </w:style>
  <w:style w:type="paragraph" w:styleId="ListContinue">
    <w:name w:val="List Continue"/>
    <w:basedOn w:val="List"/>
    <w:rsid w:val="00C75FE2"/>
    <w:pPr>
      <w:ind w:firstLine="0"/>
    </w:pPr>
  </w:style>
  <w:style w:type="paragraph" w:customStyle="1" w:styleId="ListNote">
    <w:name w:val="List Note"/>
    <w:basedOn w:val="List"/>
    <w:rsid w:val="00C75F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5F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5F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5FE2"/>
    <w:rPr>
      <w:rFonts w:ascii="Courier New" w:hAnsi="Courier New"/>
    </w:rPr>
  </w:style>
  <w:style w:type="paragraph" w:customStyle="1" w:styleId="NoteBullet">
    <w:name w:val="Note Bullet"/>
    <w:basedOn w:val="Note"/>
    <w:rsid w:val="00C75F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5F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5F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5F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5F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5F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5F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5FE2"/>
    <w:rPr>
      <w:b/>
      <w:smallCaps/>
    </w:rPr>
  </w:style>
  <w:style w:type="paragraph" w:customStyle="1" w:styleId="TableListNumber">
    <w:name w:val="Table List Number"/>
    <w:basedOn w:val="ListNumber"/>
    <w:rsid w:val="00C75F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5F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5FE2"/>
    <w:pPr>
      <w:numPr>
        <w:numId w:val="9"/>
      </w:numPr>
    </w:pPr>
  </w:style>
  <w:style w:type="paragraph" w:customStyle="1" w:styleId="ListAlpha2">
    <w:name w:val="List Alpha 2"/>
    <w:basedOn w:val="List2"/>
    <w:rsid w:val="00C75FE2"/>
    <w:pPr>
      <w:numPr>
        <w:numId w:val="8"/>
      </w:numPr>
    </w:pPr>
  </w:style>
  <w:style w:type="paragraph" w:styleId="List2">
    <w:name w:val="List 2"/>
    <w:basedOn w:val="BodyText"/>
    <w:rsid w:val="00C75F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5F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5F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5F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5F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5F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5FE2"/>
    <w:pPr>
      <w:numPr>
        <w:numId w:val="4"/>
      </w:numPr>
    </w:pPr>
  </w:style>
  <w:style w:type="paragraph" w:styleId="ListContinue2">
    <w:name w:val="List Continue 2"/>
    <w:basedOn w:val="List2"/>
    <w:rsid w:val="00C75FE2"/>
    <w:pPr>
      <w:ind w:firstLine="0"/>
    </w:pPr>
  </w:style>
  <w:style w:type="paragraph" w:styleId="ListContinue3">
    <w:name w:val="List Continue 3"/>
    <w:basedOn w:val="List3"/>
    <w:rsid w:val="00C75FE2"/>
    <w:pPr>
      <w:ind w:left="1021" w:firstLine="0"/>
    </w:pPr>
  </w:style>
  <w:style w:type="paragraph" w:styleId="ListContinue4">
    <w:name w:val="List Continue 4"/>
    <w:basedOn w:val="List4"/>
    <w:rsid w:val="00C75FE2"/>
    <w:pPr>
      <w:ind w:firstLine="0"/>
    </w:pPr>
  </w:style>
  <w:style w:type="paragraph" w:styleId="ListContinue5">
    <w:name w:val="List Continue 5"/>
    <w:basedOn w:val="List5"/>
    <w:rsid w:val="00C75FE2"/>
    <w:pPr>
      <w:ind w:firstLine="0"/>
    </w:pPr>
  </w:style>
  <w:style w:type="paragraph" w:styleId="ListNumber3">
    <w:name w:val="List Number 3"/>
    <w:basedOn w:val="List3"/>
    <w:rsid w:val="00C75FE2"/>
    <w:pPr>
      <w:numPr>
        <w:numId w:val="5"/>
      </w:numPr>
    </w:pPr>
  </w:style>
  <w:style w:type="paragraph" w:styleId="ListNumber4">
    <w:name w:val="List Number 4"/>
    <w:basedOn w:val="List4"/>
    <w:rsid w:val="00C75FE2"/>
    <w:pPr>
      <w:numPr>
        <w:numId w:val="6"/>
      </w:numPr>
    </w:pPr>
  </w:style>
  <w:style w:type="paragraph" w:styleId="ListNumber5">
    <w:name w:val="List Number 5"/>
    <w:basedOn w:val="List5"/>
    <w:rsid w:val="00C75FE2"/>
    <w:pPr>
      <w:numPr>
        <w:numId w:val="7"/>
      </w:numPr>
    </w:pPr>
  </w:style>
  <w:style w:type="paragraph" w:styleId="BlockText">
    <w:name w:val="Block Text"/>
    <w:basedOn w:val="Normal"/>
    <w:rsid w:val="00C75F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5F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5FE2"/>
    <w:rPr>
      <w:sz w:val="16"/>
      <w:vertAlign w:val="superscript"/>
    </w:rPr>
  </w:style>
  <w:style w:type="character" w:customStyle="1" w:styleId="Symbols">
    <w:name w:val="Symbols"/>
    <w:basedOn w:val="DefaultParagraphFont"/>
    <w:rsid w:val="00C75FE2"/>
    <w:rPr>
      <w:rFonts w:ascii="Symbol" w:hAnsi="Symbol"/>
    </w:rPr>
  </w:style>
  <w:style w:type="character" w:customStyle="1" w:styleId="MenuOptions">
    <w:name w:val="Menu Options"/>
    <w:basedOn w:val="DefaultParagraphFont"/>
    <w:rsid w:val="00C75F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5FE2"/>
    <w:rPr>
      <w:b/>
    </w:rPr>
  </w:style>
  <w:style w:type="character" w:customStyle="1" w:styleId="Underlined">
    <w:name w:val="Underlined"/>
    <w:basedOn w:val="DefaultParagraphFont"/>
    <w:rsid w:val="00C75FE2"/>
    <w:rPr>
      <w:u w:val="single"/>
    </w:rPr>
  </w:style>
  <w:style w:type="paragraph" w:customStyle="1" w:styleId="TableBodyTextRight">
    <w:name w:val="Table Body Text Right"/>
    <w:basedOn w:val="TableBodyText"/>
    <w:rsid w:val="00C75F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5FE2"/>
    <w:rPr>
      <w:sz w:val="18"/>
    </w:rPr>
  </w:style>
  <w:style w:type="paragraph" w:customStyle="1" w:styleId="BodySmallRight">
    <w:name w:val="Body Small Right"/>
    <w:basedOn w:val="BodyTextRight"/>
    <w:rsid w:val="00C75FE2"/>
    <w:rPr>
      <w:sz w:val="18"/>
      <w:szCs w:val="18"/>
    </w:rPr>
  </w:style>
  <w:style w:type="paragraph" w:customStyle="1" w:styleId="MarginEdition">
    <w:name w:val="Margin Edition"/>
    <w:basedOn w:val="MarginNote"/>
    <w:rsid w:val="00C75F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5FE2"/>
    <w:rPr>
      <w:sz w:val="2"/>
      <w:szCs w:val="2"/>
    </w:rPr>
  </w:style>
  <w:style w:type="character" w:customStyle="1" w:styleId="Small">
    <w:name w:val="Small"/>
    <w:basedOn w:val="DefaultParagraphFont"/>
    <w:rsid w:val="00C75FE2"/>
    <w:rPr>
      <w:sz w:val="16"/>
    </w:rPr>
  </w:style>
  <w:style w:type="paragraph" w:customStyle="1" w:styleId="WideTable">
    <w:name w:val="Wide Table"/>
    <w:basedOn w:val="Normal"/>
    <w:rsid w:val="00C75F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5FE2"/>
  </w:style>
  <w:style w:type="paragraph" w:styleId="Quote">
    <w:name w:val="Quote"/>
    <w:basedOn w:val="Heading1"/>
    <w:link w:val="QuoteChar"/>
    <w:qFormat/>
    <w:rsid w:val="00C75F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5F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5FE2"/>
    <w:pPr>
      <w:pageBreakBefore/>
    </w:pPr>
  </w:style>
  <w:style w:type="paragraph" w:customStyle="1" w:styleId="Border">
    <w:name w:val="Border"/>
    <w:basedOn w:val="Normal"/>
    <w:qFormat/>
    <w:rsid w:val="00C75F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5F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5F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5F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5F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5F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5F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5F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5F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5FE2"/>
    <w:rPr>
      <w:u w:val="single"/>
    </w:rPr>
  </w:style>
  <w:style w:type="character" w:customStyle="1" w:styleId="BoldandItalics">
    <w:name w:val="Bold and Italics"/>
    <w:qFormat/>
    <w:rsid w:val="00C75FE2"/>
    <w:rPr>
      <w:b/>
      <w:i/>
      <w:u w:val="none"/>
    </w:rPr>
  </w:style>
  <w:style w:type="paragraph" w:styleId="BalloonText">
    <w:name w:val="Balloon Text"/>
    <w:basedOn w:val="Normal"/>
    <w:link w:val="BalloonTextChar"/>
    <w:rsid w:val="00C75F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5F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5F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5F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5F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5F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5FE2"/>
    <w:pPr>
      <w:spacing w:before="0" w:after="0"/>
    </w:pPr>
  </w:style>
  <w:style w:type="paragraph" w:customStyle="1" w:styleId="BodyTextBold">
    <w:name w:val="Body Text Bold"/>
    <w:basedOn w:val="BodyText"/>
    <w:qFormat/>
    <w:rsid w:val="00C75FE2"/>
    <w:rPr>
      <w:b/>
    </w:rPr>
  </w:style>
  <w:style w:type="character" w:styleId="Hyperlink">
    <w:name w:val="Hyperlink"/>
    <w:basedOn w:val="DefaultParagraphFont"/>
    <w:uiPriority w:val="99"/>
    <w:unhideWhenUsed/>
    <w:rsid w:val="00116B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3574</Characters>
  <Application>Microsoft Office Word</Application>
  <DocSecurity>0</DocSecurity>
  <Lines>105</Lines>
  <Paragraphs>93</Paragraphs>
  <ScaleCrop>false</ScaleCrop>
  <Company>Author-it Software Corporation Ltd.</Company>
  <LinksUpToDate>false</LinksUpToDate>
  <CharactersWithSpaces>4020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CHCECE043 Nurture creativity in children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2023-07-02T02:24:00Z</dcterms:created>
  <dcterms:modified xsi:type="dcterms:W3CDTF">2023-07-02T02:24:00Z</dcterms:modified>
</cp:coreProperties>
</file>