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4830" w:rsidP="00774830">
      <w:pPr>
        <w:pStyle w:val="Title"/>
      </w:pPr>
      <w:r>
        <w:fldChar w:fldCharType="begin"/>
      </w:r>
      <w:r>
        <w:instrText xml:space="preserve"> TITLE   \* MERGEFORMAT </w:instrText>
      </w:r>
      <w:r>
        <w:fldChar w:fldCharType="separate"/>
      </w:r>
      <w:r>
        <w:t>CHCECE042 Foster holistic early childhood learning, development and wellbeing</w:t>
      </w:r>
      <w:r>
        <w:fldChar w:fldCharType="end"/>
      </w:r>
    </w:p>
    <w:p w:rsidR="00774830" w:rsidP="00774830">
      <w:pPr>
        <w:pStyle w:val="Version"/>
        <w:sectPr w:rsidSect="00FC31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31FA" w:rsidP="00FC31FA">
      <w:pPr>
        <w:pStyle w:val="SuperHeading"/>
      </w:pPr>
      <w:r w:rsidRPr="00FC31FA">
        <w:t>CHCECE042 Foster holistic early childhood learning, development and wellbeing</w:t>
      </w:r>
    </w:p>
    <w:p w:rsidR="00000000" w:rsidRPr="00FC31FA" w:rsidP="00FC31FA">
      <w:pPr>
        <w:pStyle w:val="Heading1"/>
      </w:pPr>
      <w:bookmarkStart w:id="1" w:name="O_1182661"/>
      <w:bookmarkEnd w:id="1"/>
      <w:r w:rsidRPr="00FC31FA">
        <w:t>Modification History</w:t>
      </w:r>
    </w:p>
    <w:p w:rsidR="00000000" w:rsidRPr="00FC31FA" w:rsidP="00774830">
      <w:pPr>
        <w:pStyle w:val="BodyText"/>
      </w:pPr>
      <w:r w:rsidRPr="00FC31FA">
        <w:t>Release 1. CHCECE042 Foster holistic early childhood learning, development and wellbeing supersedes and is not equivalent to CHCECE017 Foster the holistic development and wellbeing of the child in early childhood.</w:t>
      </w:r>
    </w:p>
    <w:p w:rsidR="00000000" w:rsidRPr="00FC31FA" w:rsidP="00FC31FA">
      <w:pPr>
        <w:pStyle w:val="Heading1"/>
      </w:pPr>
      <w:bookmarkStart w:id="2" w:name="O_1182662"/>
      <w:bookmarkEnd w:id="2"/>
      <w:r w:rsidRPr="00FC31FA">
        <w:t>Application</w:t>
      </w:r>
    </w:p>
    <w:p w:rsidR="00000000" w:rsidRPr="00FC31FA" w:rsidP="00774830">
      <w:pPr>
        <w:pStyle w:val="BodyText"/>
      </w:pPr>
      <w:r w:rsidRPr="00FC31FA">
        <w:t>This unit d</w:t>
      </w:r>
      <w:r w:rsidRPr="00FC31FA">
        <w:t>escribes the performance outcomes, skills and knowledge required to foster and enhance the holistic learning, development and wellbeing of children from birth to six years of age. It includes the ability to use detailed knowledge of different developmental</w:t>
      </w:r>
      <w:r w:rsidRPr="00FC31FA">
        <w:t xml:space="preserve"> domains and developmental theory and how these domains link to support holistic development.</w:t>
      </w:r>
    </w:p>
    <w:p w:rsidR="00000000" w:rsidRPr="00FC31FA" w:rsidP="00774830">
      <w:pPr>
        <w:pStyle w:val="BodyText"/>
      </w:pPr>
      <w:r w:rsidRPr="00FC31FA">
        <w:t>This unit applies to educators who develop and implement curriculum in the context of an approved learning framework in regulated children’s education and care se</w:t>
      </w:r>
      <w:r w:rsidRPr="00FC31FA">
        <w:t>rvices in Australia. Work is undertaken independently, according to the philosophy of the service.</w:t>
      </w:r>
    </w:p>
    <w:p w:rsidR="00000000" w:rsidRPr="00FC31FA" w:rsidP="00774830">
      <w:pPr>
        <w:pStyle w:val="BodyText"/>
      </w:pPr>
      <w:r w:rsidRPr="00FC31FA">
        <w:t>The skills in this unit must be applied in accordance with Commonwealth and State/Territory legislation, Australian standards and industry codes of practice.</w:t>
      </w:r>
    </w:p>
    <w:p w:rsidR="00000000" w:rsidRPr="00FC31FA" w:rsidP="00774830">
      <w:pPr>
        <w:pStyle w:val="BodyText"/>
      </w:pPr>
      <w:r w:rsidRPr="00FC31FA">
        <w:t>No occupational licensing, certification or specific legislative requirements apply to this unit at the time of publication.</w:t>
      </w:r>
    </w:p>
    <w:p w:rsidR="00000000" w:rsidRPr="00FC31FA" w:rsidP="00FC31FA">
      <w:pPr>
        <w:pStyle w:val="Heading1"/>
      </w:pPr>
      <w:bookmarkStart w:id="3" w:name="O_1182663"/>
      <w:bookmarkEnd w:id="3"/>
      <w:r w:rsidRPr="00FC31FA">
        <w:t>Pre-requisite Unit</w:t>
      </w:r>
    </w:p>
    <w:p w:rsidR="00000000" w:rsidRPr="00FC31FA" w:rsidP="00774830">
      <w:pPr>
        <w:pStyle w:val="BodyText"/>
      </w:pPr>
      <w:r w:rsidRPr="00FC31FA">
        <w:t>Nil</w:t>
      </w:r>
    </w:p>
    <w:p w:rsidR="00000000" w:rsidRPr="00FC31FA" w:rsidP="00FC31FA">
      <w:pPr>
        <w:pStyle w:val="Heading1"/>
      </w:pPr>
      <w:bookmarkStart w:id="4" w:name="O_1182664"/>
      <w:bookmarkEnd w:id="4"/>
      <w:r w:rsidRPr="00FC31FA">
        <w:t>Competency Field</w:t>
      </w:r>
    </w:p>
    <w:p w:rsidR="00000000" w:rsidRPr="00FC31FA" w:rsidP="00774830">
      <w:pPr>
        <w:pStyle w:val="BodyText"/>
      </w:pPr>
      <w:r w:rsidRPr="00FC31FA">
        <w:t>Early Childhood Education and Care</w:t>
      </w:r>
    </w:p>
    <w:p w:rsidR="00000000" w:rsidRPr="00FC31FA" w:rsidP="00FC31FA">
      <w:pPr>
        <w:pStyle w:val="Heading1"/>
      </w:pPr>
      <w:bookmarkStart w:id="5" w:name="O_1182665"/>
      <w:bookmarkEnd w:id="5"/>
      <w:r w:rsidRPr="00FC31FA">
        <w:t>Unit Sector</w:t>
      </w:r>
    </w:p>
    <w:p w:rsidR="00000000" w:rsidRPr="00FC31FA" w:rsidP="00774830">
      <w:pPr>
        <w:pStyle w:val="BodyText"/>
      </w:pPr>
      <w:r w:rsidRPr="00FC31FA">
        <w:t>Children’s Education and Care</w:t>
      </w:r>
    </w:p>
    <w:p w:rsidR="00000000" w:rsidRPr="00FC31FA" w:rsidP="00FC31FA">
      <w:pPr>
        <w:pStyle w:val="Heading1"/>
      </w:pPr>
      <w:bookmarkStart w:id="6" w:name="O_1182666"/>
      <w:bookmarkEnd w:id="6"/>
      <w:r w:rsidRPr="00FC31FA">
        <w:t>Elements and Performance Criteria</w:t>
      </w:r>
    </w:p>
    <w:tbl>
      <w:tblPr>
        <w:tblW w:w="0" w:type="auto"/>
        <w:tblLayout w:type="fixed"/>
        <w:tblCellMar>
          <w:left w:w="62" w:type="dxa"/>
          <w:right w:w="62" w:type="dxa"/>
        </w:tblCellMar>
        <w:tblLook w:val="0000"/>
      </w:tblPr>
      <w:tblGrid>
        <w:gridCol w:w="2606"/>
        <w:gridCol w:w="6438"/>
      </w:tblGrid>
      <w:tr w:rsidTr="00FC31FA">
        <w:tblPrEx>
          <w:tblW w:w="0" w:type="auto"/>
          <w:tblLayout w:type="fixed"/>
          <w:tblCellMar>
            <w:left w:w="62" w:type="dxa"/>
            <w:right w:w="62" w:type="dxa"/>
          </w:tblCellMar>
          <w:tblLook w:val="0000"/>
        </w:tblPrEx>
        <w:trPr>
          <w:trHeight w:val="344"/>
        </w:trPr>
        <w:tc>
          <w:tcPr>
            <w:tcW w:w="2606" w:type="dxa"/>
            <w:tcBorders>
              <w:top w:val="nil"/>
              <w:left w:val="nil"/>
              <w:bottom w:val="nil"/>
              <w:right w:val="nil"/>
            </w:tcBorders>
            <w:tcMar>
              <w:top w:w="0" w:type="dxa"/>
              <w:left w:w="62" w:type="dxa"/>
              <w:bottom w:w="0" w:type="dxa"/>
              <w:right w:w="62" w:type="dxa"/>
            </w:tcMar>
          </w:tcPr>
          <w:p w:rsidR="00000000" w:rsidRPr="00FC31FA" w:rsidP="00FC31FA">
            <w:pPr>
              <w:pStyle w:val="BodyText"/>
            </w:pPr>
            <w:r w:rsidRPr="00FC31FA">
              <w:rPr>
                <w:rStyle w:val="SpecialBold"/>
              </w:rPr>
              <w:t>ELEMENTS</w:t>
            </w:r>
          </w:p>
        </w:tc>
        <w:tc>
          <w:tcPr>
            <w:tcW w:w="6438" w:type="dxa"/>
            <w:tcBorders>
              <w:top w:val="nil"/>
              <w:left w:val="nil"/>
              <w:bottom w:val="nil"/>
              <w:right w:val="nil"/>
            </w:tcBorders>
            <w:tcMar>
              <w:top w:w="0" w:type="dxa"/>
              <w:left w:w="62" w:type="dxa"/>
              <w:bottom w:w="0" w:type="dxa"/>
              <w:right w:w="62" w:type="dxa"/>
            </w:tcMar>
          </w:tcPr>
          <w:p w:rsidR="00000000" w:rsidP="00FC31FA">
            <w:pPr>
              <w:pStyle w:val="BodyText"/>
              <w:rPr>
                <w:lang w:val="en-NZ"/>
              </w:rPr>
            </w:pPr>
            <w:r w:rsidRPr="00FC31FA">
              <w:rPr>
                <w:rStyle w:val="SpecialBold"/>
              </w:rPr>
              <w:t>PERFORMANCE</w:t>
            </w:r>
            <w:r w:rsidRPr="00FC31FA">
              <w:t xml:space="preserve"> </w:t>
            </w:r>
            <w:r w:rsidRPr="00FC31FA">
              <w:rPr>
                <w:rStyle w:val="SpecialBold"/>
              </w:rPr>
              <w:t>CRITERIA</w:t>
            </w:r>
          </w:p>
        </w:tc>
      </w:tr>
      <w:tr w:rsidTr="00FC31FA">
        <w:tblPrEx>
          <w:tblW w:w="0" w:type="auto"/>
          <w:tblLayout w:type="fixed"/>
          <w:tblCellMar>
            <w:left w:w="62" w:type="dxa"/>
            <w:right w:w="62" w:type="dxa"/>
          </w:tblCellMar>
          <w:tblLook w:val="0000"/>
        </w:tblPrEx>
        <w:trPr>
          <w:trHeight w:val="1202"/>
        </w:trPr>
        <w:tc>
          <w:tcPr>
            <w:tcW w:w="2606" w:type="dxa"/>
            <w:tcBorders>
              <w:top w:val="nil"/>
              <w:left w:val="nil"/>
              <w:bottom w:val="nil"/>
              <w:right w:val="nil"/>
            </w:tcBorders>
            <w:tcMar>
              <w:top w:w="0" w:type="dxa"/>
              <w:left w:w="62" w:type="dxa"/>
              <w:bottom w:w="0" w:type="dxa"/>
              <w:right w:w="62" w:type="dxa"/>
            </w:tcMar>
          </w:tcPr>
          <w:p w:rsidR="00000000" w:rsidRPr="00FC31FA" w:rsidP="00FC31FA">
            <w:pPr>
              <w:pStyle w:val="BodyText"/>
            </w:pPr>
            <w:r w:rsidRPr="00FC31FA">
              <w:rPr>
                <w:rStyle w:val="Emphasis"/>
              </w:rPr>
              <w:t>Elements describe the essential outcomes</w:t>
            </w:r>
          </w:p>
        </w:tc>
        <w:tc>
          <w:tcPr>
            <w:tcW w:w="6438" w:type="dxa"/>
            <w:tcBorders>
              <w:top w:val="nil"/>
              <w:left w:val="nil"/>
              <w:bottom w:val="nil"/>
              <w:right w:val="nil"/>
            </w:tcBorders>
            <w:tcMar>
              <w:top w:w="0" w:type="dxa"/>
              <w:left w:w="62" w:type="dxa"/>
              <w:bottom w:w="0" w:type="dxa"/>
              <w:right w:w="62" w:type="dxa"/>
            </w:tcMar>
          </w:tcPr>
          <w:p w:rsidR="00000000" w:rsidP="00FC31FA">
            <w:pPr>
              <w:pStyle w:val="BodyText"/>
              <w:rPr>
                <w:lang w:val="en-NZ"/>
              </w:rPr>
            </w:pPr>
            <w:r w:rsidRPr="00FC31FA">
              <w:rPr>
                <w:rStyle w:val="Emphasis"/>
              </w:rPr>
              <w:t>Performance criteria describe the performance neede</w:t>
            </w:r>
            <w:r w:rsidRPr="00FC31FA">
              <w:rPr>
                <w:rStyle w:val="Emphasis"/>
              </w:rPr>
              <w:t>d to demonstrate achievement of the element.</w:t>
            </w:r>
          </w:p>
        </w:tc>
      </w:tr>
      <w:tr w:rsidTr="00FC31FA">
        <w:tblPrEx>
          <w:tblW w:w="0" w:type="auto"/>
          <w:tblLayout w:type="fixed"/>
          <w:tblCellMar>
            <w:left w:w="62" w:type="dxa"/>
            <w:right w:w="62" w:type="dxa"/>
          </w:tblCellMar>
          <w:tblLook w:val="0000"/>
        </w:tblPrEx>
        <w:trPr>
          <w:trHeight w:val="3546"/>
        </w:trPr>
        <w:tc>
          <w:tcPr>
            <w:tcW w:w="2606" w:type="dxa"/>
            <w:tcBorders>
              <w:top w:val="nil"/>
              <w:left w:val="nil"/>
              <w:bottom w:val="nil"/>
              <w:right w:val="nil"/>
            </w:tcBorders>
            <w:tcMar>
              <w:top w:w="0" w:type="dxa"/>
              <w:left w:w="62" w:type="dxa"/>
              <w:bottom w:w="0" w:type="dxa"/>
              <w:right w:w="62" w:type="dxa"/>
            </w:tcMar>
          </w:tcPr>
          <w:p w:rsidR="00000000" w:rsidP="00FC31FA">
            <w:pPr>
              <w:pStyle w:val="List"/>
              <w:rPr>
                <w:lang w:val="en-NZ"/>
              </w:rPr>
            </w:pPr>
            <w:r w:rsidRPr="00FC31FA">
              <w:t>1.  Extend knowledge of early childhood learning and development.</w:t>
            </w:r>
          </w:p>
        </w:tc>
        <w:tc>
          <w:tcPr>
            <w:tcW w:w="6438" w:type="dxa"/>
            <w:tcBorders>
              <w:top w:val="nil"/>
              <w:left w:val="nil"/>
              <w:bottom w:val="nil"/>
              <w:right w:val="nil"/>
            </w:tcBorders>
            <w:tcMar>
              <w:top w:w="0" w:type="dxa"/>
              <w:left w:w="62" w:type="dxa"/>
              <w:bottom w:w="0" w:type="dxa"/>
              <w:right w:w="62" w:type="dxa"/>
            </w:tcMar>
          </w:tcPr>
          <w:p w:rsidR="00000000" w:rsidRPr="00FC31FA" w:rsidP="00FC31FA">
            <w:pPr>
              <w:pStyle w:val="List"/>
            </w:pPr>
            <w:r w:rsidRPr="00FC31FA">
              <w:t>1.1. Explore and compare theories and research from credible sources about early childhood development and learning.</w:t>
            </w:r>
          </w:p>
          <w:p w:rsidR="00000000" w:rsidRPr="00FC31FA" w:rsidP="00FC31FA">
            <w:pPr>
              <w:pStyle w:val="List"/>
            </w:pPr>
            <w:r w:rsidRPr="00FC31FA">
              <w:t>1.2. Assess the relevance o</w:t>
            </w:r>
            <w:r w:rsidRPr="00FC31FA">
              <w:t>f information in relation to own pedagogical practices and philosophy.</w:t>
            </w:r>
          </w:p>
          <w:p w:rsidR="00000000" w:rsidRPr="00FC31FA" w:rsidP="00FC31FA">
            <w:pPr>
              <w:pStyle w:val="List"/>
            </w:pPr>
            <w:r w:rsidRPr="00FC31FA">
              <w:t xml:space="preserve">1.3. Assess the relevance of information in relation to service and child context. </w:t>
            </w:r>
          </w:p>
          <w:p w:rsidR="00000000" w:rsidRPr="00FC31FA" w:rsidP="00FC31FA">
            <w:pPr>
              <w:pStyle w:val="List"/>
            </w:pPr>
            <w:r w:rsidRPr="00FC31FA">
              <w:t>1.4. Identify and use opportunities to update and enhance own knowledge.</w:t>
            </w:r>
          </w:p>
          <w:p w:rsidR="00000000" w:rsidP="00FC31FA">
            <w:pPr>
              <w:pStyle w:val="List"/>
              <w:rPr>
                <w:lang w:val="en-NZ"/>
              </w:rPr>
            </w:pPr>
            <w:r w:rsidRPr="00FC31FA">
              <w:t>1.5. Share knowledge with co</w:t>
            </w:r>
            <w:r w:rsidRPr="00FC31FA">
              <w:t>lleagues and others involved in the care and education of children.</w:t>
            </w:r>
          </w:p>
        </w:tc>
      </w:tr>
      <w:tr w:rsidTr="00FC31FA">
        <w:tblPrEx>
          <w:tblW w:w="0" w:type="auto"/>
          <w:tblLayout w:type="fixed"/>
          <w:tblCellMar>
            <w:left w:w="62" w:type="dxa"/>
            <w:right w:w="62" w:type="dxa"/>
          </w:tblCellMar>
          <w:tblLook w:val="0000"/>
        </w:tblPrEx>
        <w:trPr>
          <w:trHeight w:val="2850"/>
        </w:trPr>
        <w:tc>
          <w:tcPr>
            <w:tcW w:w="2606" w:type="dxa"/>
            <w:tcBorders>
              <w:top w:val="nil"/>
              <w:left w:val="nil"/>
              <w:bottom w:val="nil"/>
              <w:right w:val="nil"/>
            </w:tcBorders>
            <w:tcMar>
              <w:top w:w="0" w:type="dxa"/>
              <w:left w:w="62" w:type="dxa"/>
              <w:bottom w:w="0" w:type="dxa"/>
              <w:right w:w="62" w:type="dxa"/>
            </w:tcMar>
          </w:tcPr>
          <w:p w:rsidR="00000000" w:rsidP="00FC31FA">
            <w:pPr>
              <w:pStyle w:val="List"/>
              <w:rPr>
                <w:lang w:val="en-NZ"/>
              </w:rPr>
            </w:pPr>
            <w:r w:rsidRPr="00FC31FA">
              <w:t>2.  Support children’s sense of belonging.</w:t>
            </w:r>
          </w:p>
        </w:tc>
        <w:tc>
          <w:tcPr>
            <w:tcW w:w="6438" w:type="dxa"/>
            <w:tcBorders>
              <w:top w:val="nil"/>
              <w:left w:val="nil"/>
              <w:bottom w:val="nil"/>
              <w:right w:val="nil"/>
            </w:tcBorders>
            <w:tcMar>
              <w:top w:w="0" w:type="dxa"/>
              <w:left w:w="62" w:type="dxa"/>
              <w:bottom w:w="0" w:type="dxa"/>
              <w:right w:w="62" w:type="dxa"/>
            </w:tcMar>
          </w:tcPr>
          <w:p w:rsidR="00000000" w:rsidRPr="00FC31FA" w:rsidP="00FC31FA">
            <w:pPr>
              <w:pStyle w:val="List"/>
            </w:pPr>
            <w:r w:rsidRPr="00FC31FA">
              <w:t>2.1. Explore and compare theories and research from credible sources about sense of belonging.</w:t>
            </w:r>
          </w:p>
          <w:p w:rsidR="00000000" w:rsidRPr="00FC31FA" w:rsidP="00FC31FA">
            <w:pPr>
              <w:pStyle w:val="List"/>
            </w:pPr>
            <w:r w:rsidRPr="00FC31FA">
              <w:t>2.2. Develop relationships with, and knowledge of, children and their families.</w:t>
            </w:r>
          </w:p>
          <w:p w:rsidR="00000000" w:rsidRPr="00FC31FA" w:rsidP="00FC31FA">
            <w:pPr>
              <w:pStyle w:val="List"/>
            </w:pPr>
            <w:r w:rsidRPr="00FC31FA">
              <w:t>2.3. Develop and implement strategies to build children’s sense of belonging.</w:t>
            </w:r>
          </w:p>
          <w:p w:rsidR="00000000" w:rsidP="00FC31FA">
            <w:pPr>
              <w:pStyle w:val="List"/>
              <w:rPr>
                <w:lang w:val="en-NZ"/>
              </w:rPr>
            </w:pPr>
            <w:r w:rsidRPr="00FC31FA">
              <w:t>2.4. Monitor and evaluate strategies used to build children’s sense of belonging.</w:t>
            </w:r>
          </w:p>
        </w:tc>
      </w:tr>
      <w:tr w:rsidTr="00FC31FA">
        <w:tblPrEx>
          <w:tblW w:w="0" w:type="auto"/>
          <w:tblLayout w:type="fixed"/>
          <w:tblCellMar>
            <w:left w:w="62" w:type="dxa"/>
            <w:right w:w="62" w:type="dxa"/>
          </w:tblCellMar>
          <w:tblLook w:val="0000"/>
        </w:tblPrEx>
        <w:trPr>
          <w:trHeight w:val="6085"/>
        </w:trPr>
        <w:tc>
          <w:tcPr>
            <w:tcW w:w="2606" w:type="dxa"/>
            <w:tcBorders>
              <w:top w:val="nil"/>
              <w:left w:val="nil"/>
              <w:bottom w:val="nil"/>
              <w:right w:val="nil"/>
            </w:tcBorders>
            <w:tcMar>
              <w:top w:w="0" w:type="dxa"/>
              <w:left w:w="62" w:type="dxa"/>
              <w:bottom w:w="0" w:type="dxa"/>
              <w:right w:w="62" w:type="dxa"/>
            </w:tcMar>
          </w:tcPr>
          <w:p w:rsidR="00774830" w:rsidP="00FC31FA">
            <w:pPr>
              <w:pStyle w:val="List"/>
            </w:pPr>
            <w:r w:rsidRPr="00FC31FA">
              <w:t>3.  Plan and pr</w:t>
            </w:r>
            <w:r w:rsidRPr="00FC31FA">
              <w:t>ovide opportunities for children’s learning and development.</w:t>
            </w:r>
          </w:p>
          <w:p w:rsidR="00774830" w:rsidP="00FC31FA">
            <w:pPr>
              <w:pStyle w:val="List"/>
            </w:pPr>
          </w:p>
          <w:p w:rsidR="00000000" w:rsidP="00FC31FA">
            <w:pPr>
              <w:pStyle w:val="BodyText"/>
              <w:rPr>
                <w:lang w:val="en-NZ"/>
              </w:rPr>
            </w:pPr>
          </w:p>
        </w:tc>
        <w:tc>
          <w:tcPr>
            <w:tcW w:w="6438" w:type="dxa"/>
            <w:tcBorders>
              <w:top w:val="nil"/>
              <w:left w:val="nil"/>
              <w:bottom w:val="nil"/>
              <w:right w:val="nil"/>
            </w:tcBorders>
            <w:tcMar>
              <w:top w:w="0" w:type="dxa"/>
              <w:left w:w="62" w:type="dxa"/>
              <w:bottom w:w="0" w:type="dxa"/>
              <w:right w:w="62" w:type="dxa"/>
            </w:tcMar>
          </w:tcPr>
          <w:p w:rsidR="00000000" w:rsidRPr="00FC31FA" w:rsidP="00FC31FA">
            <w:pPr>
              <w:pStyle w:val="List"/>
            </w:pPr>
            <w:r w:rsidRPr="00FC31FA">
              <w:t>3.1. Support children’s understanding of the link between physical fitness and their health and well-being.</w:t>
            </w:r>
          </w:p>
          <w:p w:rsidR="00000000" w:rsidRPr="00FC31FA" w:rsidP="00FC31FA">
            <w:pPr>
              <w:pStyle w:val="List"/>
            </w:pPr>
            <w:r w:rsidRPr="00FC31FA">
              <w:t>3.2. Create opportunities for children to develop positive self-image and identity t</w:t>
            </w:r>
            <w:r w:rsidRPr="00FC31FA">
              <w:t xml:space="preserve">hrough play. </w:t>
            </w:r>
          </w:p>
          <w:p w:rsidR="00000000" w:rsidRPr="00FC31FA" w:rsidP="00FC31FA">
            <w:pPr>
              <w:pStyle w:val="List"/>
            </w:pPr>
            <w:r w:rsidRPr="00FC31FA">
              <w:t xml:space="preserve">3.3. Provide opportunities for children to recognise their own and others’ emotions and to release feelings using a range of strategies. </w:t>
            </w:r>
          </w:p>
          <w:p w:rsidR="00000000" w:rsidRPr="00FC31FA" w:rsidP="00FC31FA">
            <w:pPr>
              <w:pStyle w:val="List"/>
            </w:pPr>
            <w:r w:rsidRPr="00FC31FA">
              <w:t>3.4. Provide opportunities for children to investigate ethical issues relevant to their lives and commun</w:t>
            </w:r>
            <w:r w:rsidRPr="00FC31FA">
              <w:t xml:space="preserve">ities. </w:t>
            </w:r>
          </w:p>
          <w:p w:rsidR="00000000" w:rsidRPr="00FC31FA" w:rsidP="00FC31FA">
            <w:pPr>
              <w:pStyle w:val="List"/>
            </w:pPr>
            <w:r w:rsidRPr="00FC31FA">
              <w:t>3.5. Structure experiences in a way that promotes cooperation and conflict resolution.</w:t>
            </w:r>
          </w:p>
          <w:p w:rsidR="00000000" w:rsidRPr="00FC31FA" w:rsidP="00FC31FA">
            <w:pPr>
              <w:pStyle w:val="List"/>
            </w:pPr>
            <w:r w:rsidRPr="00FC31FA">
              <w:t xml:space="preserve">3.6. Create a literacy-rich environment including opportunities to engage with familiar and unfamiliar culturally constructed text. </w:t>
            </w:r>
          </w:p>
          <w:p w:rsidR="00000000" w:rsidRPr="00FC31FA" w:rsidP="00FC31FA">
            <w:pPr>
              <w:pStyle w:val="List"/>
            </w:pPr>
            <w:r w:rsidRPr="00FC31FA">
              <w:t xml:space="preserve">3.7. Provide resources that encourage children to experiment with images and print to support language and literacy learning. </w:t>
            </w:r>
          </w:p>
          <w:p w:rsidR="00000000" w:rsidRPr="00FC31FA" w:rsidP="00FC31FA">
            <w:pPr>
              <w:pStyle w:val="List"/>
            </w:pPr>
            <w:r w:rsidRPr="00FC31FA">
              <w:t xml:space="preserve">3.8. Provide opportunities for children to participate in science, mathematics, engineering and technology experiences. </w:t>
            </w:r>
          </w:p>
          <w:p w:rsidR="00000000" w:rsidP="00FC31FA">
            <w:pPr>
              <w:pStyle w:val="List"/>
              <w:rPr>
                <w:lang w:val="en-NZ"/>
              </w:rPr>
            </w:pPr>
            <w:r w:rsidRPr="00FC31FA">
              <w:t>3.9. Ass</w:t>
            </w:r>
            <w:r w:rsidRPr="00FC31FA">
              <w:t>ess and monitor children’s skills and development across all developmental domains.</w:t>
            </w:r>
          </w:p>
        </w:tc>
      </w:tr>
      <w:tr w:rsidTr="00FC31FA">
        <w:tblPrEx>
          <w:tblW w:w="0" w:type="auto"/>
          <w:tblLayout w:type="fixed"/>
          <w:tblCellMar>
            <w:left w:w="62" w:type="dxa"/>
            <w:right w:w="62" w:type="dxa"/>
          </w:tblCellMar>
          <w:tblLook w:val="0000"/>
        </w:tblPrEx>
        <w:trPr>
          <w:trHeight w:val="5213"/>
        </w:trPr>
        <w:tc>
          <w:tcPr>
            <w:tcW w:w="2606" w:type="dxa"/>
            <w:tcBorders>
              <w:top w:val="nil"/>
              <w:left w:val="nil"/>
              <w:bottom w:val="nil"/>
              <w:right w:val="nil"/>
            </w:tcBorders>
            <w:tcMar>
              <w:top w:w="0" w:type="dxa"/>
              <w:left w:w="62" w:type="dxa"/>
              <w:bottom w:w="0" w:type="dxa"/>
              <w:right w:w="62" w:type="dxa"/>
            </w:tcMar>
          </w:tcPr>
          <w:p w:rsidR="00000000" w:rsidRPr="00FC31FA" w:rsidP="00FC31FA">
            <w:pPr>
              <w:pStyle w:val="List"/>
            </w:pPr>
            <w:r w:rsidRPr="00FC31FA">
              <w:t>4.  Foster holistic and collaborative practice.</w:t>
            </w:r>
          </w:p>
          <w:p w:rsidR="00000000">
            <w:pPr>
              <w:pStyle w:val="List"/>
              <w:keepLines w:val="0"/>
              <w:ind w:left="360" w:hanging="360"/>
              <w:rPr>
                <w:rFonts w:ascii="Tahoma" w:hAnsi="Tahoma"/>
                <w:sz w:val="20"/>
                <w:lang w:val="en-NZ"/>
              </w:rPr>
            </w:pPr>
          </w:p>
        </w:tc>
        <w:tc>
          <w:tcPr>
            <w:tcW w:w="6438" w:type="dxa"/>
            <w:tcBorders>
              <w:top w:val="nil"/>
              <w:left w:val="nil"/>
              <w:bottom w:val="nil"/>
              <w:right w:val="nil"/>
            </w:tcBorders>
            <w:tcMar>
              <w:top w:w="0" w:type="dxa"/>
              <w:left w:w="62" w:type="dxa"/>
              <w:bottom w:w="0" w:type="dxa"/>
              <w:right w:w="62" w:type="dxa"/>
            </w:tcMar>
          </w:tcPr>
          <w:p w:rsidR="00000000" w:rsidRPr="00FC31FA" w:rsidP="00FC31FA">
            <w:pPr>
              <w:pStyle w:val="List"/>
            </w:pPr>
            <w:r w:rsidRPr="00FC31FA">
              <w:t xml:space="preserve">4.1. Implement teaching and learning strategies that are suitable to support specific developmental areas. </w:t>
            </w:r>
          </w:p>
          <w:p w:rsidR="00000000" w:rsidRPr="00FC31FA" w:rsidP="00FC31FA">
            <w:pPr>
              <w:pStyle w:val="List"/>
            </w:pPr>
            <w:r w:rsidRPr="00FC31FA">
              <w:t>4.2. Encourage</w:t>
            </w:r>
            <w:r w:rsidRPr="00FC31FA">
              <w:t xml:space="preserve"> children to explore, experiment and take risks through planning and providing learning environments and opportunities with appropriate levels of challenge across developmental areas.</w:t>
            </w:r>
          </w:p>
          <w:p w:rsidR="00000000" w:rsidRPr="00FC31FA" w:rsidP="00FC31FA">
            <w:pPr>
              <w:pStyle w:val="List"/>
            </w:pPr>
            <w:r w:rsidRPr="00FC31FA">
              <w:t>4.3. Plan and provide opportunities through play for children’s agency t</w:t>
            </w:r>
            <w:r w:rsidRPr="00FC31FA">
              <w:t>hrough being active decision makers in the learning environment.</w:t>
            </w:r>
          </w:p>
          <w:p w:rsidR="00000000" w:rsidRPr="00FC31FA" w:rsidP="00FC31FA">
            <w:pPr>
              <w:pStyle w:val="List"/>
            </w:pPr>
            <w:r w:rsidRPr="00FC31FA">
              <w:t>4.4. Create opportunities for children to participate in meaningful ways in group discussion and shared decision-making.</w:t>
            </w:r>
          </w:p>
          <w:p w:rsidR="00000000" w:rsidRPr="00FC31FA" w:rsidP="00FC31FA">
            <w:pPr>
              <w:pStyle w:val="List"/>
            </w:pPr>
            <w:r w:rsidRPr="00FC31FA">
              <w:t>4.5. Build opportunities for involvement in experiences that support t</w:t>
            </w:r>
            <w:r w:rsidRPr="00FC31FA">
              <w:t xml:space="preserve">he investigation of ideas, complex concepts and thinking, reasoning and hypothesising. </w:t>
            </w:r>
          </w:p>
          <w:p w:rsidR="00000000" w:rsidRPr="00FC31FA" w:rsidP="00FC31FA">
            <w:pPr>
              <w:pStyle w:val="List"/>
            </w:pPr>
            <w:r w:rsidRPr="00FC31FA">
              <w:t xml:space="preserve">4.6. Ensure a balance between child-initiated learning and intentional teaching. </w:t>
            </w:r>
          </w:p>
          <w:p w:rsidR="00000000" w:rsidP="00FC31FA">
            <w:pPr>
              <w:pStyle w:val="List"/>
              <w:rPr>
                <w:lang w:val="en-NZ"/>
              </w:rPr>
            </w:pPr>
            <w:r w:rsidRPr="00FC31FA">
              <w:t>4.7. Assess children’s learning obtained from both planned and spontaneous experiences</w:t>
            </w:r>
            <w:r w:rsidRPr="00FC31FA">
              <w:t xml:space="preserve">. </w:t>
            </w:r>
          </w:p>
        </w:tc>
      </w:tr>
      <w:tr w:rsidTr="00FC31FA">
        <w:tblPrEx>
          <w:tblW w:w="0" w:type="auto"/>
          <w:tblLayout w:type="fixed"/>
          <w:tblCellMar>
            <w:left w:w="62" w:type="dxa"/>
            <w:right w:w="62" w:type="dxa"/>
          </w:tblCellMar>
          <w:tblLook w:val="0000"/>
        </w:tblPrEx>
        <w:trPr>
          <w:trHeight w:val="306"/>
        </w:trPr>
        <w:tc>
          <w:tcPr>
            <w:tcW w:w="2606" w:type="dxa"/>
            <w:tcBorders>
              <w:top w:val="nil"/>
              <w:left w:val="nil"/>
              <w:bottom w:val="nil"/>
              <w:right w:val="nil"/>
            </w:tcBorders>
            <w:tcMar>
              <w:top w:w="0" w:type="dxa"/>
              <w:left w:w="62" w:type="dxa"/>
              <w:bottom w:w="0" w:type="dxa"/>
              <w:right w:w="62" w:type="dxa"/>
            </w:tcMar>
          </w:tcPr>
          <w:p w:rsidR="00000000" w:rsidP="00FC31FA">
            <w:pPr>
              <w:pStyle w:val="List"/>
              <w:rPr>
                <w:lang w:val="en-NZ"/>
              </w:rPr>
            </w:pPr>
            <w:r w:rsidRPr="00FC31FA">
              <w:t>5.  Evaluate work practice.</w:t>
            </w:r>
          </w:p>
        </w:tc>
        <w:tc>
          <w:tcPr>
            <w:tcW w:w="6438" w:type="dxa"/>
            <w:tcBorders>
              <w:top w:val="nil"/>
              <w:left w:val="nil"/>
              <w:bottom w:val="nil"/>
              <w:right w:val="nil"/>
            </w:tcBorders>
            <w:tcMar>
              <w:top w:w="0" w:type="dxa"/>
              <w:left w:w="62" w:type="dxa"/>
              <w:bottom w:w="0" w:type="dxa"/>
              <w:right w:w="62" w:type="dxa"/>
            </w:tcMar>
          </w:tcPr>
          <w:p w:rsidR="00000000" w:rsidRPr="00FC31FA" w:rsidP="00FC31FA">
            <w:pPr>
              <w:pStyle w:val="List"/>
            </w:pPr>
            <w:r w:rsidRPr="00FC31FA">
              <w:t>5.1. Monitor children’s learning and development through observation and critical reflection.</w:t>
            </w:r>
          </w:p>
          <w:p w:rsidR="00000000" w:rsidRPr="00FC31FA" w:rsidP="00FC31FA">
            <w:pPr>
              <w:pStyle w:val="List"/>
            </w:pPr>
            <w:r w:rsidRPr="00FC31FA">
              <w:t xml:space="preserve">5.2. Identify and use opportunities to gather feedback from colleagues, families and children. </w:t>
            </w:r>
          </w:p>
          <w:p w:rsidR="00000000" w:rsidRPr="00FC31FA" w:rsidP="00FC31FA">
            <w:pPr>
              <w:pStyle w:val="List"/>
            </w:pPr>
            <w:r w:rsidRPr="00FC31FA">
              <w:t>5.3. Use children’</w:t>
            </w:r>
            <w:r w:rsidRPr="00FC31FA">
              <w:t>s responses and feedback to critically reflect on own pedagogical practice.</w:t>
            </w:r>
          </w:p>
          <w:p w:rsidR="00000000" w:rsidRPr="00FC31FA" w:rsidP="00FC31FA">
            <w:pPr>
              <w:pStyle w:val="List"/>
            </w:pPr>
            <w:r w:rsidRPr="00FC31FA">
              <w:t>5.4. Collaborate with stakeholders to regularly evaluate work practices and document outcomes according to service guidelines.</w:t>
            </w:r>
          </w:p>
          <w:p w:rsidR="00000000" w:rsidRPr="00FC31FA" w:rsidP="00FC31FA">
            <w:pPr>
              <w:pStyle w:val="List"/>
            </w:pPr>
            <w:r w:rsidRPr="00FC31FA">
              <w:t>5.5. Use evaluation outcomes to inform future practic</w:t>
            </w:r>
            <w:r w:rsidRPr="00FC31FA">
              <w:t>e.</w:t>
            </w:r>
          </w:p>
        </w:tc>
      </w:tr>
    </w:tbl>
    <w:p w:rsidR="00000000" w:rsidRPr="00FC31FA" w:rsidP="00FC31FA">
      <w:pPr>
        <w:pStyle w:val="BodyText"/>
      </w:pPr>
    </w:p>
    <w:p w:rsidR="00000000" w:rsidRPr="00FC31FA" w:rsidP="00FC31FA">
      <w:pPr>
        <w:pStyle w:val="AllowPageBreak"/>
      </w:pPr>
    </w:p>
    <w:p w:rsidR="00000000" w:rsidRPr="00FC31FA" w:rsidP="00FC31FA">
      <w:pPr>
        <w:pStyle w:val="Heading1"/>
      </w:pPr>
      <w:bookmarkStart w:id="7" w:name="O_1182667"/>
      <w:bookmarkEnd w:id="7"/>
      <w:r w:rsidRPr="00FC31FA">
        <w:t>Foundation Skills</w:t>
      </w:r>
    </w:p>
    <w:tbl>
      <w:tblPr>
        <w:tblW w:w="9630" w:type="dxa"/>
        <w:tblLayout w:type="fixed"/>
        <w:tblCellMar>
          <w:left w:w="62" w:type="dxa"/>
          <w:right w:w="62" w:type="dxa"/>
        </w:tblCellMar>
        <w:tblLook w:val="0000"/>
      </w:tblPr>
      <w:tblGrid>
        <w:gridCol w:w="3060"/>
        <w:gridCol w:w="6570"/>
      </w:tblGrid>
      <w:tr w:rsidTr="00FC31FA">
        <w:tblPrEx>
          <w:tblW w:w="9630" w:type="dxa"/>
          <w:tblLayout w:type="fixed"/>
          <w:tblCellMar>
            <w:left w:w="62" w:type="dxa"/>
            <w:right w:w="62" w:type="dxa"/>
          </w:tblCellMar>
          <w:tblLook w:val="0000"/>
        </w:tblPrEx>
        <w:trPr>
          <w:trHeight w:val="804"/>
        </w:trPr>
        <w:tc>
          <w:tcPr>
            <w:tcW w:w="9630" w:type="dxa"/>
            <w:gridSpan w:val="2"/>
            <w:tcBorders>
              <w:top w:val="nil"/>
              <w:left w:val="nil"/>
              <w:bottom w:val="nil"/>
              <w:right w:val="nil"/>
            </w:tcBorders>
            <w:tcMar>
              <w:top w:w="0" w:type="dxa"/>
              <w:left w:w="62" w:type="dxa"/>
              <w:bottom w:w="0" w:type="dxa"/>
              <w:right w:w="62" w:type="dxa"/>
            </w:tcMar>
          </w:tcPr>
          <w:p w:rsidR="00000000" w:rsidP="00FC31FA">
            <w:pPr>
              <w:pStyle w:val="BodyText"/>
              <w:rPr>
                <w:lang w:val="en-NZ"/>
              </w:rPr>
            </w:pPr>
            <w:r w:rsidRPr="00FC31FA">
              <w:t>Foundation skills essential to performance in this unit, but not explicit in the performance criteria are listed here, along with a brief context statement.</w:t>
            </w:r>
          </w:p>
        </w:tc>
      </w:tr>
      <w:tr w:rsidTr="00FC31FA">
        <w:tblPrEx>
          <w:tblW w:w="9630" w:type="dxa"/>
          <w:tblLayout w:type="fixed"/>
          <w:tblCellMar>
            <w:left w:w="62" w:type="dxa"/>
            <w:right w:w="62" w:type="dxa"/>
          </w:tblCellMar>
          <w:tblLook w:val="0000"/>
        </w:tblPrEx>
        <w:trPr>
          <w:trHeight w:val="344"/>
        </w:trPr>
        <w:tc>
          <w:tcPr>
            <w:tcW w:w="3060" w:type="dxa"/>
            <w:tcBorders>
              <w:top w:val="nil"/>
              <w:left w:val="nil"/>
              <w:bottom w:val="nil"/>
              <w:right w:val="nil"/>
            </w:tcBorders>
            <w:tcMar>
              <w:top w:w="0" w:type="dxa"/>
              <w:left w:w="62" w:type="dxa"/>
              <w:bottom w:w="0" w:type="dxa"/>
              <w:right w:w="62" w:type="dxa"/>
            </w:tcMar>
          </w:tcPr>
          <w:p w:rsidR="00000000" w:rsidRPr="00FC31FA" w:rsidP="00FC31FA">
            <w:pPr>
              <w:pStyle w:val="BodyText"/>
            </w:pPr>
            <w:r w:rsidRPr="00FC31FA">
              <w:rPr>
                <w:rStyle w:val="SpecialBold"/>
              </w:rPr>
              <w:t>SKILLS</w:t>
            </w:r>
          </w:p>
        </w:tc>
        <w:tc>
          <w:tcPr>
            <w:tcW w:w="6570" w:type="dxa"/>
            <w:tcBorders>
              <w:top w:val="nil"/>
              <w:left w:val="nil"/>
              <w:bottom w:val="nil"/>
              <w:right w:val="nil"/>
            </w:tcBorders>
            <w:tcMar>
              <w:top w:w="0" w:type="dxa"/>
              <w:left w:w="62" w:type="dxa"/>
              <w:bottom w:w="0" w:type="dxa"/>
              <w:right w:w="62" w:type="dxa"/>
            </w:tcMar>
          </w:tcPr>
          <w:p w:rsidR="00000000" w:rsidP="00FC31FA">
            <w:pPr>
              <w:pStyle w:val="BodyText"/>
              <w:rPr>
                <w:lang w:val="en-NZ"/>
              </w:rPr>
            </w:pPr>
            <w:r w:rsidRPr="00FC31FA">
              <w:rPr>
                <w:rStyle w:val="SpecialBold"/>
              </w:rPr>
              <w:t>DESCRIPTION</w:t>
            </w:r>
          </w:p>
        </w:tc>
      </w:tr>
      <w:tr w:rsidTr="00FC31FA">
        <w:tblPrEx>
          <w:tblW w:w="9630" w:type="dxa"/>
          <w:tblLayout w:type="fixed"/>
          <w:tblCellMar>
            <w:left w:w="62" w:type="dxa"/>
            <w:right w:w="62" w:type="dxa"/>
          </w:tblCellMar>
          <w:tblLook w:val="0000"/>
        </w:tblPrEx>
        <w:trPr>
          <w:trHeight w:val="975"/>
        </w:trPr>
        <w:tc>
          <w:tcPr>
            <w:tcW w:w="3060" w:type="dxa"/>
            <w:tcBorders>
              <w:top w:val="nil"/>
              <w:left w:val="nil"/>
              <w:bottom w:val="nil"/>
              <w:right w:val="nil"/>
            </w:tcBorders>
            <w:tcMar>
              <w:top w:w="0" w:type="dxa"/>
              <w:left w:w="62" w:type="dxa"/>
              <w:bottom w:w="0" w:type="dxa"/>
              <w:right w:w="62" w:type="dxa"/>
            </w:tcMar>
          </w:tcPr>
          <w:p w:rsidR="00000000" w:rsidP="00FC31FA">
            <w:pPr>
              <w:pStyle w:val="BodyText"/>
              <w:rPr>
                <w:lang w:val="en-NZ"/>
              </w:rPr>
            </w:pPr>
            <w:r w:rsidRPr="00FC31FA">
              <w:t>Reading skills to:</w:t>
            </w:r>
          </w:p>
        </w:tc>
        <w:tc>
          <w:tcPr>
            <w:tcW w:w="6570" w:type="dxa"/>
            <w:tcBorders>
              <w:top w:val="nil"/>
              <w:left w:val="nil"/>
              <w:bottom w:val="nil"/>
              <w:right w:val="nil"/>
            </w:tcBorders>
            <w:tcMar>
              <w:top w:w="0" w:type="dxa"/>
              <w:left w:w="62" w:type="dxa"/>
              <w:bottom w:w="0" w:type="dxa"/>
              <w:right w:w="62" w:type="dxa"/>
            </w:tcMar>
          </w:tcPr>
          <w:p w:rsidR="00000000" w:rsidRPr="00FC31FA" w:rsidP="00FC31FA">
            <w:pPr>
              <w:pStyle w:val="ListBullet"/>
            </w:pPr>
            <w:r w:rsidRPr="00FC31FA">
              <w:t>interpret service policies and procedures</w:t>
            </w:r>
          </w:p>
          <w:p w:rsidR="00000000" w:rsidP="00FC31FA">
            <w:pPr>
              <w:pStyle w:val="ListBullet"/>
              <w:rPr>
                <w:lang w:val="en-NZ"/>
              </w:rPr>
            </w:pPr>
            <w:r w:rsidRPr="00FC31FA">
              <w:t>interpret information about childhood learning, development and wellbeing.</w:t>
            </w:r>
          </w:p>
        </w:tc>
      </w:tr>
      <w:tr w:rsidTr="00FC31FA">
        <w:tblPrEx>
          <w:tblW w:w="9630" w:type="dxa"/>
          <w:tblLayout w:type="fixed"/>
          <w:tblCellMar>
            <w:left w:w="62" w:type="dxa"/>
            <w:right w:w="62" w:type="dxa"/>
          </w:tblCellMar>
          <w:tblLook w:val="0000"/>
        </w:tblPrEx>
        <w:trPr>
          <w:trHeight w:val="720"/>
        </w:trPr>
        <w:tc>
          <w:tcPr>
            <w:tcW w:w="3060" w:type="dxa"/>
            <w:tcBorders>
              <w:top w:val="nil"/>
              <w:left w:val="nil"/>
              <w:bottom w:val="nil"/>
              <w:right w:val="nil"/>
            </w:tcBorders>
            <w:tcMar>
              <w:top w:w="0" w:type="dxa"/>
              <w:left w:w="62" w:type="dxa"/>
              <w:bottom w:w="0" w:type="dxa"/>
              <w:right w:w="62" w:type="dxa"/>
            </w:tcMar>
          </w:tcPr>
          <w:p w:rsidR="00000000" w:rsidP="00FC31FA">
            <w:pPr>
              <w:pStyle w:val="BodyText"/>
              <w:rPr>
                <w:lang w:val="en-NZ"/>
              </w:rPr>
            </w:pPr>
            <w:r w:rsidRPr="00FC31FA">
              <w:t>Writing skills to:</w:t>
            </w:r>
          </w:p>
        </w:tc>
        <w:tc>
          <w:tcPr>
            <w:tcW w:w="6570" w:type="dxa"/>
            <w:tcBorders>
              <w:top w:val="nil"/>
              <w:left w:val="nil"/>
              <w:bottom w:val="nil"/>
              <w:right w:val="nil"/>
            </w:tcBorders>
            <w:tcMar>
              <w:top w:w="0" w:type="dxa"/>
              <w:left w:w="62" w:type="dxa"/>
              <w:bottom w:w="0" w:type="dxa"/>
              <w:right w:w="62" w:type="dxa"/>
            </w:tcMar>
          </w:tcPr>
          <w:p w:rsidR="00000000" w:rsidP="00FC31FA">
            <w:pPr>
              <w:pStyle w:val="ListBullet"/>
              <w:rPr>
                <w:lang w:val="en-NZ"/>
              </w:rPr>
            </w:pPr>
            <w:r w:rsidRPr="00FC31FA">
              <w:t>record information and observations according to service procedures.</w:t>
            </w:r>
          </w:p>
        </w:tc>
      </w:tr>
      <w:tr w:rsidTr="00FC31FA">
        <w:tblPrEx>
          <w:tblW w:w="9630" w:type="dxa"/>
          <w:tblLayout w:type="fixed"/>
          <w:tblCellMar>
            <w:left w:w="62" w:type="dxa"/>
            <w:right w:w="62" w:type="dxa"/>
          </w:tblCellMar>
          <w:tblLook w:val="0000"/>
        </w:tblPrEx>
        <w:trPr>
          <w:trHeight w:val="1123"/>
        </w:trPr>
        <w:tc>
          <w:tcPr>
            <w:tcW w:w="3060" w:type="dxa"/>
            <w:tcBorders>
              <w:top w:val="nil"/>
              <w:left w:val="nil"/>
              <w:bottom w:val="nil"/>
              <w:right w:val="nil"/>
            </w:tcBorders>
            <w:tcMar>
              <w:top w:w="0" w:type="dxa"/>
              <w:left w:w="62" w:type="dxa"/>
              <w:bottom w:w="0" w:type="dxa"/>
              <w:right w:w="62" w:type="dxa"/>
            </w:tcMar>
          </w:tcPr>
          <w:p w:rsidR="00000000" w:rsidP="00FC31FA">
            <w:pPr>
              <w:pStyle w:val="BodyText"/>
              <w:rPr>
                <w:lang w:val="en-NZ"/>
              </w:rPr>
            </w:pPr>
            <w:r w:rsidRPr="00FC31FA">
              <w:t>Oral communication skills to:</w:t>
            </w:r>
          </w:p>
        </w:tc>
        <w:tc>
          <w:tcPr>
            <w:tcW w:w="6570" w:type="dxa"/>
            <w:tcBorders>
              <w:top w:val="nil"/>
              <w:left w:val="nil"/>
              <w:bottom w:val="nil"/>
              <w:right w:val="nil"/>
            </w:tcBorders>
            <w:tcMar>
              <w:top w:w="0" w:type="dxa"/>
              <w:left w:w="62" w:type="dxa"/>
              <w:bottom w:w="0" w:type="dxa"/>
              <w:right w:w="62" w:type="dxa"/>
            </w:tcMar>
          </w:tcPr>
          <w:p w:rsidR="00000000" w:rsidRPr="00FC31FA" w:rsidP="00FC31FA">
            <w:pPr>
              <w:pStyle w:val="ListBullet"/>
            </w:pPr>
            <w:r w:rsidRPr="00FC31FA">
              <w:t xml:space="preserve">ask open and closed questions and actively listen to seek information and confirm understanding </w:t>
            </w:r>
          </w:p>
          <w:p w:rsidR="00000000" w:rsidP="00FC31FA">
            <w:pPr>
              <w:pStyle w:val="ListBullet"/>
              <w:rPr>
                <w:lang w:val="en-NZ"/>
              </w:rPr>
            </w:pPr>
            <w:r w:rsidRPr="00FC31FA">
              <w:t>interact and engage with children to build rapport.</w:t>
            </w:r>
          </w:p>
        </w:tc>
      </w:tr>
      <w:tr w:rsidTr="00FC31FA">
        <w:tblPrEx>
          <w:tblW w:w="9630" w:type="dxa"/>
          <w:tblLayout w:type="fixed"/>
          <w:tblCellMar>
            <w:left w:w="62" w:type="dxa"/>
            <w:right w:w="62" w:type="dxa"/>
          </w:tblCellMar>
          <w:tblLook w:val="0000"/>
        </w:tblPrEx>
        <w:trPr>
          <w:trHeight w:val="858"/>
        </w:trPr>
        <w:tc>
          <w:tcPr>
            <w:tcW w:w="3060" w:type="dxa"/>
            <w:tcBorders>
              <w:top w:val="nil"/>
              <w:left w:val="nil"/>
              <w:bottom w:val="nil"/>
              <w:right w:val="nil"/>
            </w:tcBorders>
            <w:tcMar>
              <w:top w:w="0" w:type="dxa"/>
              <w:left w:w="62" w:type="dxa"/>
              <w:bottom w:w="0" w:type="dxa"/>
              <w:right w:w="62" w:type="dxa"/>
            </w:tcMar>
          </w:tcPr>
          <w:p w:rsidR="00000000" w:rsidP="00FC31FA">
            <w:pPr>
              <w:pStyle w:val="BodyText"/>
              <w:rPr>
                <w:lang w:val="en-NZ"/>
              </w:rPr>
            </w:pPr>
            <w:r w:rsidRPr="00FC31FA">
              <w:t>Problem-solving skills to:</w:t>
            </w:r>
          </w:p>
        </w:tc>
        <w:tc>
          <w:tcPr>
            <w:tcW w:w="6570" w:type="dxa"/>
            <w:tcBorders>
              <w:top w:val="nil"/>
              <w:left w:val="nil"/>
              <w:bottom w:val="nil"/>
              <w:right w:val="nil"/>
            </w:tcBorders>
            <w:tcMar>
              <w:top w:w="0" w:type="dxa"/>
              <w:left w:w="62" w:type="dxa"/>
              <w:bottom w:w="0" w:type="dxa"/>
              <w:right w:w="62" w:type="dxa"/>
            </w:tcMar>
          </w:tcPr>
          <w:p w:rsidR="00000000" w:rsidP="00FC31FA">
            <w:pPr>
              <w:pStyle w:val="ListBullet"/>
              <w:rPr>
                <w:lang w:val="en-NZ"/>
              </w:rPr>
            </w:pPr>
            <w:r w:rsidRPr="00FC31FA">
              <w:t>provide support to children and determine methods to appropriately scaffold le</w:t>
            </w:r>
            <w:r w:rsidRPr="00FC31FA">
              <w:t>arning according to individual ability.</w:t>
            </w:r>
          </w:p>
        </w:tc>
      </w:tr>
      <w:tr w:rsidTr="00FC31FA">
        <w:tblPrEx>
          <w:tblW w:w="9630" w:type="dxa"/>
          <w:tblLayout w:type="fixed"/>
          <w:tblCellMar>
            <w:left w:w="62" w:type="dxa"/>
            <w:right w:w="62" w:type="dxa"/>
          </w:tblCellMar>
          <w:tblLook w:val="0000"/>
        </w:tblPrEx>
        <w:trPr>
          <w:trHeight w:val="833"/>
        </w:trPr>
        <w:tc>
          <w:tcPr>
            <w:tcW w:w="3060" w:type="dxa"/>
            <w:tcBorders>
              <w:top w:val="nil"/>
              <w:left w:val="nil"/>
              <w:bottom w:val="nil"/>
              <w:right w:val="nil"/>
            </w:tcBorders>
            <w:tcMar>
              <w:top w:w="0" w:type="dxa"/>
              <w:left w:w="62" w:type="dxa"/>
              <w:bottom w:w="0" w:type="dxa"/>
              <w:right w:w="62" w:type="dxa"/>
            </w:tcMar>
          </w:tcPr>
          <w:p w:rsidR="00000000" w:rsidP="00FC31FA">
            <w:pPr>
              <w:pStyle w:val="BodyText"/>
              <w:rPr>
                <w:lang w:val="en-NZ"/>
              </w:rPr>
            </w:pPr>
            <w:r w:rsidRPr="00FC31FA">
              <w:t>Initiative and enterprise skills to:</w:t>
            </w:r>
          </w:p>
        </w:tc>
        <w:tc>
          <w:tcPr>
            <w:tcW w:w="6570" w:type="dxa"/>
            <w:tcBorders>
              <w:top w:val="nil"/>
              <w:left w:val="nil"/>
              <w:bottom w:val="nil"/>
              <w:right w:val="nil"/>
            </w:tcBorders>
            <w:tcMar>
              <w:top w:w="0" w:type="dxa"/>
              <w:left w:w="62" w:type="dxa"/>
              <w:bottom w:w="0" w:type="dxa"/>
              <w:right w:w="62" w:type="dxa"/>
            </w:tcMar>
          </w:tcPr>
          <w:p w:rsidR="00000000" w:rsidP="00FC31FA">
            <w:pPr>
              <w:pStyle w:val="ListBullet"/>
              <w:rPr>
                <w:lang w:val="en-NZ"/>
              </w:rPr>
            </w:pPr>
            <w:r w:rsidRPr="00FC31FA">
              <w:t>determine appropriate strategies to support children’s individual needs.</w:t>
            </w:r>
          </w:p>
        </w:tc>
      </w:tr>
      <w:tr w:rsidTr="00FC31FA">
        <w:tblPrEx>
          <w:tblW w:w="9630" w:type="dxa"/>
          <w:tblLayout w:type="fixed"/>
          <w:tblCellMar>
            <w:left w:w="62" w:type="dxa"/>
            <w:right w:w="62" w:type="dxa"/>
          </w:tblCellMar>
          <w:tblLook w:val="0000"/>
        </w:tblPrEx>
        <w:trPr>
          <w:trHeight w:val="344"/>
        </w:trPr>
        <w:tc>
          <w:tcPr>
            <w:tcW w:w="3060" w:type="dxa"/>
            <w:tcBorders>
              <w:top w:val="nil"/>
              <w:left w:val="nil"/>
              <w:bottom w:val="nil"/>
              <w:right w:val="nil"/>
            </w:tcBorders>
            <w:tcMar>
              <w:top w:w="0" w:type="dxa"/>
              <w:left w:w="62" w:type="dxa"/>
              <w:bottom w:w="0" w:type="dxa"/>
              <w:right w:w="62" w:type="dxa"/>
            </w:tcMar>
          </w:tcPr>
          <w:p w:rsidR="00000000" w:rsidP="00FC31FA">
            <w:pPr>
              <w:pStyle w:val="BodyText"/>
              <w:rPr>
                <w:lang w:val="en-NZ"/>
              </w:rPr>
            </w:pPr>
            <w:r w:rsidRPr="00FC31FA">
              <w:t>Technology skills to:</w:t>
            </w:r>
          </w:p>
        </w:tc>
        <w:tc>
          <w:tcPr>
            <w:tcW w:w="6570" w:type="dxa"/>
            <w:tcBorders>
              <w:top w:val="nil"/>
              <w:left w:val="nil"/>
              <w:bottom w:val="nil"/>
              <w:right w:val="nil"/>
            </w:tcBorders>
            <w:tcMar>
              <w:top w:w="0" w:type="dxa"/>
              <w:left w:w="62" w:type="dxa"/>
              <w:bottom w:w="0" w:type="dxa"/>
              <w:right w:w="62" w:type="dxa"/>
            </w:tcMar>
          </w:tcPr>
          <w:p w:rsidR="00000000" w:rsidRPr="00FC31FA" w:rsidP="00FC31FA">
            <w:pPr>
              <w:pStyle w:val="ListBullet"/>
            </w:pPr>
            <w:r w:rsidRPr="00FC31FA">
              <w:t>research information about childhood learning, development and wellbeing using digital media.</w:t>
            </w:r>
          </w:p>
        </w:tc>
      </w:tr>
    </w:tbl>
    <w:p w:rsidR="00000000" w:rsidRPr="00FC31FA" w:rsidP="00FC31FA">
      <w:pPr>
        <w:pStyle w:val="BodyText"/>
      </w:pPr>
    </w:p>
    <w:p w:rsidR="00000000" w:rsidRPr="00FC31FA" w:rsidP="00FC31FA">
      <w:pPr>
        <w:pStyle w:val="AllowPageBreak"/>
      </w:pPr>
    </w:p>
    <w:p w:rsidR="00000000" w:rsidRPr="00FC31FA" w:rsidP="00FC31FA">
      <w:pPr>
        <w:pStyle w:val="Heading1"/>
      </w:pPr>
      <w:bookmarkStart w:id="8" w:name="O_1182669"/>
      <w:bookmarkEnd w:id="8"/>
      <w:r w:rsidRPr="00FC31FA">
        <w:t>Unit Mapping Information</w:t>
      </w:r>
    </w:p>
    <w:p w:rsidR="00000000" w:rsidRPr="00FC31FA" w:rsidP="00774830">
      <w:pPr>
        <w:pStyle w:val="BodyText"/>
      </w:pPr>
      <w:r w:rsidRPr="00FC31FA">
        <w:t>Release 1. CHCECE042 Foster holistic early childhood learning, development and wellbeing supersedes and is not equivalent to CHCECE017 Foster the holistic development and wellbeing of the child in early childhood.</w:t>
      </w:r>
    </w:p>
    <w:p w:rsidR="00000000" w:rsidRPr="00FC31FA" w:rsidP="00FC31FA">
      <w:pPr>
        <w:pStyle w:val="Heading1"/>
      </w:pPr>
      <w:bookmarkStart w:id="9" w:name="O_1182676"/>
      <w:bookmarkEnd w:id="9"/>
      <w:r w:rsidRPr="00FC31FA">
        <w:t>Links</w:t>
      </w:r>
    </w:p>
    <w:p w:rsidR="00000000" w:rsidRPr="00FC31FA" w:rsidP="00774830">
      <w:pPr>
        <w:pStyle w:val="BodyText"/>
      </w:pPr>
      <w:r w:rsidRPr="00FC31FA">
        <w:t xml:space="preserve">Companion Volume </w:t>
      </w:r>
      <w:r w:rsidRPr="00FC31FA">
        <w:t xml:space="preserve">implementation guides are found in VETNet - </w:t>
      </w:r>
      <w:r>
        <w:fldChar w:fldCharType="begin"/>
      </w:r>
      <w:r>
        <w:instrText xml:space="preserve"> HYPERLINK "https://vetnet.gov.au/Pages/TrainingDocs.aspx?q=5e0c25cc-3d9d-4b43-80d3-bd22cc4f1e53" </w:instrText>
      </w:r>
      <w:r>
        <w:fldChar w:fldCharType="separate"/>
      </w:r>
      <w:r w:rsidRPr="00FC361F">
        <w:rPr>
          <w:rStyle w:val="Hyperlink"/>
        </w:rPr>
        <w:t>https://vetnet.gov.au/Pages/TrainingDocs.aspx?q=5e0c25cc-3d9d-4b43-80d3-bd22cc4f1e53</w:t>
      </w:r>
      <w:r>
        <w:fldChar w:fldCharType="end"/>
      </w:r>
    </w:p>
    <w:p w:rsidR="00000000" w:rsidRPr="00FC31FA" w:rsidP="00774830">
      <w:pPr>
        <w:pStyle w:val="BodyText"/>
        <w:sectPr w:rsidSect="00FC31FA">
          <w:headerReference w:type="default" r:id="rId10"/>
          <w:footerReference w:type="default" r:id="rId11"/>
          <w:pgSz w:w="11908" w:h="16833"/>
          <w:pgMar w:top="1702" w:right="1418" w:bottom="1702" w:left="1418" w:header="992" w:footer="992" w:gutter="0"/>
          <w:cols w:space="720"/>
          <w:noEndnote/>
          <w:docGrid w:linePitch="299"/>
        </w:sectPr>
      </w:pPr>
    </w:p>
    <w:p w:rsidR="00000000" w:rsidRPr="00FC31FA" w:rsidP="00FC31FA">
      <w:pPr>
        <w:pStyle w:val="SuperHeading"/>
      </w:pPr>
      <w:r w:rsidRPr="00FC31FA">
        <w:t xml:space="preserve">Assessment Requirements for CHCECE042 Foster holistic early childhood learning, </w:t>
      </w:r>
      <w:r w:rsidRPr="00FC31FA">
        <w:t>development and wellbeing</w:t>
      </w:r>
    </w:p>
    <w:p w:rsidR="00000000" w:rsidRPr="00FC31FA" w:rsidP="00FC31FA">
      <w:pPr>
        <w:pStyle w:val="Heading1"/>
      </w:pPr>
      <w:bookmarkStart w:id="10" w:name="O_1182671"/>
      <w:bookmarkEnd w:id="10"/>
      <w:r w:rsidRPr="00FC31FA">
        <w:t>Modification History</w:t>
      </w:r>
    </w:p>
    <w:p w:rsidR="00000000" w:rsidRPr="00FC31FA" w:rsidP="00774830">
      <w:pPr>
        <w:pStyle w:val="BodyText"/>
      </w:pPr>
      <w:r w:rsidRPr="00FC31FA">
        <w:t>Release 1. CHCECE042 Foster holistic early childhood learning, development and wellbeing supersedes and is not equivalent to CHCECE017 Foster the holistic development and wellb</w:t>
      </w:r>
      <w:r w:rsidRPr="00FC31FA">
        <w:t>eing of the child in early childhood.</w:t>
      </w:r>
    </w:p>
    <w:p w:rsidR="00000000" w:rsidRPr="00FC31FA" w:rsidP="00FC31FA">
      <w:pPr>
        <w:pStyle w:val="Heading1"/>
      </w:pPr>
      <w:bookmarkStart w:id="11" w:name="O_1182672"/>
      <w:bookmarkEnd w:id="11"/>
      <w:r w:rsidRPr="00FC31FA">
        <w:t>Performance Evidence</w:t>
      </w:r>
    </w:p>
    <w:p w:rsidR="00000000" w:rsidRPr="00FC31FA" w:rsidP="00774830">
      <w:pPr>
        <w:pStyle w:val="BodyText"/>
      </w:pPr>
      <w:r w:rsidRPr="00FC31FA">
        <w:t>Evidence of the ability to complete tasks outlined in elements and performance criteria of this unit in the context of the job role, and:</w:t>
      </w:r>
    </w:p>
    <w:p w:rsidR="00000000" w:rsidRPr="00FC31FA" w:rsidP="00FC31FA">
      <w:pPr>
        <w:pStyle w:val="ListBullet"/>
      </w:pPr>
      <w:r w:rsidRPr="00FC31FA">
        <w:t xml:space="preserve">identify and apply information from at </w:t>
      </w:r>
      <w:r w:rsidRPr="00FC31FA">
        <w:t>least two different credible sources about the following domains of early childhood development, and their interrelationships:</w:t>
      </w:r>
    </w:p>
    <w:p w:rsidR="00000000" w:rsidRPr="00FC31FA" w:rsidP="00FC31FA">
      <w:pPr>
        <w:pStyle w:val="ListBullet2"/>
      </w:pPr>
      <w:r w:rsidRPr="00FC31FA">
        <w:t>cognitive</w:t>
      </w:r>
    </w:p>
    <w:p w:rsidR="00000000" w:rsidRPr="00FC31FA" w:rsidP="00FC31FA">
      <w:pPr>
        <w:pStyle w:val="ListBullet2"/>
      </w:pPr>
      <w:r w:rsidRPr="00FC31FA">
        <w:t>communication</w:t>
      </w:r>
    </w:p>
    <w:p w:rsidR="00000000" w:rsidRPr="00FC31FA" w:rsidP="00FC31FA">
      <w:pPr>
        <w:pStyle w:val="ListBullet2"/>
      </w:pPr>
      <w:r w:rsidRPr="00FC31FA">
        <w:t>emotional</w:t>
      </w:r>
    </w:p>
    <w:p w:rsidR="00000000" w:rsidRPr="00FC31FA" w:rsidP="00FC31FA">
      <w:pPr>
        <w:pStyle w:val="ListBullet2"/>
      </w:pPr>
      <w:r w:rsidRPr="00FC31FA">
        <w:t>physical</w:t>
      </w:r>
    </w:p>
    <w:p w:rsidR="00000000" w:rsidRPr="00FC31FA" w:rsidP="00FC31FA">
      <w:pPr>
        <w:pStyle w:val="ListBullet2"/>
      </w:pPr>
      <w:r w:rsidRPr="00FC31FA">
        <w:t>social</w:t>
      </w:r>
    </w:p>
    <w:p w:rsidR="00000000" w:rsidRPr="00FC31FA" w:rsidP="00FC31FA">
      <w:pPr>
        <w:pStyle w:val="ListBullet"/>
      </w:pPr>
      <w:r w:rsidRPr="00FC31FA">
        <w:t>plan and document four experiences for children aged from birth to six years, that collectively incorporate:</w:t>
      </w:r>
    </w:p>
    <w:p w:rsidR="00000000" w:rsidRPr="00FC31FA" w:rsidP="00FC31FA">
      <w:pPr>
        <w:pStyle w:val="ListBullet2"/>
      </w:pPr>
      <w:r w:rsidRPr="00FC31FA">
        <w:t xml:space="preserve">routines </w:t>
      </w:r>
    </w:p>
    <w:p w:rsidR="00000000" w:rsidRPr="00FC31FA" w:rsidP="00FC31FA">
      <w:pPr>
        <w:pStyle w:val="ListBullet2"/>
      </w:pPr>
      <w:r w:rsidRPr="00FC31FA">
        <w:t xml:space="preserve">play </w:t>
      </w:r>
    </w:p>
    <w:p w:rsidR="00000000" w:rsidRPr="00FC31FA" w:rsidP="00FC31FA">
      <w:pPr>
        <w:pStyle w:val="ListBullet2"/>
      </w:pPr>
      <w:r w:rsidRPr="00FC31FA">
        <w:t>transitions</w:t>
      </w:r>
    </w:p>
    <w:p w:rsidR="00000000" w:rsidRPr="00FC31FA" w:rsidP="00FC31FA">
      <w:pPr>
        <w:pStyle w:val="ListBullet2"/>
      </w:pPr>
      <w:r w:rsidRPr="00FC31FA">
        <w:t>opportunities for development across each of the following areas:</w:t>
      </w:r>
    </w:p>
    <w:p w:rsidR="00000000" w:rsidRPr="00FC31FA" w:rsidP="00FC31FA">
      <w:pPr>
        <w:pStyle w:val="ListBullet3"/>
      </w:pPr>
      <w:r w:rsidRPr="00FC31FA">
        <w:t>cognitive</w:t>
      </w:r>
    </w:p>
    <w:p w:rsidR="00000000" w:rsidRPr="00FC31FA" w:rsidP="00FC31FA">
      <w:pPr>
        <w:pStyle w:val="ListBullet3"/>
      </w:pPr>
      <w:r w:rsidRPr="00FC31FA">
        <w:t>communication</w:t>
      </w:r>
    </w:p>
    <w:p w:rsidR="00000000" w:rsidRPr="00FC31FA" w:rsidP="00FC31FA">
      <w:pPr>
        <w:pStyle w:val="ListBullet3"/>
      </w:pPr>
      <w:r w:rsidRPr="00FC31FA">
        <w:t>emotional</w:t>
      </w:r>
    </w:p>
    <w:p w:rsidR="00000000" w:rsidRPr="00FC31FA" w:rsidP="00FC31FA">
      <w:pPr>
        <w:pStyle w:val="ListBullet3"/>
      </w:pPr>
      <w:r w:rsidRPr="00FC31FA">
        <w:t>physical</w:t>
      </w:r>
    </w:p>
    <w:p w:rsidR="00000000" w:rsidRPr="00FC31FA" w:rsidP="00FC31FA">
      <w:pPr>
        <w:pStyle w:val="ListBullet3"/>
      </w:pPr>
      <w:r w:rsidRPr="00FC31FA">
        <w:t>social</w:t>
      </w:r>
    </w:p>
    <w:p w:rsidR="00000000" w:rsidRPr="00FC31FA" w:rsidP="00FC31FA">
      <w:pPr>
        <w:pStyle w:val="ListBullet"/>
      </w:pPr>
      <w:r w:rsidRPr="00FC31FA">
        <w:t>provide two of the above four experiences:</w:t>
      </w:r>
    </w:p>
    <w:p w:rsidR="00000000" w:rsidRPr="00FC31FA" w:rsidP="00FC31FA">
      <w:pPr>
        <w:pStyle w:val="ListBullet2"/>
      </w:pPr>
      <w:r w:rsidRPr="00FC31FA">
        <w:t>for individual children</w:t>
      </w:r>
    </w:p>
    <w:p w:rsidR="00000000" w:rsidRPr="00FC31FA" w:rsidP="00FC31FA">
      <w:pPr>
        <w:pStyle w:val="ListBullet"/>
      </w:pPr>
      <w:r w:rsidRPr="00FC31FA">
        <w:t>provide two of the above four experiences:</w:t>
      </w:r>
    </w:p>
    <w:p w:rsidR="00000000" w:rsidRPr="00FC31FA" w:rsidP="00FC31FA">
      <w:pPr>
        <w:pStyle w:val="ListBullet2"/>
      </w:pPr>
      <w:r w:rsidRPr="00FC31FA">
        <w:t>on two separate occasions for groups of children</w:t>
      </w:r>
    </w:p>
    <w:p w:rsidR="00000000" w:rsidRPr="00FC31FA" w:rsidP="00FC31FA">
      <w:pPr>
        <w:pStyle w:val="ListBullet"/>
      </w:pPr>
      <w:r w:rsidRPr="00FC31FA">
        <w:t>use observation, collaboration and critical reflection to evaluate the four experiences and document evaluation outcomes</w:t>
      </w:r>
    </w:p>
    <w:p w:rsidR="00000000" w:rsidRPr="00FC31FA" w:rsidP="00FC31FA">
      <w:pPr>
        <w:pStyle w:val="ListBullet"/>
      </w:pPr>
      <w:r w:rsidRPr="00FC31FA">
        <w:t>perform the activities outlined in the performance criteria of this unit during a period of at least 280 hours of work in a regulated c</w:t>
      </w:r>
      <w:r w:rsidRPr="00FC31FA">
        <w:t>hildren’s education and care service in Australia.</w:t>
      </w:r>
    </w:p>
    <w:p w:rsidR="00000000" w:rsidRPr="00FC31FA" w:rsidP="00FC31FA">
      <w:pPr>
        <w:pStyle w:val="AllowPageBreak"/>
      </w:pPr>
    </w:p>
    <w:p w:rsidR="00000000" w:rsidRPr="00FC31FA" w:rsidP="00FC31FA">
      <w:pPr>
        <w:pStyle w:val="Heading1"/>
      </w:pPr>
      <w:bookmarkStart w:id="12" w:name="O_1182673"/>
      <w:bookmarkEnd w:id="12"/>
      <w:r w:rsidRPr="00FC31FA">
        <w:t>Knowledge Evidence</w:t>
      </w:r>
    </w:p>
    <w:p w:rsidR="00000000" w:rsidRPr="00FC31FA" w:rsidP="00774830">
      <w:pPr>
        <w:pStyle w:val="BodyText"/>
      </w:pPr>
      <w:r w:rsidRPr="00FC31FA">
        <w:t>Demonstrated knowledge required to complete the tasks outlined in elements and performance criteria of this unit:</w:t>
      </w:r>
    </w:p>
    <w:p w:rsidR="00000000" w:rsidRPr="00FC31FA" w:rsidP="00FC31FA">
      <w:pPr>
        <w:pStyle w:val="ListBullet"/>
      </w:pPr>
      <w:r w:rsidRPr="00FC31FA">
        <w:t>requirements of the following National Quality Stand</w:t>
      </w:r>
      <w:r w:rsidRPr="00FC31FA">
        <w:t>ard and related regulations and laws applicable to this unit including:</w:t>
      </w:r>
    </w:p>
    <w:p w:rsidR="00000000" w:rsidRPr="00FC31FA" w:rsidP="00FC31FA">
      <w:pPr>
        <w:pStyle w:val="ListBullet2"/>
      </w:pPr>
      <w:r w:rsidRPr="00FC31FA">
        <w:t>children’s health and safety</w:t>
      </w:r>
    </w:p>
    <w:p w:rsidR="00000000" w:rsidRPr="00FC31FA" w:rsidP="00FC31FA">
      <w:pPr>
        <w:pStyle w:val="ListBullet2"/>
      </w:pPr>
      <w:r w:rsidRPr="00FC31FA">
        <w:t>educational program and practice</w:t>
      </w:r>
    </w:p>
    <w:p w:rsidR="00000000" w:rsidRPr="00FC31FA" w:rsidP="00FC31FA">
      <w:pPr>
        <w:pStyle w:val="ListBullet2"/>
      </w:pPr>
      <w:r w:rsidRPr="00FC31FA">
        <w:t>physical environment</w:t>
      </w:r>
    </w:p>
    <w:p w:rsidR="00000000" w:rsidRPr="00FC31FA" w:rsidP="00FC31FA">
      <w:pPr>
        <w:pStyle w:val="ListBullet2"/>
      </w:pPr>
      <w:r w:rsidRPr="00FC31FA">
        <w:t>relationships with children</w:t>
      </w:r>
    </w:p>
    <w:p w:rsidR="00000000" w:rsidRPr="00FC31FA" w:rsidP="00FC31FA">
      <w:pPr>
        <w:pStyle w:val="ListBullet"/>
      </w:pPr>
      <w:r w:rsidRPr="00FC31FA">
        <w:t>child developmental theory and research for children between birth and six years of age including:</w:t>
      </w:r>
    </w:p>
    <w:p w:rsidR="00000000" w:rsidRPr="00FC31FA" w:rsidP="00FC31FA">
      <w:pPr>
        <w:pStyle w:val="ListBullet2"/>
      </w:pPr>
      <w:r w:rsidRPr="00FC31FA">
        <w:t>core principles of child development</w:t>
      </w:r>
    </w:p>
    <w:p w:rsidR="00000000" w:rsidRPr="00FC31FA" w:rsidP="00FC31FA">
      <w:pPr>
        <w:pStyle w:val="ListBullet2"/>
      </w:pPr>
      <w:r w:rsidRPr="00FC31FA">
        <w:t xml:space="preserve">overview of historical perspectives </w:t>
      </w:r>
    </w:p>
    <w:p w:rsidR="00000000" w:rsidRPr="00FC31FA" w:rsidP="00FC31FA">
      <w:pPr>
        <w:pStyle w:val="ListBullet2"/>
      </w:pPr>
      <w:r w:rsidRPr="00FC31FA">
        <w:t>current and emerging theories and research influencing practice</w:t>
      </w:r>
    </w:p>
    <w:p w:rsidR="00000000" w:rsidRPr="00FC31FA" w:rsidP="00FC31FA">
      <w:pPr>
        <w:pStyle w:val="ListBullet2"/>
      </w:pPr>
      <w:r w:rsidRPr="00FC31FA">
        <w:t>a range of theorie</w:t>
      </w:r>
      <w:r w:rsidRPr="00FC31FA">
        <w:t>s about emotional, social, cognitive and language development</w:t>
      </w:r>
    </w:p>
    <w:p w:rsidR="00000000" w:rsidRPr="00FC31FA" w:rsidP="00FC31FA">
      <w:pPr>
        <w:pStyle w:val="ListBullet2"/>
      </w:pPr>
      <w:r w:rsidRPr="00FC31FA">
        <w:t>patterns of growth and typical development</w:t>
      </w:r>
    </w:p>
    <w:p w:rsidR="00000000" w:rsidRPr="00FC31FA" w:rsidP="00FC31FA">
      <w:pPr>
        <w:pStyle w:val="ListBullet2"/>
      </w:pPr>
      <w:r w:rsidRPr="00FC31FA">
        <w:t>contextual factors which influence children’s development</w:t>
      </w:r>
    </w:p>
    <w:p w:rsidR="00000000" w:rsidRPr="00FC31FA" w:rsidP="00FC31FA">
      <w:pPr>
        <w:pStyle w:val="ListBullet2"/>
      </w:pPr>
      <w:r w:rsidRPr="00FC31FA">
        <w:t>interrelationships between areas of development</w:t>
      </w:r>
    </w:p>
    <w:p w:rsidR="00000000" w:rsidRPr="00FC31FA" w:rsidP="00FC31FA">
      <w:pPr>
        <w:pStyle w:val="ListBullet2"/>
      </w:pPr>
      <w:r w:rsidRPr="00FC31FA">
        <w:t>Australian Early Development Census</w:t>
      </w:r>
    </w:p>
    <w:p w:rsidR="00000000" w:rsidRPr="00FC31FA" w:rsidP="00FC31FA">
      <w:pPr>
        <w:pStyle w:val="ListBullet"/>
      </w:pPr>
      <w:r w:rsidRPr="00FC31FA">
        <w:t>the curr</w:t>
      </w:r>
      <w:r w:rsidRPr="00FC31FA">
        <w:t>iculum planning cycle and how to plan and evaluate experiences for children between birth and six years of age</w:t>
      </w:r>
    </w:p>
    <w:p w:rsidR="00000000" w:rsidRPr="00FC31FA" w:rsidP="00FC31FA">
      <w:pPr>
        <w:pStyle w:val="ListBullet"/>
      </w:pPr>
      <w:r w:rsidRPr="00FC31FA">
        <w:t>strategies, activities and equipment that support development in the following areas through play, daily routines and transitions:</w:t>
      </w:r>
    </w:p>
    <w:p w:rsidR="00000000" w:rsidRPr="00FC31FA" w:rsidP="00FC31FA">
      <w:pPr>
        <w:pStyle w:val="ListBullet2"/>
      </w:pPr>
      <w:r w:rsidRPr="00FC31FA">
        <w:t>cognitive</w:t>
      </w:r>
    </w:p>
    <w:p w:rsidR="00000000" w:rsidRPr="00FC31FA" w:rsidP="00FC31FA">
      <w:pPr>
        <w:pStyle w:val="ListBullet2"/>
      </w:pPr>
      <w:r w:rsidRPr="00FC31FA">
        <w:t>com</w:t>
      </w:r>
      <w:r w:rsidRPr="00FC31FA">
        <w:t>munication</w:t>
      </w:r>
    </w:p>
    <w:p w:rsidR="00000000" w:rsidRPr="00FC31FA" w:rsidP="00FC31FA">
      <w:pPr>
        <w:pStyle w:val="ListBullet2"/>
      </w:pPr>
      <w:r w:rsidRPr="00FC31FA">
        <w:t>emotional</w:t>
      </w:r>
    </w:p>
    <w:p w:rsidR="00000000" w:rsidRPr="00FC31FA" w:rsidP="00FC31FA">
      <w:pPr>
        <w:pStyle w:val="ListBullet2"/>
      </w:pPr>
      <w:r w:rsidRPr="00FC31FA">
        <w:t>physical</w:t>
      </w:r>
    </w:p>
    <w:p w:rsidR="00000000" w:rsidRPr="00FC31FA" w:rsidP="00FC31FA">
      <w:pPr>
        <w:pStyle w:val="ListBullet2"/>
      </w:pPr>
      <w:r w:rsidRPr="00FC31FA">
        <w:t>social</w:t>
      </w:r>
    </w:p>
    <w:p w:rsidR="00000000" w:rsidRPr="00FC31FA" w:rsidP="00FC31FA">
      <w:pPr>
        <w:pStyle w:val="ListBullet"/>
      </w:pPr>
      <w:r w:rsidRPr="00FC31FA">
        <w:t>practices which support holistic learning:</w:t>
      </w:r>
    </w:p>
    <w:p w:rsidR="00000000" w:rsidRPr="00FC31FA" w:rsidP="00FC31FA">
      <w:pPr>
        <w:pStyle w:val="ListBullet2"/>
      </w:pPr>
      <w:r w:rsidRPr="00FC31FA">
        <w:t>planned experiences</w:t>
      </w:r>
    </w:p>
    <w:p w:rsidR="00000000" w:rsidRPr="00FC31FA" w:rsidP="00FC31FA">
      <w:pPr>
        <w:pStyle w:val="ListBullet2"/>
      </w:pPr>
      <w:r w:rsidRPr="00FC31FA">
        <w:t>intentional teaching</w:t>
      </w:r>
    </w:p>
    <w:p w:rsidR="00000000" w:rsidRPr="00FC31FA" w:rsidP="00FC31FA">
      <w:pPr>
        <w:pStyle w:val="ListBullet2"/>
      </w:pPr>
      <w:r w:rsidRPr="00FC31FA">
        <w:t>spontaneous play</w:t>
      </w:r>
    </w:p>
    <w:p w:rsidR="00000000" w:rsidRPr="00FC31FA" w:rsidP="00FC31FA">
      <w:pPr>
        <w:pStyle w:val="ListBullet"/>
      </w:pPr>
      <w:r w:rsidRPr="00FC31FA">
        <w:t>critical reflection:</w:t>
      </w:r>
    </w:p>
    <w:p w:rsidR="00000000" w:rsidRPr="00FC31FA" w:rsidP="00FC31FA">
      <w:pPr>
        <w:pStyle w:val="ListBullet2"/>
      </w:pPr>
      <w:r w:rsidRPr="00FC31FA">
        <w:t>what is critical reflection</w:t>
      </w:r>
    </w:p>
    <w:p w:rsidR="00000000" w:rsidRPr="00FC31FA" w:rsidP="00FC31FA">
      <w:pPr>
        <w:pStyle w:val="ListBullet2"/>
      </w:pPr>
      <w:r w:rsidRPr="00FC31FA">
        <w:t>why and how educators use critical reflection</w:t>
      </w:r>
    </w:p>
    <w:p w:rsidR="00000000" w:rsidRPr="00FC31FA" w:rsidP="00FC31FA">
      <w:pPr>
        <w:pStyle w:val="ListBullet2"/>
      </w:pPr>
      <w:r w:rsidRPr="00FC31FA">
        <w:t>w</w:t>
      </w:r>
      <w:r w:rsidRPr="00FC31FA">
        <w:t>hat makes for meaningful critical reflection.</w:t>
      </w:r>
    </w:p>
    <w:p w:rsidR="00000000" w:rsidRPr="00FC31FA" w:rsidP="00FC31FA">
      <w:pPr>
        <w:pStyle w:val="AllowPageBreak"/>
      </w:pPr>
    </w:p>
    <w:p w:rsidR="00000000" w:rsidRPr="00FC31FA" w:rsidP="00FC31FA">
      <w:pPr>
        <w:pStyle w:val="Heading1"/>
      </w:pPr>
      <w:bookmarkStart w:id="13" w:name="O_1182674"/>
      <w:bookmarkEnd w:id="13"/>
      <w:r w:rsidRPr="00FC31FA">
        <w:t>Assessment Conditions</w:t>
      </w:r>
    </w:p>
    <w:p w:rsidR="00000000" w:rsidRPr="00FC31FA" w:rsidP="00774830">
      <w:pPr>
        <w:pStyle w:val="BodyText"/>
      </w:pPr>
      <w:r w:rsidRPr="00FC31FA">
        <w:t>Skills must be demonstrated in a regulated children’s education and care service in Australia:</w:t>
      </w:r>
    </w:p>
    <w:p w:rsidR="00000000" w:rsidRPr="00FC31FA" w:rsidP="00FC31FA">
      <w:pPr>
        <w:pStyle w:val="ListBullet"/>
      </w:pPr>
      <w:r w:rsidRPr="00FC31FA">
        <w:t>the following aspects of performance evidence must be directly observed by the assessor:</w:t>
      </w:r>
    </w:p>
    <w:p w:rsidR="00000000" w:rsidRPr="00FC31FA" w:rsidP="00FC31FA">
      <w:pPr>
        <w:pStyle w:val="ListBullet2"/>
      </w:pPr>
      <w:r w:rsidRPr="00FC31FA">
        <w:t xml:space="preserve">provision of one experience </w:t>
      </w:r>
    </w:p>
    <w:p w:rsidR="00000000" w:rsidRPr="00FC31FA" w:rsidP="00FC31FA">
      <w:pPr>
        <w:pStyle w:val="ListBullet"/>
      </w:pPr>
      <w:r w:rsidRPr="00FC31FA">
        <w:t>remaining performance evidence may be collected through authenticated third-party reports</w:t>
      </w:r>
    </w:p>
    <w:p w:rsidR="00000000" w:rsidRPr="00FC31FA" w:rsidP="00FC31FA">
      <w:pPr>
        <w:pStyle w:val="ListBullet"/>
      </w:pPr>
      <w:r w:rsidRPr="00FC31FA">
        <w:t>observation and third-party reports must be su</w:t>
      </w:r>
      <w:r w:rsidRPr="00FC31FA">
        <w:t>pplemented by other forms of evidence</w:t>
      </w:r>
    </w:p>
    <w:p w:rsidR="00000000" w:rsidRPr="00FC31FA" w:rsidP="00FC31FA">
      <w:pPr>
        <w:pStyle w:val="ListBullet"/>
      </w:pPr>
      <w:r w:rsidRPr="00FC31FA">
        <w:t>interactions with children must be supervised by an approved early childhood educator.</w:t>
      </w:r>
    </w:p>
    <w:p w:rsidR="00000000" w:rsidRPr="00FC31FA" w:rsidP="00774830">
      <w:pPr>
        <w:pStyle w:val="BodyText"/>
      </w:pPr>
      <w:r w:rsidRPr="00FC31FA">
        <w:t>Skills related to research, planning and evaluation may be demonstrated outside of the service, but must be based on work in a regu</w:t>
      </w:r>
      <w:r w:rsidRPr="00FC31FA">
        <w:t>lated children’s education and care service in Australia.</w:t>
      </w:r>
    </w:p>
    <w:p w:rsidR="00000000" w:rsidRPr="00FC31FA" w:rsidP="00774830">
      <w:pPr>
        <w:pStyle w:val="BodyText"/>
      </w:pPr>
      <w:r w:rsidRPr="00FC31FA">
        <w:t>Assessment must ensure access to:</w:t>
      </w:r>
    </w:p>
    <w:p w:rsidR="00000000" w:rsidRPr="00FC31FA" w:rsidP="00FC31FA">
      <w:pPr>
        <w:pStyle w:val="ListBullet"/>
      </w:pPr>
      <w:r w:rsidRPr="00FC31FA">
        <w:t xml:space="preserve">resources to support specific play and learning opportunities </w:t>
      </w:r>
    </w:p>
    <w:p w:rsidR="00000000" w:rsidRPr="00FC31FA" w:rsidP="00FC31FA">
      <w:pPr>
        <w:pStyle w:val="ListBullet"/>
      </w:pPr>
      <w:r w:rsidRPr="00FC31FA">
        <w:t>information technology for research</w:t>
      </w:r>
    </w:p>
    <w:p w:rsidR="00000000" w:rsidRPr="00FC31FA" w:rsidP="00FC31FA">
      <w:pPr>
        <w:pStyle w:val="ListBullet"/>
      </w:pPr>
      <w:r w:rsidRPr="00FC31FA">
        <w:t>National Quality Framework:</w:t>
      </w:r>
    </w:p>
    <w:p w:rsidR="00000000" w:rsidRPr="00FC31FA" w:rsidP="00FC31FA">
      <w:pPr>
        <w:pStyle w:val="ListBullet2"/>
      </w:pPr>
      <w:r w:rsidRPr="00FC31FA">
        <w:t>National Quality Standard</w:t>
      </w:r>
    </w:p>
    <w:p w:rsidR="00000000" w:rsidRPr="00FC31FA" w:rsidP="00FC31FA">
      <w:pPr>
        <w:pStyle w:val="ListBullet2"/>
      </w:pPr>
      <w:r w:rsidRPr="00FC31FA">
        <w:t xml:space="preserve">the relevant approved learning framework </w:t>
      </w:r>
    </w:p>
    <w:p w:rsidR="00000000" w:rsidRPr="00FC31FA" w:rsidP="00FC31FA">
      <w:pPr>
        <w:pStyle w:val="ListBullet"/>
      </w:pPr>
      <w:r w:rsidRPr="00FC31FA">
        <w:t>service standards, policies and procedures for:</w:t>
      </w:r>
    </w:p>
    <w:p w:rsidR="00000000" w:rsidRPr="00FC31FA" w:rsidP="00FC31FA">
      <w:pPr>
        <w:pStyle w:val="ListBullet2"/>
      </w:pPr>
      <w:r w:rsidRPr="00FC31FA">
        <w:t>children’s health and safety</w:t>
      </w:r>
    </w:p>
    <w:p w:rsidR="00000000" w:rsidRPr="00FC31FA" w:rsidP="00FC31FA">
      <w:pPr>
        <w:pStyle w:val="ListBullet2"/>
      </w:pPr>
      <w:r w:rsidRPr="00FC31FA">
        <w:t>educational program and practice</w:t>
      </w:r>
    </w:p>
    <w:p w:rsidR="00000000" w:rsidRPr="00FC31FA" w:rsidP="00FC31FA">
      <w:pPr>
        <w:pStyle w:val="ListBullet2"/>
      </w:pPr>
      <w:r w:rsidRPr="00FC31FA">
        <w:t>physical environment</w:t>
      </w:r>
    </w:p>
    <w:p w:rsidR="00000000" w:rsidRPr="00FC31FA" w:rsidP="00FC31FA">
      <w:pPr>
        <w:pStyle w:val="ListBullet2"/>
      </w:pPr>
      <w:r w:rsidRPr="00FC31FA">
        <w:t>relationships with children</w:t>
      </w:r>
    </w:p>
    <w:p w:rsidR="00000000" w:rsidRPr="00FC31FA" w:rsidP="00FC31FA">
      <w:pPr>
        <w:pStyle w:val="ListBullet"/>
      </w:pPr>
      <w:r w:rsidRPr="00FC31FA">
        <w:t>educators for collaboration</w:t>
      </w:r>
    </w:p>
    <w:p w:rsidR="00000000" w:rsidRPr="00FC31FA" w:rsidP="00FC31FA">
      <w:pPr>
        <w:pStyle w:val="ListBullet"/>
      </w:pPr>
      <w:r w:rsidRPr="00FC31FA">
        <w:t>children up to six years</w:t>
      </w:r>
      <w:r w:rsidRPr="00FC31FA">
        <w:t xml:space="preserve"> of age in a regulated education and care service in Australia.</w:t>
      </w:r>
    </w:p>
    <w:p w:rsidR="00000000" w:rsidRPr="00FC31FA" w:rsidP="00774830">
      <w:pPr>
        <w:pStyle w:val="BodyText"/>
      </w:pPr>
      <w:r w:rsidRPr="00FC31FA">
        <w:t>Assessors must satisfy the Standards for Registered Training Organisations’ requirements for assessors.</w:t>
      </w:r>
    </w:p>
    <w:p w:rsidR="00000000" w:rsidRPr="00FC31FA" w:rsidP="00FC31FA">
      <w:pPr>
        <w:pStyle w:val="Heading1"/>
      </w:pPr>
      <w:bookmarkStart w:id="14" w:name="O_1182677"/>
      <w:bookmarkEnd w:id="14"/>
      <w:r w:rsidRPr="00FC31FA">
        <w:t>Links</w:t>
      </w:r>
    </w:p>
    <w:p w:rsidR="00000000" w:rsidRPr="00FC31FA" w:rsidP="00774830">
      <w:pPr>
        <w:pStyle w:val="BodyText"/>
      </w:pPr>
      <w:r w:rsidRPr="00FC31FA">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FC361F">
        <w:rPr>
          <w:rStyle w:val="Hyperlink"/>
        </w:rPr>
        <w:t>https://vetnet.gov.au/Pages/TrainingDocs.aspx?q=5e0c25cc-3d9d-4b43-80d3-bd22cc4f1e53</w:t>
      </w:r>
      <w:r>
        <w:fldChar w:fldCharType="end"/>
      </w:r>
    </w:p>
    <w:p w:rsidR="00000000" w:rsidRPr="00FC31FA" w:rsidP="00FC31FA"/>
    <w:sectPr w:rsidSect="00FC31F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8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830">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8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830" w:rsidP="00FC31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774830" w:rsidP="00FC31F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774830" w:rsidP="00FC31F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1FA" w:rsidP="00FC31FA">
    <w:pPr>
      <w:pStyle w:val="Footer"/>
      <w:framePr w:wrap="around"/>
    </w:pPr>
    <w:r>
      <w:fldChar w:fldCharType="begin"/>
    </w:r>
    <w:r>
      <w:instrText xml:space="preserve"> DOCPROPERTY  Subject  \* MERGEFORMAT </w:instrText>
    </w:r>
    <w:r>
      <w:fldChar w:fldCharType="separate"/>
    </w:r>
    <w:r w:rsidR="00774830">
      <w:t>Approved</w:t>
    </w:r>
    <w:r w:rsidR="00774830">
      <w:fldChar w:fldCharType="end"/>
    </w:r>
    <w:r>
      <w:tab/>
      <w:t xml:space="preserve">Page </w:t>
    </w:r>
    <w:r>
      <w:fldChar w:fldCharType="begin"/>
    </w:r>
    <w:r>
      <w:instrText xml:space="preserve"> PAGE  \* Arabic  \* MERGEFORMAT </w:instrText>
    </w:r>
    <w:r>
      <w:fldChar w:fldCharType="separate"/>
    </w:r>
    <w:r w:rsidR="00774830">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74830">
      <w:rPr>
        <w:noProof/>
      </w:rPr>
      <w:t>7</w:t>
    </w:r>
    <w:r>
      <w:rPr>
        <w:noProof/>
      </w:rPr>
      <w:fldChar w:fldCharType="end"/>
    </w:r>
  </w:p>
  <w:p w:rsidR="00FC31FA" w:rsidP="00FC31FA">
    <w:pPr>
      <w:pStyle w:val="Footer"/>
      <w:framePr w:wrap="around"/>
    </w:pPr>
    <w:r>
      <w:t xml:space="preserve">© Commonwealth of Australia, </w:t>
    </w:r>
    <w:r>
      <w:fldChar w:fldCharType="begin"/>
    </w:r>
    <w:r>
      <w:instrText xml:space="preserve"> DATE  \@ "yyyy"  \* MERGEFORMAT </w:instrText>
    </w:r>
    <w:r>
      <w:fldChar w:fldCharType="separate"/>
    </w:r>
    <w:r w:rsidR="00774830">
      <w:rPr>
        <w:noProof/>
      </w:rPr>
      <w:t>2025</w:t>
    </w:r>
    <w:r>
      <w:fldChar w:fldCharType="end"/>
    </w:r>
    <w:r>
      <w:tab/>
    </w:r>
    <w:r>
      <w:fldChar w:fldCharType="begin"/>
    </w:r>
    <w:r>
      <w:instrText xml:space="preserve"> DOCPROPERTY  Author  \* MERGEFORMAT </w:instrText>
    </w:r>
    <w:r>
      <w:fldChar w:fldCharType="separate"/>
    </w:r>
    <w:r w:rsidR="00774830">
      <w:t>HumanAbility</w:t>
    </w:r>
    <w:r w:rsidR="00774830">
      <w:fldChar w:fldCharType="end"/>
    </w:r>
  </w:p>
  <w:p w:rsidR="00FC31FA" w:rsidP="00FC31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8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8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31FA" w:rsidRPr="00774830" w:rsidP="007748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8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830" w:rsidRPr="002D2AF8" w:rsidP="00FC31FA">
    <w:pPr>
      <w:pStyle w:val="Header"/>
      <w:framePr w:wrap="around"/>
    </w:pPr>
    <w:r>
      <w:fldChar w:fldCharType="begin"/>
    </w:r>
    <w:r>
      <w:instrText xml:space="preserve"> TITLE   \* MERGEFORMAT </w:instrText>
    </w:r>
    <w:r>
      <w:fldChar w:fldCharType="separate"/>
    </w:r>
    <w:r>
      <w:t>CHCECE042 Foster holistic early childhood learning, development and wellbeing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74830" w:rsidP="00FC31F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1FA" w:rsidRPr="002D2AF8" w:rsidP="00FC31FA">
    <w:pPr>
      <w:pStyle w:val="Header"/>
      <w:framePr w:wrap="around"/>
    </w:pPr>
    <w:r>
      <w:fldChar w:fldCharType="begin"/>
    </w:r>
    <w:r>
      <w:instrText xml:space="preserve"> TITLE   \* MERGEFORMAT </w:instrText>
    </w:r>
    <w:r>
      <w:fldChar w:fldCharType="separate"/>
    </w:r>
    <w:r w:rsidR="00774830">
      <w:t>CHCECE042 Foster holistic early childhood learning, development and wellbeing</w:t>
    </w:r>
    <w:r w:rsidR="00774830">
      <w:fldChar w:fldCharType="end"/>
    </w:r>
    <w:r>
      <w:tab/>
      <w:t xml:space="preserve">Date this document was generated: </w:t>
    </w:r>
    <w:r>
      <w:fldChar w:fldCharType="begin"/>
    </w:r>
    <w:r>
      <w:instrText xml:space="preserve"> CREATEDATE  \@ "d MMMM yyyy"  \* MERGEFORMAT </w:instrText>
    </w:r>
    <w:r>
      <w:fldChar w:fldCharType="separate"/>
    </w:r>
    <w:r w:rsidR="00774830">
      <w:rPr>
        <w:noProof/>
      </w:rPr>
      <w:t>1 March 2025</w:t>
    </w:r>
    <w:r>
      <w:fldChar w:fldCharType="end"/>
    </w:r>
  </w:p>
  <w:p w:rsidR="00FC31FA" w:rsidP="00FC31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DC42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A6D6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B401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31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31FA"/>
    <w:pPr>
      <w:spacing w:before="360" w:after="60"/>
      <w:outlineLvl w:val="0"/>
    </w:pPr>
    <w:rPr>
      <w:sz w:val="32"/>
    </w:rPr>
  </w:style>
  <w:style w:type="paragraph" w:styleId="Heading2">
    <w:name w:val="heading 2"/>
    <w:basedOn w:val="HeadingBase"/>
    <w:next w:val="BodyText"/>
    <w:link w:val="Heading2Char"/>
    <w:qFormat/>
    <w:rsid w:val="00FC31FA"/>
    <w:pPr>
      <w:keepLines/>
      <w:spacing w:before="240" w:after="120"/>
      <w:outlineLvl w:val="1"/>
    </w:pPr>
    <w:rPr>
      <w:sz w:val="28"/>
      <w:szCs w:val="40"/>
    </w:rPr>
  </w:style>
  <w:style w:type="paragraph" w:styleId="Heading3">
    <w:name w:val="heading 3"/>
    <w:basedOn w:val="HeadingBase"/>
    <w:next w:val="BodyText"/>
    <w:link w:val="Heading3Char"/>
    <w:qFormat/>
    <w:rsid w:val="00FC31FA"/>
    <w:pPr>
      <w:spacing w:before="180" w:after="120"/>
      <w:outlineLvl w:val="2"/>
    </w:pPr>
    <w:rPr>
      <w:spacing w:val="-10"/>
      <w:kern w:val="32"/>
    </w:rPr>
  </w:style>
  <w:style w:type="paragraph" w:styleId="Heading4">
    <w:name w:val="heading 4"/>
    <w:basedOn w:val="HeadingBase"/>
    <w:next w:val="BodyText"/>
    <w:link w:val="Heading4Char"/>
    <w:qFormat/>
    <w:rsid w:val="00FC31FA"/>
    <w:pPr>
      <w:spacing w:before="160" w:after="120"/>
      <w:outlineLvl w:val="3"/>
    </w:pPr>
    <w:rPr>
      <w:sz w:val="22"/>
    </w:rPr>
  </w:style>
  <w:style w:type="paragraph" w:styleId="Heading5">
    <w:name w:val="heading 5"/>
    <w:basedOn w:val="HeadingBase"/>
    <w:next w:val="Normal"/>
    <w:link w:val="Heading5Char"/>
    <w:qFormat/>
    <w:rsid w:val="00FC31FA"/>
    <w:pPr>
      <w:spacing w:before="80"/>
      <w:outlineLvl w:val="4"/>
    </w:pPr>
    <w:rPr>
      <w:color w:val="918585"/>
      <w:sz w:val="20"/>
    </w:rPr>
  </w:style>
  <w:style w:type="paragraph" w:styleId="Heading6">
    <w:name w:val="heading 6"/>
    <w:basedOn w:val="HeadingBase"/>
    <w:next w:val="Normal"/>
    <w:link w:val="Heading6Char"/>
    <w:qFormat/>
    <w:rsid w:val="00FC31FA"/>
    <w:pPr>
      <w:spacing w:before="60"/>
      <w:outlineLvl w:val="5"/>
    </w:pPr>
    <w:rPr>
      <w:color w:val="918585"/>
      <w:sz w:val="20"/>
    </w:rPr>
  </w:style>
  <w:style w:type="paragraph" w:styleId="Heading7">
    <w:name w:val="heading 7"/>
    <w:basedOn w:val="Normal"/>
    <w:next w:val="Normal"/>
    <w:link w:val="Heading7Char"/>
    <w:qFormat/>
    <w:rsid w:val="00FC31FA"/>
    <w:pPr>
      <w:ind w:left="720"/>
      <w:outlineLvl w:val="6"/>
    </w:pPr>
    <w:rPr>
      <w:i/>
    </w:rPr>
  </w:style>
  <w:style w:type="paragraph" w:styleId="Heading8">
    <w:name w:val="heading 8"/>
    <w:basedOn w:val="Normal"/>
    <w:next w:val="Normal"/>
    <w:link w:val="Heading8Char"/>
    <w:qFormat/>
    <w:rsid w:val="00FC31FA"/>
    <w:pPr>
      <w:ind w:left="720"/>
      <w:outlineLvl w:val="7"/>
    </w:pPr>
    <w:rPr>
      <w:i/>
    </w:rPr>
  </w:style>
  <w:style w:type="paragraph" w:styleId="Heading9">
    <w:name w:val="heading 9"/>
    <w:basedOn w:val="Normal"/>
    <w:next w:val="Normal"/>
    <w:link w:val="Heading9Char"/>
    <w:qFormat/>
    <w:rsid w:val="00FC31FA"/>
    <w:pPr>
      <w:ind w:left="720"/>
      <w:outlineLvl w:val="8"/>
    </w:pPr>
    <w:rPr>
      <w:i/>
    </w:rPr>
  </w:style>
  <w:style w:type="character" w:default="1" w:styleId="DefaultParagraphFont">
    <w:name w:val="Default Paragraph Font"/>
    <w:uiPriority w:val="1"/>
    <w:unhideWhenUsed/>
    <w:rsid w:val="00FC31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31FA"/>
  </w:style>
  <w:style w:type="character" w:customStyle="1" w:styleId="Heading1Char">
    <w:name w:val="Heading 1 Char"/>
    <w:basedOn w:val="DefaultParagraphFont"/>
    <w:link w:val="Heading1"/>
    <w:rsid w:val="00FC31FA"/>
    <w:rPr>
      <w:rFonts w:ascii="Times New Roman" w:eastAsia="Times New Roman" w:hAnsi="Times New Roman" w:cs="Times New Roman"/>
      <w:b/>
      <w:sz w:val="32"/>
      <w:szCs w:val="20"/>
      <w:lang w:eastAsia="en-US"/>
    </w:rPr>
  </w:style>
  <w:style w:type="paragraph" w:styleId="BodyText">
    <w:name w:val="Body Text"/>
    <w:basedOn w:val="Normal"/>
    <w:link w:val="BodyTextChar"/>
    <w:rsid w:val="00FC31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31FA"/>
    <w:rPr>
      <w:rFonts w:ascii="Times New Roman" w:eastAsia="Times New Roman" w:hAnsi="Times New Roman" w:cs="Times New Roman"/>
      <w:sz w:val="24"/>
      <w:lang w:eastAsia="en-US"/>
    </w:rPr>
  </w:style>
  <w:style w:type="paragraph" w:styleId="List">
    <w:name w:val="List"/>
    <w:basedOn w:val="BodyText"/>
    <w:next w:val="BodyText"/>
    <w:rsid w:val="00FC31FA"/>
    <w:pPr>
      <w:tabs>
        <w:tab w:val="left" w:pos="340"/>
      </w:tabs>
      <w:spacing w:before="60" w:after="60"/>
      <w:ind w:left="340" w:hanging="340"/>
    </w:pPr>
  </w:style>
  <w:style w:type="paragraph" w:styleId="ListBullet">
    <w:name w:val="List Bullet"/>
    <w:basedOn w:val="List"/>
    <w:rsid w:val="00FC31FA"/>
    <w:pPr>
      <w:numPr>
        <w:numId w:val="13"/>
      </w:numPr>
      <w:tabs>
        <w:tab w:val="clear" w:pos="340"/>
      </w:tabs>
      <w:spacing w:before="40" w:after="40"/>
    </w:pPr>
  </w:style>
  <w:style w:type="character" w:customStyle="1" w:styleId="SpecialBold">
    <w:name w:val="Special Bold"/>
    <w:basedOn w:val="DefaultParagraphFont"/>
    <w:rsid w:val="00FC31FA"/>
    <w:rPr>
      <w:b/>
      <w:spacing w:val="0"/>
    </w:rPr>
  </w:style>
  <w:style w:type="paragraph" w:styleId="ListBullet2">
    <w:name w:val="List Bullet 2"/>
    <w:basedOn w:val="List2"/>
    <w:rsid w:val="00FC31FA"/>
    <w:pPr>
      <w:numPr>
        <w:numId w:val="14"/>
      </w:numPr>
      <w:tabs>
        <w:tab w:val="clear" w:pos="680"/>
      </w:tabs>
    </w:pPr>
  </w:style>
  <w:style w:type="character" w:styleId="Emphasis">
    <w:name w:val="Emphasis"/>
    <w:basedOn w:val="DefaultParagraphFont"/>
    <w:qFormat/>
    <w:rsid w:val="00FC31FA"/>
    <w:rPr>
      <w:i/>
    </w:rPr>
  </w:style>
  <w:style w:type="paragraph" w:customStyle="1" w:styleId="SuperHeading">
    <w:name w:val="SuperHeading"/>
    <w:basedOn w:val="Normal"/>
    <w:rsid w:val="00FC31FA"/>
    <w:pPr>
      <w:spacing w:before="240" w:after="120"/>
      <w:outlineLvl w:val="0"/>
    </w:pPr>
    <w:rPr>
      <w:rFonts w:ascii="Times New Roman" w:hAnsi="Times New Roman"/>
      <w:b/>
      <w:sz w:val="32"/>
    </w:rPr>
  </w:style>
  <w:style w:type="paragraph" w:customStyle="1" w:styleId="AllowPageBreak">
    <w:name w:val="AllowPageBreak"/>
    <w:rsid w:val="00FC31F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C31FA"/>
    <w:pPr>
      <w:numPr>
        <w:numId w:val="3"/>
      </w:numPr>
      <w:tabs>
        <w:tab w:val="clear" w:pos="1021"/>
      </w:tabs>
      <w:ind w:left="1037" w:hanging="357"/>
    </w:pPr>
  </w:style>
  <w:style w:type="character" w:customStyle="1" w:styleId="Heading2Char">
    <w:name w:val="Heading 2 Char"/>
    <w:basedOn w:val="DefaultParagraphFont"/>
    <w:link w:val="Heading2"/>
    <w:rsid w:val="00FC31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31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31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31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31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31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31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31FA"/>
    <w:rPr>
      <w:rFonts w:ascii="Courier New" w:eastAsia="Times New Roman" w:hAnsi="Courier New" w:cs="Times New Roman"/>
      <w:i/>
      <w:szCs w:val="20"/>
      <w:lang w:eastAsia="en-US"/>
    </w:rPr>
  </w:style>
  <w:style w:type="paragraph" w:customStyle="1" w:styleId="HeadingBase">
    <w:name w:val="Heading Base"/>
    <w:rsid w:val="00FC31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31FA"/>
    <w:pPr>
      <w:tabs>
        <w:tab w:val="right" w:leader="dot" w:pos="9072"/>
      </w:tabs>
      <w:ind w:left="567"/>
    </w:pPr>
    <w:rPr>
      <w:szCs w:val="22"/>
    </w:rPr>
  </w:style>
  <w:style w:type="paragraph" w:customStyle="1" w:styleId="TOCBase">
    <w:name w:val="TOC Base"/>
    <w:rsid w:val="00FC31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31FA"/>
    <w:pPr>
      <w:tabs>
        <w:tab w:val="right" w:leader="dot" w:pos="9072"/>
      </w:tabs>
      <w:spacing w:before="40" w:after="40"/>
      <w:ind w:left="284"/>
    </w:pPr>
    <w:rPr>
      <w:rFonts w:ascii="Times New Roman" w:hAnsi="Times New Roman"/>
    </w:rPr>
  </w:style>
  <w:style w:type="paragraph" w:styleId="TOC1">
    <w:name w:val="toc 1"/>
    <w:basedOn w:val="TOCBase"/>
    <w:next w:val="Normal"/>
    <w:rsid w:val="00FC31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31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31FA"/>
    <w:rPr>
      <w:rFonts w:ascii="Times New Roman" w:eastAsia="Times New Roman" w:hAnsi="Times New Roman" w:cs="Times New Roman"/>
      <w:sz w:val="16"/>
      <w:lang w:eastAsia="en-US"/>
    </w:rPr>
  </w:style>
  <w:style w:type="paragraph" w:styleId="Title">
    <w:name w:val="Title"/>
    <w:basedOn w:val="HeadingBase"/>
    <w:link w:val="TitleChar"/>
    <w:qFormat/>
    <w:rsid w:val="00FC31FA"/>
    <w:pPr>
      <w:spacing w:before="5040"/>
      <w:jc w:val="center"/>
    </w:pPr>
    <w:rPr>
      <w:sz w:val="48"/>
      <w:szCs w:val="72"/>
      <w:lang w:val="en-US"/>
    </w:rPr>
  </w:style>
  <w:style w:type="character" w:customStyle="1" w:styleId="TitleChar">
    <w:name w:val="Title Char"/>
    <w:basedOn w:val="DefaultParagraphFont"/>
    <w:link w:val="Title"/>
    <w:rsid w:val="00FC31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31FA"/>
    <w:pPr>
      <w:tabs>
        <w:tab w:val="left" w:pos="3600"/>
        <w:tab w:val="left" w:pos="3958"/>
      </w:tabs>
    </w:pPr>
  </w:style>
  <w:style w:type="paragraph" w:customStyle="1" w:styleId="Note">
    <w:name w:val="Note"/>
    <w:basedOn w:val="BodyText"/>
    <w:rsid w:val="00FC31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31FA"/>
    <w:pPr>
      <w:framePr w:wrap="auto" w:hAnchor="text" w:y="6049"/>
    </w:pPr>
    <w:rPr>
      <w:color w:val="000000"/>
      <w:sz w:val="40"/>
    </w:rPr>
  </w:style>
  <w:style w:type="paragraph" w:customStyle="1" w:styleId="TOCTitle">
    <w:name w:val="TOCTitle"/>
    <w:basedOn w:val="Heading1"/>
    <w:rsid w:val="00FC31FA"/>
    <w:pPr>
      <w:spacing w:after="240"/>
      <w:jc w:val="center"/>
      <w:outlineLvl w:val="9"/>
    </w:pPr>
    <w:rPr>
      <w:caps/>
    </w:rPr>
  </w:style>
  <w:style w:type="paragraph" w:customStyle="1" w:styleId="Version">
    <w:name w:val="Version"/>
    <w:rsid w:val="00FC31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31FA"/>
    <w:pPr>
      <w:keepNext w:val="0"/>
      <w:tabs>
        <w:tab w:val="right" w:pos="4176"/>
      </w:tabs>
      <w:ind w:left="198" w:hanging="198"/>
    </w:pPr>
    <w:rPr>
      <w:rFonts w:ascii="Garamond" w:hAnsi="Garamond"/>
    </w:rPr>
  </w:style>
  <w:style w:type="paragraph" w:styleId="IndexHeading">
    <w:name w:val="index heading"/>
    <w:basedOn w:val="Normal"/>
    <w:next w:val="Index1"/>
    <w:semiHidden/>
    <w:rsid w:val="00FC31FA"/>
    <w:pPr>
      <w:spacing w:before="120" w:after="120"/>
    </w:pPr>
    <w:rPr>
      <w:rFonts w:ascii="Arial" w:hAnsi="Arial"/>
      <w:b/>
      <w:color w:val="918585"/>
      <w:sz w:val="24"/>
    </w:rPr>
  </w:style>
  <w:style w:type="paragraph" w:styleId="Header">
    <w:name w:val="header"/>
    <w:basedOn w:val="Normal"/>
    <w:link w:val="HeaderChar"/>
    <w:rsid w:val="00FC31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31FA"/>
    <w:rPr>
      <w:rFonts w:ascii="Times New Roman" w:eastAsia="Times New Roman" w:hAnsi="Times New Roman" w:cs="Times New Roman"/>
      <w:sz w:val="16"/>
      <w:szCs w:val="20"/>
      <w:lang w:val="en-GB" w:eastAsia="en-US"/>
    </w:rPr>
  </w:style>
  <w:style w:type="paragraph" w:customStyle="1" w:styleId="Chapter">
    <w:name w:val="Chapter"/>
    <w:basedOn w:val="Normal"/>
    <w:rsid w:val="00FC31FA"/>
    <w:pPr>
      <w:spacing w:before="240"/>
    </w:pPr>
    <w:rPr>
      <w:rFonts w:ascii="Times New Roman" w:hAnsi="Times New Roman"/>
      <w:smallCaps/>
      <w:spacing w:val="80"/>
      <w:sz w:val="28"/>
    </w:rPr>
  </w:style>
  <w:style w:type="paragraph" w:customStyle="1" w:styleId="InChapter">
    <w:name w:val="InChapter"/>
    <w:basedOn w:val="Heading3"/>
    <w:rsid w:val="00FC31FA"/>
    <w:pPr>
      <w:spacing w:after="240"/>
      <w:outlineLvl w:val="9"/>
    </w:pPr>
    <w:rPr>
      <w:noProof/>
    </w:rPr>
  </w:style>
  <w:style w:type="paragraph" w:styleId="Index2">
    <w:name w:val="index 2"/>
    <w:basedOn w:val="Normal"/>
    <w:next w:val="Normal"/>
    <w:semiHidden/>
    <w:rsid w:val="00FC31FA"/>
    <w:pPr>
      <w:tabs>
        <w:tab w:val="right" w:pos="4176"/>
      </w:tabs>
      <w:ind w:left="568" w:hanging="284"/>
    </w:pPr>
    <w:rPr>
      <w:rFonts w:ascii="Garamond" w:hAnsi="Garamond"/>
    </w:rPr>
  </w:style>
  <w:style w:type="paragraph" w:customStyle="1" w:styleId="Byline">
    <w:name w:val="Byline"/>
    <w:rsid w:val="00FC31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31FA"/>
    <w:pPr>
      <w:tabs>
        <w:tab w:val="clear" w:pos="3600"/>
        <w:tab w:val="clear" w:pos="3958"/>
      </w:tabs>
      <w:jc w:val="right"/>
    </w:pPr>
  </w:style>
  <w:style w:type="paragraph" w:styleId="Caption">
    <w:name w:val="caption"/>
    <w:basedOn w:val="BodyText"/>
    <w:next w:val="Normal"/>
    <w:qFormat/>
    <w:rsid w:val="00FC31FA"/>
    <w:pPr>
      <w:framePr w:w="2268" w:hSpace="181" w:vSpace="181" w:wrap="around" w:vAnchor="text" w:hAnchor="page" w:x="1135" w:y="285" w:anchorLock="1"/>
    </w:pPr>
    <w:rPr>
      <w:i/>
    </w:rPr>
  </w:style>
  <w:style w:type="paragraph" w:customStyle="1" w:styleId="MiniTOCTitle">
    <w:name w:val="MiniTOCTitle"/>
    <w:basedOn w:val="Heading4"/>
    <w:rsid w:val="00FC31FA"/>
    <w:pPr>
      <w:spacing w:before="240"/>
      <w:outlineLvl w:val="9"/>
    </w:pPr>
    <w:rPr>
      <w:noProof/>
      <w:sz w:val="24"/>
    </w:rPr>
  </w:style>
  <w:style w:type="paragraph" w:customStyle="1" w:styleId="MiniTOCItem">
    <w:name w:val="MiniTOCItem"/>
    <w:basedOn w:val="ListBullet"/>
    <w:rsid w:val="00FC31FA"/>
    <w:pPr>
      <w:numPr>
        <w:numId w:val="0"/>
      </w:numPr>
      <w:tabs>
        <w:tab w:val="right" w:leader="dot" w:pos="6521"/>
      </w:tabs>
      <w:spacing w:before="0" w:after="0"/>
    </w:pPr>
  </w:style>
  <w:style w:type="paragraph" w:customStyle="1" w:styleId="TOFTitle">
    <w:name w:val="TOFTitle"/>
    <w:basedOn w:val="TOCTitle"/>
    <w:rsid w:val="00FC31FA"/>
  </w:style>
  <w:style w:type="paragraph" w:styleId="TableofFigures">
    <w:name w:val="table of figures"/>
    <w:basedOn w:val="Normal"/>
    <w:next w:val="Normal"/>
    <w:semiHidden/>
    <w:rsid w:val="00FC31FA"/>
    <w:pPr>
      <w:tabs>
        <w:tab w:val="right" w:leader="dot" w:pos="9072"/>
      </w:tabs>
      <w:ind w:left="970" w:hanging="403"/>
    </w:pPr>
    <w:rPr>
      <w:rFonts w:ascii="Times New Roman" w:hAnsi="Times New Roman"/>
      <w:b/>
    </w:rPr>
  </w:style>
  <w:style w:type="paragraph" w:styleId="ListNumber">
    <w:name w:val="List Number"/>
    <w:basedOn w:val="List"/>
    <w:rsid w:val="00FC31FA"/>
    <w:pPr>
      <w:numPr>
        <w:numId w:val="16"/>
      </w:numPr>
      <w:tabs>
        <w:tab w:val="clear" w:pos="340"/>
      </w:tabs>
    </w:pPr>
  </w:style>
  <w:style w:type="character" w:customStyle="1" w:styleId="WingdingSymbols">
    <w:name w:val="Wingding Symbols"/>
    <w:rsid w:val="00FC31FA"/>
    <w:rPr>
      <w:rFonts w:ascii="Wingdings" w:hAnsi="Wingdings"/>
    </w:rPr>
  </w:style>
  <w:style w:type="paragraph" w:customStyle="1" w:styleId="TableHeading">
    <w:name w:val="Table Heading"/>
    <w:basedOn w:val="HeadingBase"/>
    <w:rsid w:val="00FC31FA"/>
    <w:pPr>
      <w:keepLines/>
      <w:pBdr>
        <w:bottom w:val="single" w:sz="6" w:space="1" w:color="918585"/>
      </w:pBdr>
      <w:spacing w:before="240"/>
    </w:pPr>
  </w:style>
  <w:style w:type="character" w:customStyle="1" w:styleId="HotSpot">
    <w:name w:val="HotSpot"/>
    <w:rsid w:val="00FC31FA"/>
    <w:rPr>
      <w:color w:val="0033CC"/>
      <w:u w:val="none"/>
    </w:rPr>
  </w:style>
  <w:style w:type="paragraph" w:customStyle="1" w:styleId="BodyTextRight">
    <w:name w:val="Body Text Right"/>
    <w:basedOn w:val="BodyText"/>
    <w:rsid w:val="00FC31FA"/>
    <w:pPr>
      <w:spacing w:before="0" w:after="0"/>
      <w:jc w:val="right"/>
    </w:pPr>
  </w:style>
  <w:style w:type="paragraph" w:styleId="Index3">
    <w:name w:val="index 3"/>
    <w:basedOn w:val="ListNumber2"/>
    <w:next w:val="Normal"/>
    <w:semiHidden/>
    <w:rsid w:val="00FC31FA"/>
    <w:pPr>
      <w:numPr>
        <w:numId w:val="0"/>
      </w:numPr>
      <w:tabs>
        <w:tab w:val="right" w:leader="dot" w:pos="4176"/>
      </w:tabs>
    </w:pPr>
  </w:style>
  <w:style w:type="paragraph" w:styleId="ListNumber2">
    <w:name w:val="List Number 2"/>
    <w:basedOn w:val="List2"/>
    <w:rsid w:val="00FC31FA"/>
    <w:pPr>
      <w:numPr>
        <w:numId w:val="11"/>
      </w:numPr>
      <w:tabs>
        <w:tab w:val="clear" w:pos="1060"/>
      </w:tabs>
    </w:pPr>
  </w:style>
  <w:style w:type="paragraph" w:customStyle="1" w:styleId="MarginNote">
    <w:name w:val="Margin Note"/>
    <w:basedOn w:val="BodyText"/>
    <w:rsid w:val="00FC31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31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31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31FA"/>
    <w:rPr>
      <w:sz w:val="32"/>
    </w:rPr>
  </w:style>
  <w:style w:type="paragraph" w:customStyle="1" w:styleId="HeadingProcedure">
    <w:name w:val="Heading Procedure"/>
    <w:basedOn w:val="HeadingBase"/>
    <w:next w:val="Normal"/>
    <w:rsid w:val="00FC31FA"/>
    <w:pPr>
      <w:tabs>
        <w:tab w:val="left" w:pos="0"/>
      </w:tabs>
      <w:spacing w:before="120" w:after="60"/>
    </w:pPr>
    <w:rPr>
      <w:i/>
      <w:color w:val="918585"/>
      <w:sz w:val="22"/>
    </w:rPr>
  </w:style>
  <w:style w:type="paragraph" w:customStyle="1" w:styleId="TableBodyText">
    <w:name w:val="Table Body Text"/>
    <w:basedOn w:val="BodyText"/>
    <w:rsid w:val="00FC31FA"/>
    <w:pPr>
      <w:spacing w:before="60" w:after="60"/>
    </w:pPr>
  </w:style>
  <w:style w:type="paragraph" w:styleId="ListContinue">
    <w:name w:val="List Continue"/>
    <w:basedOn w:val="List"/>
    <w:rsid w:val="00FC31FA"/>
    <w:pPr>
      <w:ind w:firstLine="0"/>
    </w:pPr>
  </w:style>
  <w:style w:type="paragraph" w:customStyle="1" w:styleId="ListNote">
    <w:name w:val="List Note"/>
    <w:basedOn w:val="List"/>
    <w:rsid w:val="00FC31FA"/>
    <w:pPr>
      <w:pBdr>
        <w:top w:val="single" w:sz="6" w:space="2" w:color="918585"/>
        <w:bottom w:val="single" w:sz="6" w:space="2" w:color="918585"/>
      </w:pBdr>
      <w:tabs>
        <w:tab w:val="left" w:pos="1021"/>
      </w:tabs>
      <w:ind w:firstLine="0"/>
    </w:pPr>
  </w:style>
  <w:style w:type="paragraph" w:customStyle="1" w:styleId="Warning">
    <w:name w:val="Warning"/>
    <w:basedOn w:val="BodyText"/>
    <w:rsid w:val="00FC31FA"/>
    <w:pPr>
      <w:shd w:val="clear" w:color="auto" w:fill="D9D9D9"/>
      <w:tabs>
        <w:tab w:val="left" w:pos="992"/>
      </w:tabs>
      <w:ind w:left="119" w:right="119"/>
    </w:pPr>
    <w:rPr>
      <w:sz w:val="20"/>
    </w:rPr>
  </w:style>
  <w:style w:type="paragraph" w:customStyle="1" w:styleId="MarginIcons">
    <w:name w:val="Margin Icons"/>
    <w:basedOn w:val="BodyText"/>
    <w:rsid w:val="00FC31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31FA"/>
    <w:rPr>
      <w:rFonts w:ascii="Courier New" w:hAnsi="Courier New"/>
    </w:rPr>
  </w:style>
  <w:style w:type="paragraph" w:customStyle="1" w:styleId="NoteBullet">
    <w:name w:val="Note Bullet"/>
    <w:basedOn w:val="Note"/>
    <w:rsid w:val="00FC31FA"/>
    <w:pPr>
      <w:tabs>
        <w:tab w:val="clear" w:pos="680"/>
      </w:tabs>
      <w:spacing w:before="60" w:after="60"/>
    </w:pPr>
  </w:style>
  <w:style w:type="paragraph" w:customStyle="1" w:styleId="SubHeading2">
    <w:name w:val="SubHeading2"/>
    <w:basedOn w:val="HeadingBase"/>
    <w:rsid w:val="00FC31FA"/>
    <w:pPr>
      <w:spacing w:before="240" w:after="60"/>
    </w:pPr>
    <w:rPr>
      <w:sz w:val="20"/>
    </w:rPr>
  </w:style>
  <w:style w:type="paragraph" w:customStyle="1" w:styleId="SubHeading1">
    <w:name w:val="SubHeading1"/>
    <w:basedOn w:val="HeadingBase"/>
    <w:rsid w:val="00FC31FA"/>
    <w:pPr>
      <w:spacing w:before="240" w:after="60"/>
    </w:pPr>
    <w:rPr>
      <w:color w:val="918585"/>
      <w:sz w:val="22"/>
    </w:rPr>
  </w:style>
  <w:style w:type="paragraph" w:customStyle="1" w:styleId="SideHeading">
    <w:name w:val="Side Heading"/>
    <w:basedOn w:val="HeadingBase"/>
    <w:rsid w:val="00FC31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31FA"/>
    <w:pPr>
      <w:numPr>
        <w:numId w:val="12"/>
      </w:numPr>
    </w:pPr>
  </w:style>
  <w:style w:type="paragraph" w:styleId="PlainText">
    <w:name w:val="Plain Text"/>
    <w:basedOn w:val="Normal"/>
    <w:link w:val="PlainTextChar"/>
    <w:rsid w:val="00FC31FA"/>
    <w:rPr>
      <w:sz w:val="20"/>
    </w:rPr>
  </w:style>
  <w:style w:type="character" w:customStyle="1" w:styleId="PlainTextChar">
    <w:name w:val="Plain Text Char"/>
    <w:basedOn w:val="DefaultParagraphFont"/>
    <w:link w:val="PlainText"/>
    <w:rsid w:val="00FC31FA"/>
    <w:rPr>
      <w:rFonts w:ascii="Courier New" w:eastAsia="Times New Roman" w:hAnsi="Courier New" w:cs="Times New Roman"/>
      <w:sz w:val="20"/>
      <w:szCs w:val="20"/>
      <w:lang w:eastAsia="en-US"/>
    </w:rPr>
  </w:style>
  <w:style w:type="character" w:customStyle="1" w:styleId="MenuOption">
    <w:name w:val="Menu Option"/>
    <w:basedOn w:val="DefaultParagraphFont"/>
    <w:rsid w:val="00FC31FA"/>
    <w:rPr>
      <w:b/>
      <w:smallCaps/>
    </w:rPr>
  </w:style>
  <w:style w:type="paragraph" w:customStyle="1" w:styleId="TableListNumber">
    <w:name w:val="Table List Number"/>
    <w:basedOn w:val="ListNumber"/>
    <w:rsid w:val="00FC31FA"/>
    <w:pPr>
      <w:numPr>
        <w:numId w:val="0"/>
      </w:numPr>
    </w:pPr>
  </w:style>
  <w:style w:type="paragraph" w:styleId="TOC4">
    <w:name w:val="toc 4"/>
    <w:basedOn w:val="TOCBase"/>
    <w:next w:val="Normal"/>
    <w:semiHidden/>
    <w:rsid w:val="00FC31FA"/>
    <w:pPr>
      <w:tabs>
        <w:tab w:val="right" w:leader="dot" w:pos="9071"/>
      </w:tabs>
      <w:ind w:left="1701"/>
    </w:pPr>
  </w:style>
  <w:style w:type="paragraph" w:customStyle="1" w:styleId="ListAlpha">
    <w:name w:val="List Alpha"/>
    <w:basedOn w:val="List"/>
    <w:rsid w:val="00FC31FA"/>
    <w:pPr>
      <w:numPr>
        <w:numId w:val="10"/>
      </w:numPr>
    </w:pPr>
  </w:style>
  <w:style w:type="paragraph" w:customStyle="1" w:styleId="ListAlpha2">
    <w:name w:val="List Alpha 2"/>
    <w:basedOn w:val="List2"/>
    <w:rsid w:val="00FC31FA"/>
    <w:pPr>
      <w:numPr>
        <w:numId w:val="9"/>
      </w:numPr>
    </w:pPr>
  </w:style>
  <w:style w:type="paragraph" w:styleId="List2">
    <w:name w:val="List 2"/>
    <w:basedOn w:val="BodyText"/>
    <w:rsid w:val="00FC31FA"/>
    <w:pPr>
      <w:tabs>
        <w:tab w:val="left" w:pos="680"/>
      </w:tabs>
      <w:spacing w:before="60" w:after="60"/>
      <w:ind w:left="680" w:hanging="340"/>
    </w:pPr>
  </w:style>
  <w:style w:type="paragraph" w:styleId="List3">
    <w:name w:val="List 3"/>
    <w:basedOn w:val="BodyText"/>
    <w:rsid w:val="00FC31FA"/>
    <w:pPr>
      <w:tabs>
        <w:tab w:val="left" w:pos="1021"/>
      </w:tabs>
      <w:spacing w:before="60" w:after="60"/>
      <w:ind w:left="1020" w:hanging="340"/>
    </w:pPr>
  </w:style>
  <w:style w:type="paragraph" w:styleId="List4">
    <w:name w:val="List 4"/>
    <w:basedOn w:val="BodyText"/>
    <w:rsid w:val="00FC31FA"/>
    <w:pPr>
      <w:tabs>
        <w:tab w:val="left" w:pos="1361"/>
      </w:tabs>
      <w:spacing w:before="60" w:after="60"/>
      <w:ind w:left="1361" w:hanging="340"/>
    </w:pPr>
  </w:style>
  <w:style w:type="paragraph" w:styleId="List5">
    <w:name w:val="List 5"/>
    <w:basedOn w:val="BodyText"/>
    <w:rsid w:val="00FC31FA"/>
    <w:pPr>
      <w:tabs>
        <w:tab w:val="left" w:pos="1701"/>
      </w:tabs>
      <w:spacing w:before="60" w:after="60"/>
      <w:ind w:left="1701" w:hanging="340"/>
    </w:pPr>
  </w:style>
  <w:style w:type="paragraph" w:styleId="ListBullet4">
    <w:name w:val="List Bullet 4"/>
    <w:basedOn w:val="List4"/>
    <w:rsid w:val="00FC31FA"/>
    <w:pPr>
      <w:numPr>
        <w:numId w:val="4"/>
      </w:numPr>
      <w:tabs>
        <w:tab w:val="clear" w:pos="1361"/>
      </w:tabs>
    </w:pPr>
  </w:style>
  <w:style w:type="paragraph" w:styleId="ListBullet5">
    <w:name w:val="List Bullet 5"/>
    <w:basedOn w:val="List5"/>
    <w:rsid w:val="00FC31FA"/>
    <w:pPr>
      <w:numPr>
        <w:numId w:val="5"/>
      </w:numPr>
    </w:pPr>
  </w:style>
  <w:style w:type="paragraph" w:styleId="ListContinue2">
    <w:name w:val="List Continue 2"/>
    <w:basedOn w:val="List2"/>
    <w:rsid w:val="00FC31FA"/>
    <w:pPr>
      <w:ind w:firstLine="0"/>
    </w:pPr>
  </w:style>
  <w:style w:type="paragraph" w:styleId="ListContinue3">
    <w:name w:val="List Continue 3"/>
    <w:basedOn w:val="List3"/>
    <w:rsid w:val="00FC31FA"/>
    <w:pPr>
      <w:ind w:left="1021" w:firstLine="0"/>
    </w:pPr>
  </w:style>
  <w:style w:type="paragraph" w:styleId="ListContinue4">
    <w:name w:val="List Continue 4"/>
    <w:basedOn w:val="List4"/>
    <w:rsid w:val="00FC31FA"/>
    <w:pPr>
      <w:ind w:firstLine="0"/>
    </w:pPr>
  </w:style>
  <w:style w:type="paragraph" w:styleId="ListContinue5">
    <w:name w:val="List Continue 5"/>
    <w:basedOn w:val="List5"/>
    <w:rsid w:val="00FC31FA"/>
    <w:pPr>
      <w:ind w:firstLine="0"/>
    </w:pPr>
  </w:style>
  <w:style w:type="paragraph" w:styleId="ListNumber3">
    <w:name w:val="List Number 3"/>
    <w:basedOn w:val="List3"/>
    <w:rsid w:val="00FC31FA"/>
    <w:pPr>
      <w:numPr>
        <w:numId w:val="6"/>
      </w:numPr>
    </w:pPr>
  </w:style>
  <w:style w:type="paragraph" w:styleId="ListNumber4">
    <w:name w:val="List Number 4"/>
    <w:basedOn w:val="List4"/>
    <w:rsid w:val="00FC31FA"/>
    <w:pPr>
      <w:numPr>
        <w:numId w:val="7"/>
      </w:numPr>
    </w:pPr>
  </w:style>
  <w:style w:type="paragraph" w:styleId="ListNumber5">
    <w:name w:val="List Number 5"/>
    <w:basedOn w:val="List5"/>
    <w:rsid w:val="00FC31FA"/>
    <w:pPr>
      <w:numPr>
        <w:numId w:val="8"/>
      </w:numPr>
    </w:pPr>
  </w:style>
  <w:style w:type="paragraph" w:styleId="BlockText">
    <w:name w:val="Block Text"/>
    <w:basedOn w:val="Normal"/>
    <w:rsid w:val="00FC31FA"/>
    <w:pPr>
      <w:spacing w:after="120"/>
      <w:ind w:left="1440" w:right="1440"/>
    </w:pPr>
  </w:style>
  <w:style w:type="character" w:customStyle="1" w:styleId="Subscript">
    <w:name w:val="Subscript"/>
    <w:basedOn w:val="DefaultParagraphFont"/>
    <w:rsid w:val="00FC31FA"/>
    <w:rPr>
      <w:sz w:val="16"/>
      <w:vertAlign w:val="subscript"/>
    </w:rPr>
  </w:style>
  <w:style w:type="character" w:customStyle="1" w:styleId="Superscript">
    <w:name w:val="Superscript"/>
    <w:basedOn w:val="DefaultParagraphFont"/>
    <w:rsid w:val="00FC31FA"/>
    <w:rPr>
      <w:sz w:val="16"/>
      <w:vertAlign w:val="superscript"/>
    </w:rPr>
  </w:style>
  <w:style w:type="character" w:customStyle="1" w:styleId="Symbols">
    <w:name w:val="Symbols"/>
    <w:basedOn w:val="DefaultParagraphFont"/>
    <w:rsid w:val="00FC31FA"/>
    <w:rPr>
      <w:rFonts w:ascii="Symbol" w:hAnsi="Symbol"/>
    </w:rPr>
  </w:style>
  <w:style w:type="character" w:customStyle="1" w:styleId="MenuOptions">
    <w:name w:val="Menu Options"/>
    <w:basedOn w:val="DefaultParagraphFont"/>
    <w:rsid w:val="00FC31FA"/>
    <w:rPr>
      <w:rFonts w:ascii="Arial Narrow" w:hAnsi="Arial Narrow"/>
      <w:smallCaps/>
    </w:rPr>
  </w:style>
  <w:style w:type="character" w:customStyle="1" w:styleId="Buttons">
    <w:name w:val="Buttons"/>
    <w:basedOn w:val="DefaultParagraphFont"/>
    <w:rsid w:val="00FC31FA"/>
    <w:rPr>
      <w:b/>
    </w:rPr>
  </w:style>
  <w:style w:type="character" w:customStyle="1" w:styleId="Underlined">
    <w:name w:val="Underlined"/>
    <w:basedOn w:val="DefaultParagraphFont"/>
    <w:rsid w:val="00FC31FA"/>
    <w:rPr>
      <w:u w:val="single"/>
    </w:rPr>
  </w:style>
  <w:style w:type="paragraph" w:customStyle="1" w:styleId="TableBodyTextRight">
    <w:name w:val="Table Body Text Right"/>
    <w:basedOn w:val="TableBodyText"/>
    <w:rsid w:val="00FC31FA"/>
    <w:pPr>
      <w:widowControl w:val="0"/>
      <w:autoSpaceDE w:val="0"/>
      <w:autoSpaceDN w:val="0"/>
      <w:adjustRightInd w:val="0"/>
      <w:jc w:val="right"/>
    </w:pPr>
    <w:rPr>
      <w:rFonts w:cs="Arial"/>
      <w:szCs w:val="18"/>
    </w:rPr>
  </w:style>
  <w:style w:type="paragraph" w:customStyle="1" w:styleId="CopyrightText">
    <w:name w:val="Copyright Text"/>
    <w:basedOn w:val="BodyText"/>
    <w:rsid w:val="00FC31FA"/>
    <w:rPr>
      <w:sz w:val="18"/>
    </w:rPr>
  </w:style>
  <w:style w:type="paragraph" w:customStyle="1" w:styleId="BodySmallRight">
    <w:name w:val="Body Small Right"/>
    <w:basedOn w:val="BodyTextRight"/>
    <w:rsid w:val="00FC31FA"/>
    <w:rPr>
      <w:sz w:val="18"/>
      <w:szCs w:val="18"/>
    </w:rPr>
  </w:style>
  <w:style w:type="paragraph" w:customStyle="1" w:styleId="MarginEdition">
    <w:name w:val="Margin Edition"/>
    <w:basedOn w:val="MarginNote"/>
    <w:rsid w:val="00FC31FA"/>
    <w:pPr>
      <w:spacing w:before="0" w:after="0"/>
    </w:pPr>
    <w:rPr>
      <w:rFonts w:ascii="Times New Roman" w:hAnsi="Times New Roman"/>
      <w:color w:val="999999"/>
    </w:rPr>
  </w:style>
  <w:style w:type="paragraph" w:customStyle="1" w:styleId="Spacer">
    <w:name w:val="Spacer"/>
    <w:basedOn w:val="Normal"/>
    <w:rsid w:val="00FC31FA"/>
    <w:rPr>
      <w:sz w:val="2"/>
      <w:szCs w:val="2"/>
    </w:rPr>
  </w:style>
  <w:style w:type="character" w:customStyle="1" w:styleId="Small">
    <w:name w:val="Small"/>
    <w:basedOn w:val="DefaultParagraphFont"/>
    <w:rsid w:val="00FC31FA"/>
    <w:rPr>
      <w:sz w:val="16"/>
    </w:rPr>
  </w:style>
  <w:style w:type="paragraph" w:customStyle="1" w:styleId="WideTable">
    <w:name w:val="Wide Table"/>
    <w:basedOn w:val="Normal"/>
    <w:rsid w:val="00FC31FA"/>
    <w:pPr>
      <w:ind w:left="-1418"/>
    </w:pPr>
    <w:rPr>
      <w:sz w:val="2"/>
      <w:szCs w:val="2"/>
    </w:rPr>
  </w:style>
  <w:style w:type="character" w:styleId="PageNumber">
    <w:name w:val="page number"/>
    <w:basedOn w:val="DefaultParagraphFont"/>
    <w:rsid w:val="00FC31FA"/>
  </w:style>
  <w:style w:type="paragraph" w:styleId="Quote">
    <w:name w:val="Quote"/>
    <w:basedOn w:val="Heading1"/>
    <w:link w:val="QuoteChar"/>
    <w:qFormat/>
    <w:rsid w:val="00FC31FA"/>
    <w:rPr>
      <w:b w:val="0"/>
      <w:sz w:val="72"/>
      <w:szCs w:val="72"/>
      <w:lang w:val="en-NZ"/>
    </w:rPr>
  </w:style>
  <w:style w:type="character" w:customStyle="1" w:styleId="QuoteChar">
    <w:name w:val="Quote Char"/>
    <w:basedOn w:val="DefaultParagraphFont"/>
    <w:link w:val="Quote"/>
    <w:rsid w:val="00FC31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31FA"/>
    <w:pPr>
      <w:pageBreakBefore/>
    </w:pPr>
  </w:style>
  <w:style w:type="paragraph" w:customStyle="1" w:styleId="Border">
    <w:name w:val="Border"/>
    <w:basedOn w:val="Normal"/>
    <w:qFormat/>
    <w:rsid w:val="00FC31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31FA"/>
    <w:rPr>
      <w:b/>
      <w:bCs/>
      <w:i/>
      <w:iCs/>
      <w:color w:val="auto"/>
    </w:rPr>
  </w:style>
  <w:style w:type="paragraph" w:styleId="IntenseQuote">
    <w:name w:val="Intense Quote"/>
    <w:basedOn w:val="Normal"/>
    <w:next w:val="Normal"/>
    <w:link w:val="IntenseQuoteChar"/>
    <w:uiPriority w:val="30"/>
    <w:qFormat/>
    <w:rsid w:val="00FC31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31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31FA"/>
    <w:rPr>
      <w:smallCaps/>
      <w:color w:val="auto"/>
      <w:u w:val="single"/>
    </w:rPr>
  </w:style>
  <w:style w:type="character" w:styleId="IntenseReference">
    <w:name w:val="Intense Reference"/>
    <w:basedOn w:val="DefaultParagraphFont"/>
    <w:uiPriority w:val="32"/>
    <w:qFormat/>
    <w:rsid w:val="00FC31FA"/>
    <w:rPr>
      <w:b/>
      <w:bCs/>
      <w:smallCaps/>
      <w:color w:val="auto"/>
      <w:spacing w:val="5"/>
      <w:u w:val="single"/>
    </w:rPr>
  </w:style>
  <w:style w:type="paragraph" w:customStyle="1" w:styleId="2ColumnHeading">
    <w:name w:val="2Column Heading"/>
    <w:basedOn w:val="BodyText"/>
    <w:qFormat/>
    <w:rsid w:val="00FC31FA"/>
    <w:pPr>
      <w:spacing w:after="60"/>
      <w:ind w:left="-2268"/>
    </w:pPr>
    <w:rPr>
      <w:b/>
    </w:rPr>
  </w:style>
  <w:style w:type="paragraph" w:customStyle="1" w:styleId="Heading1TOC">
    <w:name w:val="Heading1 TOC"/>
    <w:basedOn w:val="Normal"/>
    <w:qFormat/>
    <w:rsid w:val="00FC31FA"/>
    <w:pPr>
      <w:spacing w:before="240" w:after="120"/>
    </w:pPr>
    <w:rPr>
      <w:rFonts w:ascii="Times New Roman" w:hAnsi="Times New Roman"/>
      <w:b/>
      <w:sz w:val="32"/>
    </w:rPr>
  </w:style>
  <w:style w:type="paragraph" w:customStyle="1" w:styleId="Heading2TOC">
    <w:name w:val="Heading2 TOC"/>
    <w:basedOn w:val="Normal"/>
    <w:qFormat/>
    <w:rsid w:val="00FC31FA"/>
    <w:pPr>
      <w:spacing w:before="240" w:after="60"/>
    </w:pPr>
    <w:rPr>
      <w:rFonts w:ascii="Times New Roman" w:hAnsi="Times New Roman"/>
      <w:b/>
      <w:sz w:val="28"/>
    </w:rPr>
  </w:style>
  <w:style w:type="character" w:customStyle="1" w:styleId="Underline">
    <w:name w:val="Underline"/>
    <w:basedOn w:val="DefaultParagraphFont"/>
    <w:qFormat/>
    <w:rsid w:val="00FC31FA"/>
    <w:rPr>
      <w:u w:val="single"/>
    </w:rPr>
  </w:style>
  <w:style w:type="character" w:customStyle="1" w:styleId="BoldandItalics">
    <w:name w:val="Bold and Italics"/>
    <w:qFormat/>
    <w:rsid w:val="00FC31FA"/>
    <w:rPr>
      <w:b/>
      <w:i/>
      <w:u w:val="none"/>
    </w:rPr>
  </w:style>
  <w:style w:type="paragraph" w:styleId="BalloonText">
    <w:name w:val="Balloon Text"/>
    <w:basedOn w:val="Normal"/>
    <w:link w:val="BalloonTextChar"/>
    <w:rsid w:val="00FC31FA"/>
    <w:rPr>
      <w:rFonts w:ascii="Tahoma" w:hAnsi="Tahoma" w:cs="Tahoma"/>
      <w:sz w:val="16"/>
      <w:szCs w:val="16"/>
    </w:rPr>
  </w:style>
  <w:style w:type="character" w:customStyle="1" w:styleId="BalloonTextChar">
    <w:name w:val="Balloon Text Char"/>
    <w:basedOn w:val="DefaultParagraphFont"/>
    <w:link w:val="BalloonText"/>
    <w:rsid w:val="00FC31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31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31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31FA"/>
    <w:rPr>
      <w:b/>
      <w:color w:val="660033"/>
      <w:spacing w:val="0"/>
    </w:rPr>
  </w:style>
  <w:style w:type="paragraph" w:customStyle="1" w:styleId="Nameditemlist">
    <w:name w:val="Named item list"/>
    <w:basedOn w:val="BodyText"/>
    <w:qFormat/>
    <w:rsid w:val="00FC31FA"/>
    <w:pPr>
      <w:tabs>
        <w:tab w:val="left" w:pos="2835"/>
      </w:tabs>
      <w:ind w:left="2835" w:hanging="2835"/>
    </w:pPr>
  </w:style>
  <w:style w:type="paragraph" w:customStyle="1" w:styleId="BodyTextnopadding">
    <w:name w:val="Body Text no padding"/>
    <w:basedOn w:val="BodyText"/>
    <w:qFormat/>
    <w:rsid w:val="00FC31FA"/>
    <w:pPr>
      <w:spacing w:before="0" w:after="0"/>
    </w:pPr>
  </w:style>
  <w:style w:type="paragraph" w:customStyle="1" w:styleId="BodyTextBold">
    <w:name w:val="Body Text Bold"/>
    <w:basedOn w:val="BodyText"/>
    <w:qFormat/>
    <w:rsid w:val="00FC31FA"/>
    <w:rPr>
      <w:b/>
    </w:rPr>
  </w:style>
  <w:style w:type="character" w:styleId="Hyperlink">
    <w:name w:val="Hyperlink"/>
    <w:basedOn w:val="DefaultParagraphFont"/>
    <w:uiPriority w:val="99"/>
    <w:unhideWhenUsed/>
    <w:rsid w:val="007748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1462</Words>
  <Characters>9564</Characters>
  <Application>Microsoft Office Word</Application>
  <DocSecurity>0</DocSecurity>
  <Lines>281</Lines>
  <Paragraphs>186</Paragraphs>
  <ScaleCrop>false</ScaleCrop>
  <Company>Author-it Software Corporation Ltd.</Company>
  <LinksUpToDate>false</LinksUpToDate>
  <CharactersWithSpaces>10840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CHCECE042 Foster holistic early childhood learning, development and wellbeing</dc:title>
  <dc:subject>Approved</dc:subject>
  <dc:creator>HumanAbility</dc:creator>
  <cp:keywords>Release: 1</cp:keywords>
  <dc:description>Review Date: 12 April 2008</dc:description>
  <cp:lastModifiedBy>HSD_TPCMSd.prod</cp:lastModifiedBy>
  <cp:revision>3</cp:revision>
  <dcterms:created xsi:type="dcterms:W3CDTF">2025-03-01T10:34:00Z</dcterms:created>
  <dcterms:modified xsi:type="dcterms:W3CDTF">2025-03-01T10:34:00Z</dcterms:modified>
</cp:coreProperties>
</file>