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CC7" w:rsidP="008C7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CHCECE038 Observe children to inform practice</w:t>
      </w:r>
      <w:r>
        <w:fldChar w:fldCharType="end"/>
      </w:r>
    </w:p>
    <w:p w:rsidR="008C7CC7" w:rsidP="008C7CC7">
      <w:pPr>
        <w:pStyle w:val="Version"/>
        <w:sectPr w:rsidSect="00FB4E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EC3" w:rsidP="00FB4EC3">
      <w:pPr>
        <w:pStyle w:val="SuperHeading"/>
      </w:pPr>
      <w:r w:rsidRPr="00FB4EC3">
        <w:t>Assessment Requirements for CHCECE038 Observe children to inform practice</w:t>
      </w:r>
    </w:p>
    <w:p w:rsidR="00000000" w:rsidRPr="00FB4EC3" w:rsidP="00FB4EC3">
      <w:pPr>
        <w:pStyle w:val="Heading1"/>
      </w:pPr>
      <w:bookmarkStart w:id="1" w:name="O_1182576"/>
      <w:bookmarkEnd w:id="1"/>
      <w:r w:rsidRPr="00FB4EC3">
        <w:t>Modification History</w:t>
      </w:r>
    </w:p>
    <w:p w:rsidR="00000000" w:rsidRPr="00FB4EC3" w:rsidP="008C7CC7">
      <w:pPr>
        <w:pStyle w:val="BodyText"/>
      </w:pPr>
      <w:r w:rsidRPr="00FB4EC3">
        <w:t>Release 1. CHCECE038 Observe children to inform practice supersedes and is equivalent to CHCECE013 Use information about children to inform practice.</w:t>
      </w:r>
    </w:p>
    <w:p w:rsidR="00000000" w:rsidRPr="00FB4EC3" w:rsidP="00FB4EC3">
      <w:pPr>
        <w:pStyle w:val="Heading1"/>
      </w:pPr>
      <w:bookmarkStart w:id="2" w:name="O_1182577"/>
      <w:bookmarkEnd w:id="2"/>
      <w:r w:rsidRPr="00FB4EC3">
        <w:t>Performance Evidence</w:t>
      </w:r>
    </w:p>
    <w:p w:rsidR="00000000" w:rsidRPr="00FB4EC3" w:rsidP="008C7CC7">
      <w:pPr>
        <w:pStyle w:val="BodyText"/>
      </w:pPr>
      <w:r w:rsidRPr="00FB4EC3">
        <w:t>Evidence of the ability to complete tasks outlined in elements and</w:t>
      </w:r>
      <w:r w:rsidRPr="00FB4EC3">
        <w:t xml:space="preserve"> performance criteria of this unit in the context of the job role, and:</w:t>
      </w:r>
    </w:p>
    <w:p w:rsidR="00000000" w:rsidRPr="00FB4EC3" w:rsidP="00FB4EC3">
      <w:pPr>
        <w:pStyle w:val="ListBullet"/>
      </w:pPr>
      <w:r w:rsidRPr="00FB4EC3">
        <w:t>gather, document, reflect on, and use information about three different children between the ages of birth and six years, one of whom must be under 23 months, to inform curriculum pla</w:t>
      </w:r>
      <w:r w:rsidRPr="00FB4EC3">
        <w:t>nning for each of the three children</w:t>
      </w:r>
    </w:p>
    <w:p w:rsidR="00000000" w:rsidRPr="00FB4EC3" w:rsidP="00FB4EC3">
      <w:pPr>
        <w:pStyle w:val="ListBullet"/>
      </w:pPr>
      <w:r w:rsidRPr="00FB4EC3">
        <w:t>when completing the above tasks, for each child:</w:t>
      </w:r>
    </w:p>
    <w:p w:rsidR="00000000" w:rsidRPr="00FB4EC3" w:rsidP="00FB4EC3">
      <w:pPr>
        <w:pStyle w:val="ListBullet2"/>
      </w:pPr>
      <w:r w:rsidRPr="00FB4EC3">
        <w:t xml:space="preserve">gather information using at least three different observation techniques </w:t>
      </w:r>
    </w:p>
    <w:p w:rsidR="00000000" w:rsidRPr="00FB4EC3" w:rsidP="00FB4EC3">
      <w:pPr>
        <w:pStyle w:val="ListBullet2"/>
      </w:pPr>
      <w:r w:rsidRPr="00FB4EC3">
        <w:t xml:space="preserve">use at least two secondary sources </w:t>
      </w:r>
    </w:p>
    <w:p w:rsidR="00000000" w:rsidRPr="00FB4EC3" w:rsidP="00FB4EC3">
      <w:pPr>
        <w:pStyle w:val="ListBullet2"/>
      </w:pPr>
      <w:r w:rsidRPr="00FB4EC3">
        <w:t xml:space="preserve">communicate a perspective about: </w:t>
      </w:r>
    </w:p>
    <w:p w:rsidR="00000000" w:rsidRPr="00FB4EC3" w:rsidP="00FB4EC3">
      <w:pPr>
        <w:pStyle w:val="ListBullet3"/>
      </w:pPr>
      <w:r w:rsidRPr="00FB4EC3">
        <w:t>aspects of child’s devel</w:t>
      </w:r>
      <w:r w:rsidRPr="00FB4EC3">
        <w:t>opment</w:t>
      </w:r>
    </w:p>
    <w:p w:rsidR="00000000" w:rsidRPr="00FB4EC3" w:rsidP="00FB4EC3">
      <w:pPr>
        <w:pStyle w:val="ListBullet3"/>
      </w:pPr>
      <w:r w:rsidRPr="00FB4EC3">
        <w:t>individual interests and learning</w:t>
      </w:r>
    </w:p>
    <w:p w:rsidR="00000000" w:rsidRPr="00FB4EC3" w:rsidP="00FB4EC3">
      <w:pPr>
        <w:pStyle w:val="ListBullet2"/>
      </w:pPr>
      <w:r w:rsidRPr="00FB4EC3">
        <w:t>explain links to approved learning framework.</w:t>
      </w:r>
    </w:p>
    <w:p w:rsidR="00000000" w:rsidRPr="00FB4EC3" w:rsidP="00FB4EC3">
      <w:pPr>
        <w:pStyle w:val="AllowPageBreak"/>
      </w:pPr>
    </w:p>
    <w:p w:rsidR="00000000" w:rsidRPr="00FB4EC3" w:rsidP="00FB4EC3">
      <w:pPr>
        <w:pStyle w:val="Heading1"/>
      </w:pPr>
      <w:bookmarkStart w:id="3" w:name="O_1182578"/>
      <w:bookmarkEnd w:id="3"/>
      <w:r w:rsidRPr="00FB4EC3">
        <w:t>Knowledge Evidence</w:t>
      </w:r>
    </w:p>
    <w:p w:rsidR="00000000" w:rsidRPr="00FB4EC3" w:rsidP="008C7CC7">
      <w:pPr>
        <w:pStyle w:val="BodyText"/>
      </w:pPr>
      <w:r w:rsidRPr="00FB4EC3">
        <w:t>Demonstrated knowledge required to complete the tasks outlined in elements and performance criteria of this unit:</w:t>
      </w:r>
    </w:p>
    <w:p w:rsidR="00000000" w:rsidRPr="00FB4EC3" w:rsidP="00FB4EC3">
      <w:pPr>
        <w:pStyle w:val="ListBullet"/>
      </w:pPr>
      <w:r w:rsidRPr="00FB4EC3">
        <w:t>requirements of the following National Quality Standard and related regulations and laws applicable to this unit, including:</w:t>
      </w:r>
    </w:p>
    <w:p w:rsidR="00000000" w:rsidRPr="00FB4EC3" w:rsidP="00FB4EC3">
      <w:pPr>
        <w:pStyle w:val="ListBullet2"/>
      </w:pPr>
      <w:r w:rsidRPr="00FB4EC3">
        <w:t>collaborative partnerships with families and communities</w:t>
      </w:r>
    </w:p>
    <w:p w:rsidR="00000000" w:rsidRPr="00FB4EC3" w:rsidP="00FB4EC3">
      <w:pPr>
        <w:pStyle w:val="ListBullet2"/>
      </w:pPr>
      <w:r w:rsidRPr="00FB4EC3">
        <w:t>educational program and practice</w:t>
      </w:r>
    </w:p>
    <w:p w:rsidR="00000000" w:rsidRPr="00FB4EC3" w:rsidP="00FB4EC3">
      <w:pPr>
        <w:pStyle w:val="ListBullet2"/>
      </w:pPr>
      <w:r w:rsidRPr="00FB4EC3">
        <w:t>relationships with children</w:t>
      </w:r>
    </w:p>
    <w:p w:rsidR="00000000" w:rsidRPr="00FB4EC3" w:rsidP="00FB4EC3">
      <w:pPr>
        <w:pStyle w:val="ListBullet"/>
      </w:pPr>
      <w:r w:rsidRPr="00FB4EC3">
        <w:t xml:space="preserve">stages of child development and how they are used in curriculum planning </w:t>
      </w:r>
    </w:p>
    <w:p w:rsidR="00000000" w:rsidRPr="00FB4EC3" w:rsidP="00FB4EC3">
      <w:pPr>
        <w:pStyle w:val="ListBullet"/>
      </w:pPr>
      <w:r w:rsidRPr="00FB4EC3">
        <w:t>stages of the curriculum planning cycle:</w:t>
      </w:r>
    </w:p>
    <w:p w:rsidR="00000000" w:rsidRPr="00FB4EC3" w:rsidP="00FB4EC3">
      <w:pPr>
        <w:pStyle w:val="ListBullet2"/>
      </w:pPr>
      <w:r w:rsidRPr="00FB4EC3">
        <w:t>gathering information</w:t>
      </w:r>
    </w:p>
    <w:p w:rsidR="00000000" w:rsidRPr="00FB4EC3" w:rsidP="00FB4EC3">
      <w:pPr>
        <w:pStyle w:val="ListBullet2"/>
      </w:pPr>
      <w:r w:rsidRPr="00FB4EC3">
        <w:t>questioning and analysing information</w:t>
      </w:r>
    </w:p>
    <w:p w:rsidR="00000000" w:rsidRPr="00FB4EC3" w:rsidP="00FB4EC3">
      <w:pPr>
        <w:pStyle w:val="ListBullet2"/>
      </w:pPr>
      <w:r w:rsidRPr="00FB4EC3">
        <w:t>planning</w:t>
      </w:r>
    </w:p>
    <w:p w:rsidR="00000000" w:rsidRPr="00FB4EC3" w:rsidP="00FB4EC3">
      <w:pPr>
        <w:pStyle w:val="ListBullet2"/>
      </w:pPr>
      <w:r w:rsidRPr="00FB4EC3">
        <w:t>implementation</w:t>
      </w:r>
    </w:p>
    <w:p w:rsidR="00000000" w:rsidRPr="00FB4EC3" w:rsidP="00FB4EC3">
      <w:pPr>
        <w:pStyle w:val="ListBullet2"/>
      </w:pPr>
      <w:r w:rsidRPr="00FB4EC3">
        <w:t>review and reflection</w:t>
      </w:r>
    </w:p>
    <w:p w:rsidR="00000000" w:rsidRPr="00FB4EC3" w:rsidP="00FB4EC3">
      <w:pPr>
        <w:pStyle w:val="ListBullet"/>
      </w:pPr>
      <w:r w:rsidRPr="00FB4EC3">
        <w:t>key considerations for collecting</w:t>
      </w:r>
      <w:r w:rsidRPr="00FB4EC3">
        <w:t xml:space="preserve"> information:</w:t>
      </w:r>
    </w:p>
    <w:p w:rsidR="00000000" w:rsidRPr="00FB4EC3" w:rsidP="00FB4EC3">
      <w:pPr>
        <w:pStyle w:val="ListBullet2"/>
      </w:pPr>
      <w:r w:rsidRPr="00FB4EC3">
        <w:t>confidentiality and privacy requirements</w:t>
      </w:r>
    </w:p>
    <w:p w:rsidR="00000000" w:rsidRPr="00FB4EC3" w:rsidP="00FB4EC3">
      <w:pPr>
        <w:pStyle w:val="ListBullet2"/>
      </w:pPr>
      <w:r w:rsidRPr="00FB4EC3">
        <w:t>changes in child or family circumstance</w:t>
      </w:r>
    </w:p>
    <w:p w:rsidR="00000000" w:rsidRPr="00FB4EC3" w:rsidP="00FB4EC3">
      <w:pPr>
        <w:pStyle w:val="ListBullet2"/>
      </w:pPr>
      <w:r w:rsidRPr="00FB4EC3">
        <w:t>what information is important and why</w:t>
      </w:r>
    </w:p>
    <w:p w:rsidR="00000000" w:rsidRPr="00FB4EC3" w:rsidP="00FB4EC3">
      <w:pPr>
        <w:pStyle w:val="ListBullet2"/>
      </w:pPr>
      <w:r w:rsidRPr="00FB4EC3">
        <w:t>different types of information – primary and secondary sources</w:t>
      </w:r>
    </w:p>
    <w:p w:rsidR="00000000" w:rsidRPr="00FB4EC3" w:rsidP="00FB4EC3">
      <w:pPr>
        <w:pStyle w:val="ListBullet2"/>
      </w:pPr>
      <w:r w:rsidRPr="00FB4EC3">
        <w:t>importance of using a strengths-based approach to children’</w:t>
      </w:r>
      <w:r w:rsidRPr="00FB4EC3">
        <w:t>s learning and development</w:t>
      </w:r>
    </w:p>
    <w:p w:rsidR="00000000" w:rsidRPr="00FB4EC3" w:rsidP="00FB4EC3">
      <w:pPr>
        <w:pStyle w:val="ListBullet2"/>
      </w:pPr>
      <w:r w:rsidRPr="00FB4EC3">
        <w:t>communication techniques for:</w:t>
      </w:r>
    </w:p>
    <w:p w:rsidR="00000000" w:rsidRPr="00FB4EC3" w:rsidP="00FB4EC3">
      <w:pPr>
        <w:pStyle w:val="ListBullet3"/>
      </w:pPr>
      <w:r w:rsidRPr="00FB4EC3">
        <w:t xml:space="preserve">collaboration </w:t>
      </w:r>
    </w:p>
    <w:p w:rsidR="00000000" w:rsidRPr="00FB4EC3" w:rsidP="00FB4EC3">
      <w:pPr>
        <w:pStyle w:val="ListBullet3"/>
      </w:pPr>
      <w:r w:rsidRPr="00FB4EC3">
        <w:t>questioning</w:t>
      </w:r>
    </w:p>
    <w:p w:rsidR="00000000" w:rsidRPr="00FB4EC3" w:rsidP="00FB4EC3">
      <w:pPr>
        <w:pStyle w:val="ListBullet"/>
      </w:pPr>
      <w:r w:rsidRPr="00FB4EC3">
        <w:t>ways of gathering information and who may be involved</w:t>
      </w:r>
    </w:p>
    <w:p w:rsidR="00000000" w:rsidRPr="00FB4EC3" w:rsidP="00FB4EC3">
      <w:pPr>
        <w:pStyle w:val="ListBullet2"/>
      </w:pPr>
      <w:r w:rsidRPr="00FB4EC3">
        <w:t>range of observation techniques</w:t>
      </w:r>
    </w:p>
    <w:p w:rsidR="00000000" w:rsidRPr="00FB4EC3" w:rsidP="00FB4EC3">
      <w:pPr>
        <w:pStyle w:val="ListBullet2"/>
      </w:pPr>
      <w:r w:rsidRPr="00FB4EC3">
        <w:t>appropriate application of different techniques</w:t>
      </w:r>
    </w:p>
    <w:p w:rsidR="00000000" w:rsidRPr="00FB4EC3" w:rsidP="00FB4EC3">
      <w:pPr>
        <w:pStyle w:val="ListBullet2"/>
      </w:pPr>
      <w:r w:rsidRPr="00FB4EC3">
        <w:t>stakeholders</w:t>
      </w:r>
    </w:p>
    <w:p w:rsidR="00000000" w:rsidRPr="00FB4EC3" w:rsidP="00FB4EC3">
      <w:pPr>
        <w:pStyle w:val="ListBullet3"/>
      </w:pPr>
      <w:r w:rsidRPr="00FB4EC3">
        <w:t>children</w:t>
      </w:r>
    </w:p>
    <w:p w:rsidR="00000000" w:rsidRPr="00FB4EC3" w:rsidP="00FB4EC3">
      <w:pPr>
        <w:pStyle w:val="ListBullet3"/>
      </w:pPr>
      <w:r w:rsidRPr="00FB4EC3">
        <w:t>family</w:t>
      </w:r>
    </w:p>
    <w:p w:rsidR="00000000" w:rsidRPr="00FB4EC3" w:rsidP="00FB4EC3">
      <w:pPr>
        <w:pStyle w:val="ListBullet3"/>
      </w:pPr>
      <w:r w:rsidRPr="00FB4EC3">
        <w:t>educators</w:t>
      </w:r>
    </w:p>
    <w:p w:rsidR="00000000" w:rsidRPr="00FB4EC3" w:rsidP="00FB4EC3">
      <w:pPr>
        <w:pStyle w:val="ListBullet3"/>
      </w:pPr>
      <w:r w:rsidRPr="00FB4EC3">
        <w:t>carers and significant adults</w:t>
      </w:r>
    </w:p>
    <w:p w:rsidR="00000000" w:rsidRPr="00FB4EC3" w:rsidP="00FB4EC3">
      <w:pPr>
        <w:pStyle w:val="ListBullet3"/>
      </w:pPr>
      <w:r w:rsidRPr="00FB4EC3">
        <w:t>community</w:t>
      </w:r>
    </w:p>
    <w:p w:rsidR="00000000" w:rsidRPr="00FB4EC3" w:rsidP="00FB4EC3">
      <w:pPr>
        <w:pStyle w:val="ListBullet3"/>
      </w:pPr>
      <w:r w:rsidRPr="00FB4EC3">
        <w:t>other relevant professionals</w:t>
      </w:r>
    </w:p>
    <w:p w:rsidR="00000000" w:rsidRPr="00FB4EC3" w:rsidP="00FB4EC3">
      <w:pPr>
        <w:pStyle w:val="ListBullet"/>
      </w:pPr>
      <w:r w:rsidRPr="00FB4EC3">
        <w:t>how to make and document meaningful observations:</w:t>
      </w:r>
    </w:p>
    <w:p w:rsidR="00000000" w:rsidRPr="00FB4EC3" w:rsidP="00FB4EC3">
      <w:pPr>
        <w:pStyle w:val="ListBullet2"/>
      </w:pPr>
      <w:r w:rsidRPr="00FB4EC3">
        <w:t>subjective vs objective language</w:t>
      </w:r>
    </w:p>
    <w:p w:rsidR="00000000" w:rsidRPr="00FB4EC3" w:rsidP="00FB4EC3">
      <w:pPr>
        <w:pStyle w:val="ListBullet2"/>
      </w:pPr>
      <w:r w:rsidRPr="00FB4EC3">
        <w:t>avoidance of labelling</w:t>
      </w:r>
    </w:p>
    <w:p w:rsidR="00000000" w:rsidRPr="00FB4EC3" w:rsidP="00FB4EC3">
      <w:pPr>
        <w:pStyle w:val="ListBullet2"/>
      </w:pPr>
      <w:r w:rsidRPr="00FB4EC3">
        <w:t>past and present tense</w:t>
      </w:r>
    </w:p>
    <w:p w:rsidR="00000000" w:rsidRPr="00FB4EC3" w:rsidP="00FB4EC3">
      <w:pPr>
        <w:pStyle w:val="ListBullet2"/>
      </w:pPr>
      <w:r w:rsidRPr="00FB4EC3">
        <w:t>avoidance of bias</w:t>
      </w:r>
    </w:p>
    <w:p w:rsidR="00000000" w:rsidRPr="00FB4EC3" w:rsidP="00FB4EC3">
      <w:pPr>
        <w:pStyle w:val="ListBullet"/>
      </w:pPr>
      <w:r w:rsidRPr="00FB4EC3">
        <w:t>ways of questioning and reviewing information to gain better understanding of children’s needs and learning opportunities</w:t>
      </w:r>
    </w:p>
    <w:p w:rsidR="00000000" w:rsidRPr="00FB4EC3" w:rsidP="00FB4EC3">
      <w:pPr>
        <w:pStyle w:val="ListBullet"/>
      </w:pPr>
      <w:r w:rsidRPr="00FB4EC3">
        <w:t>how individual educators can contribute to the planning stage based on information collected</w:t>
      </w:r>
    </w:p>
    <w:p w:rsidR="00000000" w:rsidRPr="00FB4EC3" w:rsidP="00FB4EC3">
      <w:pPr>
        <w:pStyle w:val="ListBullet"/>
      </w:pPr>
      <w:r w:rsidRPr="00FB4EC3">
        <w:t>reflective practice:</w:t>
      </w:r>
    </w:p>
    <w:p w:rsidR="00000000" w:rsidRPr="00FB4EC3" w:rsidP="00FB4EC3">
      <w:pPr>
        <w:pStyle w:val="ListBullet2"/>
      </w:pPr>
      <w:r w:rsidRPr="00FB4EC3">
        <w:t>what is reflection</w:t>
      </w:r>
    </w:p>
    <w:p w:rsidR="00000000" w:rsidRPr="00FB4EC3" w:rsidP="00FB4EC3">
      <w:pPr>
        <w:pStyle w:val="ListBullet2"/>
      </w:pPr>
      <w:r w:rsidRPr="00FB4EC3">
        <w:t>why and how educators use reflection</w:t>
      </w:r>
    </w:p>
    <w:p w:rsidR="00000000" w:rsidRPr="00FB4EC3" w:rsidP="00FB4EC3">
      <w:pPr>
        <w:pStyle w:val="ListBullet2"/>
      </w:pPr>
      <w:r w:rsidRPr="00FB4EC3">
        <w:t>what is meaningful reflection</w:t>
      </w:r>
    </w:p>
    <w:p w:rsidR="00000000" w:rsidRPr="00FB4EC3" w:rsidP="00FB4EC3">
      <w:pPr>
        <w:pStyle w:val="ListBullet"/>
      </w:pPr>
      <w:r w:rsidRPr="00FB4EC3">
        <w:t>service standards, policies and procedures for:</w:t>
      </w:r>
    </w:p>
    <w:p w:rsidR="00000000" w:rsidRPr="00FB4EC3" w:rsidP="00FB4EC3">
      <w:pPr>
        <w:pStyle w:val="ListBullet2"/>
      </w:pPr>
      <w:r w:rsidRPr="00FB4EC3">
        <w:t>collaborative partnerships with families and communities</w:t>
      </w:r>
    </w:p>
    <w:p w:rsidR="00000000" w:rsidRPr="00FB4EC3" w:rsidP="00FB4EC3">
      <w:pPr>
        <w:pStyle w:val="ListBullet2"/>
      </w:pPr>
      <w:r w:rsidRPr="00FB4EC3">
        <w:t>educational program and practice</w:t>
      </w:r>
    </w:p>
    <w:p w:rsidR="00000000" w:rsidRPr="00FB4EC3" w:rsidP="00FB4EC3">
      <w:pPr>
        <w:pStyle w:val="ListBullet2"/>
      </w:pPr>
      <w:r w:rsidRPr="00FB4EC3">
        <w:t>relationships with children.</w:t>
      </w:r>
    </w:p>
    <w:p w:rsidR="00000000" w:rsidRPr="00FB4EC3" w:rsidP="00FB4EC3">
      <w:pPr>
        <w:pStyle w:val="AllowPageBreak"/>
      </w:pPr>
    </w:p>
    <w:p w:rsidR="00000000" w:rsidRPr="00FB4EC3" w:rsidP="00FB4EC3">
      <w:pPr>
        <w:pStyle w:val="Heading1"/>
      </w:pPr>
      <w:bookmarkStart w:id="4" w:name="O_1182579"/>
      <w:bookmarkEnd w:id="4"/>
      <w:r w:rsidRPr="00FB4EC3">
        <w:t>Assessment Conditions</w:t>
      </w:r>
    </w:p>
    <w:p w:rsidR="00000000" w:rsidRPr="00FB4EC3" w:rsidP="008C7CC7">
      <w:pPr>
        <w:pStyle w:val="BodyText"/>
      </w:pPr>
      <w:r w:rsidRPr="00FB4EC3">
        <w:t>Skills must be demonstrated in a regulated children’s education and care service in Australia:</w:t>
      </w:r>
    </w:p>
    <w:p w:rsidR="00000000" w:rsidRPr="00FB4EC3" w:rsidP="00FB4EC3">
      <w:pPr>
        <w:pStyle w:val="ListBullet"/>
      </w:pPr>
      <w:r w:rsidRPr="00FB4EC3">
        <w:t>performance evidence may be collected through authenticated third-party reports</w:t>
      </w:r>
    </w:p>
    <w:p w:rsidR="00000000" w:rsidRPr="00FB4EC3" w:rsidP="00FB4EC3">
      <w:pPr>
        <w:pStyle w:val="ListBullet"/>
      </w:pPr>
      <w:r w:rsidRPr="00FB4EC3">
        <w:t>third-party reports must be supplemented by other forms of</w:t>
      </w:r>
      <w:r w:rsidRPr="00FB4EC3">
        <w:t xml:space="preserve"> evidence</w:t>
      </w:r>
    </w:p>
    <w:p w:rsidR="00000000" w:rsidRPr="00FB4EC3" w:rsidP="00FB4EC3">
      <w:pPr>
        <w:pStyle w:val="ListBullet"/>
      </w:pPr>
      <w:r w:rsidRPr="00FB4EC3">
        <w:t>interactions with children must be supervised by an approved early childhood educator.</w:t>
      </w:r>
    </w:p>
    <w:p w:rsidR="00000000" w:rsidRPr="00FB4EC3" w:rsidP="008C7CC7">
      <w:pPr>
        <w:pStyle w:val="BodyText"/>
      </w:pPr>
      <w:r w:rsidRPr="00FB4EC3">
        <w:t>Assessment must ensure access to:</w:t>
      </w:r>
    </w:p>
    <w:p w:rsidR="00000000" w:rsidRPr="00FB4EC3" w:rsidP="00FB4EC3">
      <w:pPr>
        <w:pStyle w:val="ListBullet"/>
      </w:pPr>
      <w:r w:rsidRPr="00FB4EC3">
        <w:t>observation-recording tools</w:t>
      </w:r>
    </w:p>
    <w:p w:rsidR="00000000" w:rsidRPr="00FB4EC3" w:rsidP="00FB4EC3">
      <w:pPr>
        <w:pStyle w:val="ListBullet"/>
      </w:pPr>
      <w:r w:rsidRPr="00FB4EC3">
        <w:t>children’s records (real or simulated)</w:t>
      </w:r>
    </w:p>
    <w:p w:rsidR="00000000" w:rsidRPr="00FB4EC3" w:rsidP="00FB4EC3">
      <w:pPr>
        <w:pStyle w:val="ListBullet"/>
      </w:pPr>
      <w:r w:rsidRPr="00FB4EC3">
        <w:t>information technology for recording information</w:t>
      </w:r>
    </w:p>
    <w:p w:rsidR="00000000" w:rsidRPr="00FB4EC3" w:rsidP="00FB4EC3">
      <w:pPr>
        <w:pStyle w:val="ListBullet"/>
      </w:pPr>
      <w:r w:rsidRPr="00FB4EC3">
        <w:t>National</w:t>
      </w:r>
      <w:r w:rsidRPr="00FB4EC3">
        <w:t xml:space="preserve"> Quality Framework:</w:t>
      </w:r>
    </w:p>
    <w:p w:rsidR="00000000" w:rsidRPr="00FB4EC3" w:rsidP="00FB4EC3">
      <w:pPr>
        <w:pStyle w:val="ListBullet2"/>
      </w:pPr>
      <w:r w:rsidRPr="00FB4EC3">
        <w:t>National Quality Standard</w:t>
      </w:r>
    </w:p>
    <w:p w:rsidR="00000000" w:rsidRPr="00FB4EC3" w:rsidP="00FB4EC3">
      <w:pPr>
        <w:pStyle w:val="ListBullet2"/>
      </w:pPr>
      <w:r w:rsidRPr="00FB4EC3">
        <w:t xml:space="preserve">the relevant approved learning framework </w:t>
      </w:r>
    </w:p>
    <w:p w:rsidR="00000000" w:rsidRPr="00FB4EC3" w:rsidP="00FB4EC3">
      <w:pPr>
        <w:pStyle w:val="ListBullet"/>
      </w:pPr>
      <w:r w:rsidRPr="00FB4EC3">
        <w:t>service standards, policies and procedures for:</w:t>
      </w:r>
    </w:p>
    <w:p w:rsidR="00000000" w:rsidRPr="00FB4EC3" w:rsidP="00FB4EC3">
      <w:pPr>
        <w:pStyle w:val="ListBullet2"/>
      </w:pPr>
      <w:r w:rsidRPr="00FB4EC3">
        <w:t>collaborative partnerships with families and communities</w:t>
      </w:r>
    </w:p>
    <w:p w:rsidR="00000000" w:rsidRPr="00FB4EC3" w:rsidP="00FB4EC3">
      <w:pPr>
        <w:pStyle w:val="ListBullet2"/>
      </w:pPr>
      <w:r w:rsidRPr="00FB4EC3">
        <w:t>educational program and practice</w:t>
      </w:r>
    </w:p>
    <w:p w:rsidR="00000000" w:rsidRPr="00FB4EC3" w:rsidP="00FB4EC3">
      <w:pPr>
        <w:pStyle w:val="ListBullet2"/>
      </w:pPr>
      <w:r w:rsidRPr="00FB4EC3">
        <w:t>relationships with children</w:t>
      </w:r>
    </w:p>
    <w:p w:rsidR="00000000" w:rsidRPr="00FB4EC3" w:rsidP="00FB4EC3">
      <w:pPr>
        <w:pStyle w:val="ListBullet"/>
      </w:pPr>
      <w:r w:rsidRPr="00FB4EC3">
        <w:t>educators for guidance and collaboration</w:t>
      </w:r>
    </w:p>
    <w:p w:rsidR="00000000" w:rsidRPr="00FB4EC3" w:rsidP="00FB4EC3">
      <w:pPr>
        <w:pStyle w:val="ListBullet"/>
      </w:pPr>
      <w:r w:rsidRPr="00FB4EC3">
        <w:t xml:space="preserve">children between the ages of birth and six years in a regulated education and care service in Australia. </w:t>
      </w:r>
    </w:p>
    <w:p w:rsidR="00000000" w:rsidRPr="00FB4EC3" w:rsidP="008C7CC7">
      <w:pPr>
        <w:pStyle w:val="BodyText"/>
      </w:pPr>
      <w:r w:rsidRPr="00FB4EC3">
        <w:t>Assessors must satisfy the Standards for Registered Training Organisations’ requirements for assessors.</w:t>
      </w:r>
    </w:p>
    <w:p w:rsidR="00000000" w:rsidRPr="00FB4EC3" w:rsidP="00FB4EC3">
      <w:pPr>
        <w:pStyle w:val="Heading1"/>
      </w:pPr>
      <w:bookmarkStart w:id="5" w:name="O_1182582"/>
      <w:bookmarkEnd w:id="5"/>
      <w:r w:rsidRPr="00FB4EC3">
        <w:t>Links</w:t>
      </w:r>
    </w:p>
    <w:p w:rsidR="00000000" w:rsidRPr="00FB4EC3" w:rsidP="008C7CC7">
      <w:pPr>
        <w:pStyle w:val="BodyText"/>
      </w:pPr>
      <w:r w:rsidRPr="00FB4E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C393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B4EC3" w:rsidP="00FB4EC3"/>
    <w:sectPr w:rsidSect="00FB4E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C3" w:rsidRPr="008C7CC7" w:rsidP="008C7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CC7" w:rsidP="00FB4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CC7" w:rsidP="00FB4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7CC7" w:rsidP="00FB4E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EC3" w:rsidRPr="008C7CC7" w:rsidP="008C7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CC7" w:rsidRPr="002D2AF8" w:rsidP="00FB4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CHCECE038 Observe children to inform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C7CC7" w:rsidP="00FB4E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A49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6A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C5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E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E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E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E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E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E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E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E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E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E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EC3"/>
  </w:style>
  <w:style w:type="character" w:customStyle="1" w:styleId="Heading1Char">
    <w:name w:val="Heading 1 Char"/>
    <w:basedOn w:val="DefaultParagraphFont"/>
    <w:link w:val="Heading1"/>
    <w:rsid w:val="00FB4E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E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E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EC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4E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E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E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4E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4E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E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E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E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E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E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E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E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E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E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E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E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E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E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E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E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4EC3"/>
    <w:rPr>
      <w:b/>
      <w:spacing w:val="0"/>
    </w:rPr>
  </w:style>
  <w:style w:type="paragraph" w:customStyle="1" w:styleId="SuperTitle">
    <w:name w:val="SuperTitle"/>
    <w:basedOn w:val="Title"/>
    <w:rsid w:val="00FB4E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E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E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E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E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E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E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E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E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E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E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E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EC3"/>
    <w:rPr>
      <w:i/>
    </w:rPr>
  </w:style>
  <w:style w:type="paragraph" w:styleId="Caption">
    <w:name w:val="caption"/>
    <w:basedOn w:val="BodyText"/>
    <w:next w:val="Normal"/>
    <w:qFormat/>
    <w:rsid w:val="00FB4E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E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E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EC3"/>
  </w:style>
  <w:style w:type="paragraph" w:styleId="TableofFigures">
    <w:name w:val="table of figures"/>
    <w:basedOn w:val="Normal"/>
    <w:next w:val="Normal"/>
    <w:semiHidden/>
    <w:rsid w:val="00FB4E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E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4EC3"/>
    <w:rPr>
      <w:rFonts w:ascii="Wingdings" w:hAnsi="Wingdings"/>
    </w:rPr>
  </w:style>
  <w:style w:type="paragraph" w:customStyle="1" w:styleId="TableHeading">
    <w:name w:val="Table Heading"/>
    <w:basedOn w:val="HeadingBase"/>
    <w:rsid w:val="00FB4E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EC3"/>
    <w:rPr>
      <w:color w:val="0033CC"/>
      <w:u w:val="none"/>
    </w:rPr>
  </w:style>
  <w:style w:type="paragraph" w:customStyle="1" w:styleId="BodyTextRight">
    <w:name w:val="Body Text Right"/>
    <w:basedOn w:val="BodyText"/>
    <w:rsid w:val="00FB4E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E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E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E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E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E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EC3"/>
    <w:rPr>
      <w:sz w:val="32"/>
    </w:rPr>
  </w:style>
  <w:style w:type="paragraph" w:customStyle="1" w:styleId="HeadingProcedure">
    <w:name w:val="Heading Procedure"/>
    <w:basedOn w:val="HeadingBase"/>
    <w:next w:val="Normal"/>
    <w:rsid w:val="00FB4E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EC3"/>
    <w:pPr>
      <w:spacing w:before="60" w:after="60"/>
    </w:pPr>
  </w:style>
  <w:style w:type="paragraph" w:styleId="ListContinue">
    <w:name w:val="List Continue"/>
    <w:basedOn w:val="List"/>
    <w:rsid w:val="00FB4EC3"/>
    <w:pPr>
      <w:ind w:firstLine="0"/>
    </w:pPr>
  </w:style>
  <w:style w:type="paragraph" w:customStyle="1" w:styleId="ListNote">
    <w:name w:val="List Note"/>
    <w:basedOn w:val="List"/>
    <w:rsid w:val="00FB4E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E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E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EC3"/>
    <w:rPr>
      <w:rFonts w:ascii="Courier New" w:hAnsi="Courier New"/>
    </w:rPr>
  </w:style>
  <w:style w:type="paragraph" w:customStyle="1" w:styleId="NoteBullet">
    <w:name w:val="Note Bullet"/>
    <w:basedOn w:val="Note"/>
    <w:rsid w:val="00FB4E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E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E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E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E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4E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E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EC3"/>
    <w:rPr>
      <w:b/>
      <w:smallCaps/>
    </w:rPr>
  </w:style>
  <w:style w:type="paragraph" w:customStyle="1" w:styleId="TableListNumber">
    <w:name w:val="Table List Number"/>
    <w:basedOn w:val="ListNumber"/>
    <w:rsid w:val="00FB4E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E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EC3"/>
    <w:pPr>
      <w:numPr>
        <w:numId w:val="10"/>
      </w:numPr>
    </w:pPr>
  </w:style>
  <w:style w:type="paragraph" w:customStyle="1" w:styleId="ListAlpha2">
    <w:name w:val="List Alpha 2"/>
    <w:basedOn w:val="List2"/>
    <w:rsid w:val="00FB4EC3"/>
    <w:pPr>
      <w:numPr>
        <w:numId w:val="9"/>
      </w:numPr>
    </w:pPr>
  </w:style>
  <w:style w:type="paragraph" w:styleId="List2">
    <w:name w:val="List 2"/>
    <w:basedOn w:val="BodyText"/>
    <w:rsid w:val="00FB4E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E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E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E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4E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4EC3"/>
    <w:pPr>
      <w:numPr>
        <w:numId w:val="5"/>
      </w:numPr>
    </w:pPr>
  </w:style>
  <w:style w:type="paragraph" w:styleId="ListContinue2">
    <w:name w:val="List Continue 2"/>
    <w:basedOn w:val="List2"/>
    <w:rsid w:val="00FB4EC3"/>
    <w:pPr>
      <w:ind w:firstLine="0"/>
    </w:pPr>
  </w:style>
  <w:style w:type="paragraph" w:styleId="ListContinue3">
    <w:name w:val="List Continue 3"/>
    <w:basedOn w:val="List3"/>
    <w:rsid w:val="00FB4EC3"/>
    <w:pPr>
      <w:ind w:left="1021" w:firstLine="0"/>
    </w:pPr>
  </w:style>
  <w:style w:type="paragraph" w:styleId="ListContinue4">
    <w:name w:val="List Continue 4"/>
    <w:basedOn w:val="List4"/>
    <w:rsid w:val="00FB4EC3"/>
    <w:pPr>
      <w:ind w:firstLine="0"/>
    </w:pPr>
  </w:style>
  <w:style w:type="paragraph" w:styleId="ListContinue5">
    <w:name w:val="List Continue 5"/>
    <w:basedOn w:val="List5"/>
    <w:rsid w:val="00FB4EC3"/>
    <w:pPr>
      <w:ind w:firstLine="0"/>
    </w:pPr>
  </w:style>
  <w:style w:type="paragraph" w:styleId="ListNumber3">
    <w:name w:val="List Number 3"/>
    <w:basedOn w:val="List3"/>
    <w:rsid w:val="00FB4EC3"/>
    <w:pPr>
      <w:numPr>
        <w:numId w:val="6"/>
      </w:numPr>
    </w:pPr>
  </w:style>
  <w:style w:type="paragraph" w:styleId="ListNumber4">
    <w:name w:val="List Number 4"/>
    <w:basedOn w:val="List4"/>
    <w:rsid w:val="00FB4EC3"/>
    <w:pPr>
      <w:numPr>
        <w:numId w:val="7"/>
      </w:numPr>
    </w:pPr>
  </w:style>
  <w:style w:type="paragraph" w:styleId="ListNumber5">
    <w:name w:val="List Number 5"/>
    <w:basedOn w:val="List5"/>
    <w:rsid w:val="00FB4EC3"/>
    <w:pPr>
      <w:numPr>
        <w:numId w:val="8"/>
      </w:numPr>
    </w:pPr>
  </w:style>
  <w:style w:type="paragraph" w:styleId="BlockText">
    <w:name w:val="Block Text"/>
    <w:basedOn w:val="Normal"/>
    <w:rsid w:val="00FB4E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E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EC3"/>
    <w:rPr>
      <w:sz w:val="16"/>
      <w:vertAlign w:val="superscript"/>
    </w:rPr>
  </w:style>
  <w:style w:type="character" w:customStyle="1" w:styleId="Symbols">
    <w:name w:val="Symbols"/>
    <w:basedOn w:val="DefaultParagraphFont"/>
    <w:rsid w:val="00FB4EC3"/>
    <w:rPr>
      <w:rFonts w:ascii="Symbol" w:hAnsi="Symbol"/>
    </w:rPr>
  </w:style>
  <w:style w:type="character" w:customStyle="1" w:styleId="MenuOptions">
    <w:name w:val="Menu Options"/>
    <w:basedOn w:val="DefaultParagraphFont"/>
    <w:rsid w:val="00FB4E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EC3"/>
    <w:rPr>
      <w:b/>
    </w:rPr>
  </w:style>
  <w:style w:type="character" w:customStyle="1" w:styleId="Underlined">
    <w:name w:val="Underlined"/>
    <w:basedOn w:val="DefaultParagraphFont"/>
    <w:rsid w:val="00FB4EC3"/>
    <w:rPr>
      <w:u w:val="single"/>
    </w:rPr>
  </w:style>
  <w:style w:type="paragraph" w:customStyle="1" w:styleId="TableBodyTextRight">
    <w:name w:val="Table Body Text Right"/>
    <w:basedOn w:val="TableBodyText"/>
    <w:rsid w:val="00FB4E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EC3"/>
    <w:rPr>
      <w:sz w:val="18"/>
    </w:rPr>
  </w:style>
  <w:style w:type="paragraph" w:customStyle="1" w:styleId="BodySmallRight">
    <w:name w:val="Body Small Right"/>
    <w:basedOn w:val="BodyTextRight"/>
    <w:rsid w:val="00FB4EC3"/>
    <w:rPr>
      <w:sz w:val="18"/>
      <w:szCs w:val="18"/>
    </w:rPr>
  </w:style>
  <w:style w:type="paragraph" w:customStyle="1" w:styleId="MarginEdition">
    <w:name w:val="Margin Edition"/>
    <w:basedOn w:val="MarginNote"/>
    <w:rsid w:val="00FB4E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EC3"/>
    <w:rPr>
      <w:sz w:val="2"/>
      <w:szCs w:val="2"/>
    </w:rPr>
  </w:style>
  <w:style w:type="character" w:customStyle="1" w:styleId="Small">
    <w:name w:val="Small"/>
    <w:basedOn w:val="DefaultParagraphFont"/>
    <w:rsid w:val="00FB4EC3"/>
    <w:rPr>
      <w:sz w:val="16"/>
    </w:rPr>
  </w:style>
  <w:style w:type="paragraph" w:customStyle="1" w:styleId="WideTable">
    <w:name w:val="Wide Table"/>
    <w:basedOn w:val="Normal"/>
    <w:rsid w:val="00FB4E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EC3"/>
  </w:style>
  <w:style w:type="paragraph" w:styleId="Quote">
    <w:name w:val="Quote"/>
    <w:basedOn w:val="Heading1"/>
    <w:link w:val="QuoteChar"/>
    <w:qFormat/>
    <w:rsid w:val="00FB4E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E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EC3"/>
    <w:pPr>
      <w:pageBreakBefore/>
    </w:pPr>
  </w:style>
  <w:style w:type="paragraph" w:customStyle="1" w:styleId="Border">
    <w:name w:val="Border"/>
    <w:basedOn w:val="Normal"/>
    <w:qFormat/>
    <w:rsid w:val="00FB4E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E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E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E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E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E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E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E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E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EC3"/>
    <w:rPr>
      <w:u w:val="single"/>
    </w:rPr>
  </w:style>
  <w:style w:type="character" w:customStyle="1" w:styleId="BoldandItalics">
    <w:name w:val="Bold and Italics"/>
    <w:qFormat/>
    <w:rsid w:val="00FB4EC3"/>
    <w:rPr>
      <w:b/>
      <w:i/>
      <w:u w:val="none"/>
    </w:rPr>
  </w:style>
  <w:style w:type="paragraph" w:styleId="BalloonText">
    <w:name w:val="Balloon Text"/>
    <w:basedOn w:val="Normal"/>
    <w:link w:val="BalloonTextChar"/>
    <w:rsid w:val="00FB4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E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E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E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E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E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EC3"/>
    <w:pPr>
      <w:spacing w:before="0" w:after="0"/>
    </w:pPr>
  </w:style>
  <w:style w:type="paragraph" w:customStyle="1" w:styleId="BodyTextBold">
    <w:name w:val="Body Text Bold"/>
    <w:basedOn w:val="BodyText"/>
    <w:qFormat/>
    <w:rsid w:val="00FB4EC3"/>
    <w:rPr>
      <w:b/>
    </w:rPr>
  </w:style>
  <w:style w:type="character" w:styleId="Hyperlink">
    <w:name w:val="Hyperlink"/>
    <w:basedOn w:val="DefaultParagraphFont"/>
    <w:uiPriority w:val="99"/>
    <w:unhideWhenUsed/>
    <w:rsid w:val="008C7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3663</Characters>
  <Application>Microsoft Office Word</Application>
  <DocSecurity>0</DocSecurity>
  <Lines>107</Lines>
  <Paragraphs>97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CHCECE038 Observe children to inform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