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52F5F" w:rsidP="00C52F5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CHCDIS023 Provide specialised support</w:t>
      </w:r>
      <w:r>
        <w:fldChar w:fldCharType="end"/>
      </w:r>
    </w:p>
    <w:p w:rsidR="00C52F5F" w:rsidP="00C52F5F">
      <w:pPr>
        <w:pStyle w:val="Version"/>
        <w:sectPr w:rsidSect="006F191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F1916" w:rsidP="006F1916">
      <w:pPr>
        <w:pStyle w:val="SuperHeading"/>
      </w:pPr>
      <w:r w:rsidRPr="006F1916">
        <w:t>Assessment Requirements for CHCDIS023 Provide specialised support</w:t>
      </w:r>
    </w:p>
    <w:p w:rsidR="00000000" w:rsidRPr="006F1916" w:rsidP="006F1916">
      <w:pPr>
        <w:pStyle w:val="Heading1"/>
      </w:pPr>
      <w:bookmarkStart w:id="1" w:name="O_1224287"/>
      <w:bookmarkEnd w:id="1"/>
      <w:r w:rsidRPr="006F1916">
        <w:t>Modification History</w:t>
      </w:r>
    </w:p>
    <w:p w:rsidR="00000000" w:rsidRPr="006F1916" w:rsidP="00C52F5F">
      <w:pPr>
        <w:pStyle w:val="BodyText"/>
      </w:pPr>
      <w:r w:rsidRPr="006F1916">
        <w:t>Not applicable.</w:t>
      </w:r>
    </w:p>
    <w:p w:rsidR="00000000" w:rsidRPr="006F1916" w:rsidP="006F1916">
      <w:pPr>
        <w:pStyle w:val="Heading1"/>
      </w:pPr>
      <w:bookmarkStart w:id="2" w:name="O_1224288"/>
      <w:bookmarkEnd w:id="2"/>
      <w:r w:rsidRPr="006F1916">
        <w:t>Performance Evidence</w:t>
      </w:r>
    </w:p>
    <w:p w:rsidR="00000000" w:rsidRPr="006F1916" w:rsidP="00C52F5F">
      <w:pPr>
        <w:pStyle w:val="BodyText"/>
      </w:pPr>
      <w:r w:rsidRPr="006F1916">
        <w:t>Evidence of the ability to complete tasks ou</w:t>
      </w:r>
      <w:r w:rsidRPr="006F1916">
        <w:t>tlined in elements and performance criteria of this unit in the context of the job role, and:</w:t>
      </w:r>
    </w:p>
    <w:p w:rsidR="00000000" w:rsidRPr="006F1916" w:rsidP="006F1916">
      <w:pPr>
        <w:pStyle w:val="ListBullet"/>
      </w:pPr>
      <w:r w:rsidRPr="006F1916">
        <w:t>provide specialised support according to individualised plan to meet the person’s needs that involves:</w:t>
      </w:r>
    </w:p>
    <w:p w:rsidR="00000000" w:rsidRPr="006F1916" w:rsidP="006F1916">
      <w:pPr>
        <w:pStyle w:val="ListBullet2"/>
      </w:pPr>
      <w:r w:rsidRPr="006F1916">
        <w:t>assisting with continence care:</w:t>
      </w:r>
    </w:p>
    <w:p w:rsidR="00000000" w:rsidRPr="006F1916" w:rsidP="006F1916">
      <w:pPr>
        <w:pStyle w:val="ListBullet3"/>
      </w:pPr>
      <w:r w:rsidRPr="006F1916">
        <w:t>one urinary incontinence</w:t>
      </w:r>
    </w:p>
    <w:p w:rsidR="00000000" w:rsidRPr="006F1916" w:rsidP="006F1916">
      <w:pPr>
        <w:pStyle w:val="ListBullet3"/>
      </w:pPr>
      <w:r w:rsidRPr="006F1916">
        <w:t xml:space="preserve">one faecal incontinence </w:t>
      </w:r>
    </w:p>
    <w:p w:rsidR="00000000" w:rsidRPr="006F1916" w:rsidP="006F1916">
      <w:pPr>
        <w:pStyle w:val="ListBullet2"/>
      </w:pPr>
      <w:r w:rsidRPr="006F1916">
        <w:t>nutrition assistance:</w:t>
      </w:r>
    </w:p>
    <w:p w:rsidR="00000000" w:rsidRPr="006F1916" w:rsidP="006F1916">
      <w:pPr>
        <w:pStyle w:val="ListBullet3"/>
      </w:pPr>
      <w:r w:rsidRPr="006F1916">
        <w:t>one percutaneous endoscopic gastrostomy (PEG)</w:t>
      </w:r>
    </w:p>
    <w:p w:rsidR="00000000" w:rsidRPr="006F1916" w:rsidP="006F1916">
      <w:pPr>
        <w:pStyle w:val="ListBullet3"/>
      </w:pPr>
      <w:r w:rsidRPr="006F1916">
        <w:t>one percutaneous endoscopic jejunostomy (PEJ)</w:t>
      </w:r>
    </w:p>
    <w:p w:rsidR="00000000" w:rsidRPr="006F1916" w:rsidP="006F1916">
      <w:pPr>
        <w:pStyle w:val="ListBullet3"/>
      </w:pPr>
      <w:r w:rsidRPr="006F1916">
        <w:t>one nasogastric tube (NG)</w:t>
      </w:r>
    </w:p>
    <w:p w:rsidR="00000000" w:rsidRPr="006F1916" w:rsidP="006F1916">
      <w:pPr>
        <w:pStyle w:val="ListBullet"/>
      </w:pPr>
      <w:r w:rsidRPr="006F1916">
        <w:t>provision of nutrition assistance must be demonstrated in the workplace on at least one occasion.</w:t>
      </w:r>
    </w:p>
    <w:p w:rsidR="00000000" w:rsidRPr="006F1916" w:rsidP="006F1916">
      <w:pPr>
        <w:pStyle w:val="AllowPageBreak"/>
      </w:pPr>
    </w:p>
    <w:p w:rsidR="00000000" w:rsidRPr="006F1916" w:rsidP="006F1916">
      <w:pPr>
        <w:pStyle w:val="Heading1"/>
      </w:pPr>
      <w:bookmarkStart w:id="3" w:name="O_1224289"/>
      <w:bookmarkEnd w:id="3"/>
      <w:r w:rsidRPr="006F1916">
        <w:t>Knowledge Evidence</w:t>
      </w:r>
    </w:p>
    <w:p w:rsidR="00000000" w:rsidRPr="006F1916" w:rsidP="00C52F5F">
      <w:pPr>
        <w:pStyle w:val="BodyText"/>
      </w:pPr>
      <w:r w:rsidRPr="006F1916">
        <w:t>Demonstrated knowledge required to complete the tasks outlined in elements and performance criteria of this unit:</w:t>
      </w:r>
    </w:p>
    <w:p w:rsidR="00000000" w:rsidRPr="006F1916" w:rsidP="006F1916">
      <w:pPr>
        <w:pStyle w:val="ListBullet"/>
      </w:pPr>
      <w:r w:rsidRPr="006F1916">
        <w:t>individual needs and preferences relevant to specialised support for nutrition assistance and continence care:</w:t>
      </w:r>
    </w:p>
    <w:p w:rsidR="00000000" w:rsidRPr="006F1916" w:rsidP="006F1916">
      <w:pPr>
        <w:pStyle w:val="ListBullet2"/>
      </w:pPr>
      <w:r w:rsidRPr="006F1916">
        <w:t>dignity of risk</w:t>
      </w:r>
    </w:p>
    <w:p w:rsidR="00000000" w:rsidRPr="006F1916" w:rsidP="006F1916">
      <w:pPr>
        <w:pStyle w:val="ListBullet2"/>
      </w:pPr>
      <w:r w:rsidRPr="006F1916">
        <w:t>informed decision making</w:t>
      </w:r>
    </w:p>
    <w:p w:rsidR="00000000" w:rsidRPr="006F1916" w:rsidP="006F1916">
      <w:pPr>
        <w:pStyle w:val="ListBullet2"/>
      </w:pPr>
      <w:r w:rsidRPr="006F1916">
        <w:t>communication techniques for engaging the person in delivery of specialised supports</w:t>
      </w:r>
    </w:p>
    <w:p w:rsidR="00000000" w:rsidRPr="006F1916" w:rsidP="006F1916">
      <w:pPr>
        <w:pStyle w:val="ListBullet"/>
      </w:pPr>
      <w:r w:rsidRPr="006F1916">
        <w:t>organisational po</w:t>
      </w:r>
      <w:r w:rsidRPr="006F1916">
        <w:t>licies and procedures relevant to specialised support for nutrition assistance and continence care:</w:t>
      </w:r>
    </w:p>
    <w:p w:rsidR="00000000" w:rsidRPr="006F1916" w:rsidP="006F1916">
      <w:pPr>
        <w:pStyle w:val="ListBullet2"/>
      </w:pPr>
      <w:r w:rsidRPr="006F1916">
        <w:t>reporting including enteral nutrition charts, oral care, bowel charts, process notes and incident reports</w:t>
      </w:r>
    </w:p>
    <w:p w:rsidR="00000000" w:rsidRPr="006F1916" w:rsidP="006F1916">
      <w:pPr>
        <w:pStyle w:val="ListBullet2"/>
      </w:pPr>
      <w:r w:rsidRPr="006F1916">
        <w:t>hygiene</w:t>
      </w:r>
    </w:p>
    <w:p w:rsidR="00000000" w:rsidRPr="006F1916" w:rsidP="006F1916">
      <w:pPr>
        <w:pStyle w:val="ListBullet2"/>
      </w:pPr>
      <w:r w:rsidRPr="006F1916">
        <w:t>manual handling</w:t>
      </w:r>
    </w:p>
    <w:p w:rsidR="00000000" w:rsidRPr="006F1916" w:rsidP="006F1916">
      <w:pPr>
        <w:pStyle w:val="ListBullet2"/>
      </w:pPr>
      <w:r w:rsidRPr="006F1916">
        <w:t>personal protective equip</w:t>
      </w:r>
      <w:r w:rsidRPr="006F1916">
        <w:t>ment (PPE)</w:t>
      </w:r>
    </w:p>
    <w:p w:rsidR="00000000" w:rsidRPr="006F1916" w:rsidP="006F1916">
      <w:pPr>
        <w:pStyle w:val="ListBullet2"/>
      </w:pPr>
      <w:r w:rsidRPr="006F1916">
        <w:t>consent</w:t>
      </w:r>
    </w:p>
    <w:p w:rsidR="00000000" w:rsidRPr="006F1916" w:rsidP="006F1916">
      <w:pPr>
        <w:pStyle w:val="ListBullet"/>
      </w:pPr>
      <w:r w:rsidRPr="006F1916">
        <w:t>industry context relevant to relevant to specialised support for enteral nutrition delivery and continence care:</w:t>
      </w:r>
    </w:p>
    <w:p w:rsidR="00000000" w:rsidRPr="006F1916" w:rsidP="006F1916">
      <w:pPr>
        <w:pStyle w:val="ListBullet2"/>
      </w:pPr>
      <w:r w:rsidRPr="006F1916">
        <w:t>job role scope and functions</w:t>
      </w:r>
    </w:p>
    <w:p w:rsidR="00000000" w:rsidRPr="006F1916" w:rsidP="006F1916">
      <w:pPr>
        <w:pStyle w:val="ListBullet2"/>
      </w:pPr>
      <w:r w:rsidRPr="006F1916">
        <w:t>supervision requirements and limitations to job role</w:t>
      </w:r>
    </w:p>
    <w:p w:rsidR="00000000" w:rsidRPr="006F1916" w:rsidP="006F1916">
      <w:pPr>
        <w:pStyle w:val="ListBullet2"/>
      </w:pPr>
      <w:r w:rsidRPr="006F1916">
        <w:t>roles of interdisciplinary team members including nursing staff and other carers</w:t>
      </w:r>
    </w:p>
    <w:p w:rsidR="00000000" w:rsidRPr="006F1916" w:rsidP="006F1916">
      <w:pPr>
        <w:pStyle w:val="ListBullet"/>
      </w:pPr>
      <w:r w:rsidRPr="006F1916">
        <w:t>individualised plan content relevant to specialised support for enteral nutrition delivery and continence care</w:t>
      </w:r>
    </w:p>
    <w:p w:rsidR="00000000" w:rsidRPr="006F1916" w:rsidP="006F1916">
      <w:pPr>
        <w:pStyle w:val="ListBullet"/>
      </w:pPr>
      <w:r w:rsidRPr="006F1916">
        <w:t>enteral nutrition delivery methods:</w:t>
      </w:r>
    </w:p>
    <w:p w:rsidR="00000000" w:rsidRPr="006F1916" w:rsidP="006F1916">
      <w:pPr>
        <w:pStyle w:val="ListBullet2"/>
      </w:pPr>
      <w:r w:rsidRPr="006F1916">
        <w:t>percutaneous endoscopic ga</w:t>
      </w:r>
      <w:r w:rsidRPr="006F1916">
        <w:t>strostomy (PEG)</w:t>
      </w:r>
    </w:p>
    <w:p w:rsidR="00000000" w:rsidRPr="006F1916" w:rsidP="006F1916">
      <w:pPr>
        <w:pStyle w:val="ListBullet2"/>
      </w:pPr>
      <w:r w:rsidRPr="006F1916">
        <w:t>percutaneous endoscopic jejunostomy (PEJ)</w:t>
      </w:r>
    </w:p>
    <w:p w:rsidR="00000000" w:rsidRPr="006F1916" w:rsidP="006F1916">
      <w:pPr>
        <w:pStyle w:val="ListBullet2"/>
      </w:pPr>
      <w:r w:rsidRPr="006F1916">
        <w:t xml:space="preserve">nasogastric tube (NG) </w:t>
      </w:r>
    </w:p>
    <w:p w:rsidR="00000000" w:rsidRPr="006F1916" w:rsidP="006F1916">
      <w:pPr>
        <w:pStyle w:val="ListBullet"/>
      </w:pPr>
      <w:r w:rsidRPr="006F1916">
        <w:t>stoma site care:</w:t>
      </w:r>
    </w:p>
    <w:p w:rsidR="00000000" w:rsidRPr="006F1916" w:rsidP="006F1916">
      <w:pPr>
        <w:pStyle w:val="ListBullet2"/>
      </w:pPr>
      <w:r w:rsidRPr="006F1916">
        <w:t>skin and stoma assessment</w:t>
      </w:r>
    </w:p>
    <w:p w:rsidR="00000000" w:rsidRPr="006F1916" w:rsidP="006F1916">
      <w:pPr>
        <w:pStyle w:val="ListBullet2"/>
      </w:pPr>
      <w:r w:rsidRPr="006F1916">
        <w:t>washing and drying</w:t>
      </w:r>
    </w:p>
    <w:p w:rsidR="00000000" w:rsidRPr="006F1916" w:rsidP="006F1916">
      <w:pPr>
        <w:pStyle w:val="ListBullet2"/>
      </w:pPr>
      <w:r w:rsidRPr="006F1916">
        <w:t>ointments and dressings</w:t>
      </w:r>
    </w:p>
    <w:p w:rsidR="00000000" w:rsidRPr="006F1916" w:rsidP="006F1916">
      <w:pPr>
        <w:pStyle w:val="ListBullet"/>
      </w:pPr>
      <w:r w:rsidRPr="006F1916">
        <w:t>enteral nutrition and continence care risk identification, monitoring, reporting and r</w:t>
      </w:r>
      <w:r w:rsidRPr="006F1916">
        <w:t>esponses:</w:t>
      </w:r>
    </w:p>
    <w:p w:rsidR="00000000" w:rsidRPr="006F1916" w:rsidP="006F1916">
      <w:pPr>
        <w:pStyle w:val="ListBullet2"/>
      </w:pPr>
      <w:r w:rsidRPr="006F1916">
        <w:t>personal hygiene</w:t>
      </w:r>
    </w:p>
    <w:p w:rsidR="00000000" w:rsidRPr="006F1916" w:rsidP="006F1916">
      <w:pPr>
        <w:pStyle w:val="ListBullet2"/>
      </w:pPr>
      <w:r w:rsidRPr="006F1916">
        <w:t>hand hygiene</w:t>
      </w:r>
    </w:p>
    <w:p w:rsidR="00000000" w:rsidRPr="006F1916" w:rsidP="006F1916">
      <w:pPr>
        <w:pStyle w:val="ListBullet2"/>
      </w:pPr>
      <w:r w:rsidRPr="006F1916">
        <w:t>infection control</w:t>
      </w:r>
    </w:p>
    <w:p w:rsidR="00000000" w:rsidRPr="006F1916" w:rsidP="006F1916">
      <w:pPr>
        <w:pStyle w:val="ListBullet2"/>
      </w:pPr>
      <w:r w:rsidRPr="006F1916">
        <w:t>aspiration and position of the person</w:t>
      </w:r>
    </w:p>
    <w:p w:rsidR="00000000" w:rsidRPr="006F1916" w:rsidP="006F1916">
      <w:pPr>
        <w:pStyle w:val="ListBullet2"/>
      </w:pPr>
      <w:r w:rsidRPr="006F1916">
        <w:t>stoma site</w:t>
      </w:r>
    </w:p>
    <w:p w:rsidR="00000000" w:rsidRPr="006F1916" w:rsidP="006F1916">
      <w:pPr>
        <w:pStyle w:val="ListBullet2"/>
      </w:pPr>
      <w:r w:rsidRPr="006F1916">
        <w:t xml:space="preserve">oral health </w:t>
      </w:r>
    </w:p>
    <w:p w:rsidR="00000000" w:rsidRPr="006F1916" w:rsidP="006F1916">
      <w:pPr>
        <w:pStyle w:val="ListBullet2"/>
      </w:pPr>
      <w:r w:rsidRPr="006F1916">
        <w:t>manual handling</w:t>
      </w:r>
    </w:p>
    <w:p w:rsidR="00000000" w:rsidRPr="006F1916" w:rsidP="006F1916">
      <w:pPr>
        <w:pStyle w:val="ListBullet2"/>
      </w:pPr>
      <w:r w:rsidRPr="006F1916">
        <w:t>tube problems including dislodgement, displacement, clogging, knotting, breakage, broken feeding port caps and leaking, signs of fungal/mould growth</w:t>
      </w:r>
    </w:p>
    <w:p w:rsidR="00000000" w:rsidRPr="006F1916" w:rsidP="006F1916">
      <w:pPr>
        <w:pStyle w:val="ListBullet2"/>
      </w:pPr>
      <w:r w:rsidRPr="006F1916">
        <w:t>intolerance during and after enteral nutrition delivery including reflux, nausea, vomiting, bloating, extre</w:t>
      </w:r>
      <w:r w:rsidRPr="006F1916">
        <w:t>me flatulence, abdominal obstruction, irregular bowel movements and liquid stools</w:t>
      </w:r>
    </w:p>
    <w:p w:rsidR="00000000" w:rsidRPr="006F1916" w:rsidP="006F1916">
      <w:pPr>
        <w:pStyle w:val="ListBullet2"/>
      </w:pPr>
      <w:r w:rsidRPr="006F1916">
        <w:t>faulty equipment</w:t>
      </w:r>
    </w:p>
    <w:p w:rsidR="00000000" w:rsidRPr="006F1916" w:rsidP="006F1916">
      <w:pPr>
        <w:pStyle w:val="ListBullet2"/>
      </w:pPr>
      <w:r w:rsidRPr="006F1916">
        <w:t>not following individualised plan</w:t>
      </w:r>
    </w:p>
    <w:p w:rsidR="00000000" w:rsidRPr="006F1916" w:rsidP="006F1916">
      <w:pPr>
        <w:pStyle w:val="ListBullet2"/>
      </w:pPr>
      <w:r w:rsidRPr="006F1916">
        <w:t>not following manufacturer instructions</w:t>
      </w:r>
    </w:p>
    <w:p w:rsidR="00000000" w:rsidRPr="006F1916" w:rsidP="006F1916">
      <w:pPr>
        <w:pStyle w:val="ListBullet2"/>
      </w:pPr>
      <w:r w:rsidRPr="006F1916">
        <w:t>not following organisational policies and procedures</w:t>
      </w:r>
    </w:p>
    <w:p w:rsidR="00000000" w:rsidRPr="006F1916" w:rsidP="006F1916">
      <w:pPr>
        <w:pStyle w:val="ListBullet"/>
      </w:pPr>
      <w:r w:rsidRPr="006F1916">
        <w:t>enteral nutrition delivery pr</w:t>
      </w:r>
      <w:r w:rsidRPr="006F1916">
        <w:t>ocesses, equipment and materials:</w:t>
      </w:r>
    </w:p>
    <w:p w:rsidR="00000000" w:rsidRPr="006F1916" w:rsidP="006F1916">
      <w:pPr>
        <w:pStyle w:val="ListBullet2"/>
      </w:pPr>
      <w:r w:rsidRPr="006F1916">
        <w:t>basic anatomy of the digestive system</w:t>
      </w:r>
    </w:p>
    <w:p w:rsidR="00000000" w:rsidRPr="006F1916" w:rsidP="006F1916">
      <w:pPr>
        <w:pStyle w:val="ListBullet2"/>
      </w:pPr>
      <w:r w:rsidRPr="006F1916">
        <w:t>enteral nutrition delivery process, tasks and sequence</w:t>
      </w:r>
    </w:p>
    <w:p w:rsidR="00000000" w:rsidRPr="006F1916" w:rsidP="006F1916">
      <w:pPr>
        <w:pStyle w:val="ListBullet2"/>
      </w:pPr>
      <w:r w:rsidRPr="006F1916">
        <w:t>types and function of equipment and components including pumps, tubes, bolus set, gravity drip</w:t>
      </w:r>
    </w:p>
    <w:p w:rsidR="00000000" w:rsidRPr="006F1916" w:rsidP="006F1916">
      <w:pPr>
        <w:pStyle w:val="ListBullet2"/>
      </w:pPr>
      <w:r w:rsidRPr="006F1916">
        <w:t>safe set up and operation of equi</w:t>
      </w:r>
      <w:r w:rsidRPr="006F1916">
        <w:t>pment and components including flushing, decompressing, venting, priming, rotating and moving tubes and flow speeds</w:t>
      </w:r>
    </w:p>
    <w:p w:rsidR="00000000" w:rsidRPr="006F1916" w:rsidP="006F1916">
      <w:pPr>
        <w:pStyle w:val="ListBullet2"/>
      </w:pPr>
      <w:r w:rsidRPr="006F1916">
        <w:t>equipment and component checks</w:t>
      </w:r>
    </w:p>
    <w:p w:rsidR="00000000" w:rsidRPr="006F1916" w:rsidP="006F1916">
      <w:pPr>
        <w:pStyle w:val="ListBullet2"/>
      </w:pPr>
      <w:r w:rsidRPr="006F1916">
        <w:t>care of equipment including stoma and tubing</w:t>
      </w:r>
    </w:p>
    <w:p w:rsidR="00000000" w:rsidRPr="006F1916" w:rsidP="006F1916">
      <w:pPr>
        <w:pStyle w:val="ListBullet2"/>
      </w:pPr>
      <w:r w:rsidRPr="006F1916">
        <w:t>cleaning of equipment</w:t>
      </w:r>
    </w:p>
    <w:p w:rsidR="00000000" w:rsidRPr="006F1916" w:rsidP="006F1916">
      <w:pPr>
        <w:pStyle w:val="ListBullet2"/>
      </w:pPr>
      <w:r w:rsidRPr="006F1916">
        <w:t>storage of equipment</w:t>
      </w:r>
    </w:p>
    <w:p w:rsidR="00000000" w:rsidRPr="006F1916" w:rsidP="006F1916">
      <w:pPr>
        <w:pStyle w:val="ListBullet"/>
      </w:pPr>
      <w:r w:rsidRPr="006F1916">
        <w:t>incontinence:</w:t>
      </w:r>
    </w:p>
    <w:p w:rsidR="00000000" w:rsidRPr="006F1916" w:rsidP="006F1916">
      <w:pPr>
        <w:pStyle w:val="ListBullet2"/>
      </w:pPr>
      <w:r w:rsidRPr="006F1916">
        <w:t>urinary</w:t>
      </w:r>
    </w:p>
    <w:p w:rsidR="00000000" w:rsidRPr="006F1916" w:rsidP="006F1916">
      <w:pPr>
        <w:pStyle w:val="ListBullet2"/>
      </w:pPr>
      <w:r w:rsidRPr="006F1916">
        <w:t>faecal</w:t>
      </w:r>
    </w:p>
    <w:p w:rsidR="00000000" w:rsidRPr="006F1916" w:rsidP="006F1916">
      <w:pPr>
        <w:pStyle w:val="ListBullet2"/>
      </w:pPr>
      <w:r w:rsidRPr="006F1916">
        <w:t>both urinary and faecal</w:t>
      </w:r>
    </w:p>
    <w:p w:rsidR="00000000" w:rsidRPr="006F1916" w:rsidP="006F1916">
      <w:pPr>
        <w:pStyle w:val="ListBullet"/>
      </w:pPr>
      <w:r w:rsidRPr="006F1916">
        <w:t>specialised continence care process, equipment and materials.</w:t>
      </w:r>
    </w:p>
    <w:p w:rsidR="00000000" w:rsidRPr="006F1916" w:rsidP="006F1916">
      <w:pPr>
        <w:pStyle w:val="AllowPageBreak"/>
      </w:pPr>
    </w:p>
    <w:p w:rsidR="00000000" w:rsidRPr="006F1916" w:rsidP="006F1916">
      <w:pPr>
        <w:pStyle w:val="Heading1"/>
      </w:pPr>
      <w:bookmarkStart w:id="4" w:name="O_1224290"/>
      <w:bookmarkEnd w:id="4"/>
      <w:r w:rsidRPr="006F1916">
        <w:t>Assessment Conditions</w:t>
      </w:r>
    </w:p>
    <w:p w:rsidR="00000000" w:rsidRPr="006F1916" w:rsidP="00C52F5F">
      <w:pPr>
        <w:pStyle w:val="BodyText"/>
      </w:pPr>
      <w:r w:rsidRPr="006F1916">
        <w:t>Skills must be demonstrated in the workplace or a simulated environment that reflects workplace conditions in the</w:t>
      </w:r>
      <w:r w:rsidRPr="006F1916">
        <w:t xml:space="preserve"> disability support sector, in line with the requirements outlined in the performance evidence.</w:t>
      </w:r>
    </w:p>
    <w:p w:rsidR="00000000" w:rsidRPr="006F1916" w:rsidP="00C52F5F">
      <w:pPr>
        <w:pStyle w:val="BodyText"/>
      </w:pPr>
      <w:r w:rsidRPr="006F1916">
        <w:t>Assessment must ensure access to:</w:t>
      </w:r>
    </w:p>
    <w:p w:rsidR="00000000" w:rsidRPr="006F1916" w:rsidP="006F1916">
      <w:pPr>
        <w:pStyle w:val="ListBullet"/>
      </w:pPr>
      <w:r w:rsidRPr="006F1916">
        <w:t>facilities, equipment and resources that reflect real working conditions and model industry operating conditions and continge</w:t>
      </w:r>
      <w:r w:rsidRPr="006F1916">
        <w:t>ncies</w:t>
      </w:r>
    </w:p>
    <w:p w:rsidR="00000000" w:rsidRPr="006F1916" w:rsidP="006F1916">
      <w:pPr>
        <w:pStyle w:val="ListBullet"/>
      </w:pPr>
      <w:r w:rsidRPr="006F1916">
        <w:t>individualised plans</w:t>
      </w:r>
    </w:p>
    <w:p w:rsidR="00000000" w:rsidRPr="006F1916" w:rsidP="006F1916">
      <w:pPr>
        <w:pStyle w:val="ListBullet"/>
      </w:pPr>
      <w:r w:rsidRPr="006F1916">
        <w:t>equipment and materials relevant to specialised nutrition assistance and continence care and associated manufacturer instructions</w:t>
      </w:r>
    </w:p>
    <w:p w:rsidR="00000000" w:rsidRPr="006F1916" w:rsidP="006F1916">
      <w:pPr>
        <w:pStyle w:val="ListBullet"/>
      </w:pPr>
      <w:r w:rsidRPr="006F1916">
        <w:t>personal protective equipment (PPE)</w:t>
      </w:r>
    </w:p>
    <w:p w:rsidR="00000000" w:rsidRPr="006F1916" w:rsidP="006F1916">
      <w:pPr>
        <w:pStyle w:val="ListBullet"/>
      </w:pPr>
      <w:r w:rsidRPr="006F1916">
        <w:t>manikins.</w:t>
      </w:r>
    </w:p>
    <w:p w:rsidR="00000000" w:rsidRPr="006F1916" w:rsidP="00C52F5F">
      <w:pPr>
        <w:pStyle w:val="BodyText"/>
      </w:pPr>
      <w:r w:rsidRPr="006F1916">
        <w:t>Assessors must satisfy the Standards for Registered Training Organisations’ requirements for assessors.</w:t>
      </w:r>
    </w:p>
    <w:p w:rsidR="00000000" w:rsidRPr="006F1916" w:rsidP="006F1916">
      <w:pPr>
        <w:pStyle w:val="Heading1"/>
      </w:pPr>
      <w:bookmarkStart w:id="5" w:name="O_1224293"/>
      <w:bookmarkEnd w:id="5"/>
      <w:r w:rsidRPr="006F1916">
        <w:t>Links</w:t>
      </w:r>
    </w:p>
    <w:p w:rsidR="00000000" w:rsidRPr="006F1916" w:rsidP="00C52F5F">
      <w:pPr>
        <w:pStyle w:val="BodyText"/>
      </w:pPr>
      <w:r w:rsidRPr="006F1916">
        <w:t xml:space="preserve">Companion Volume implementation guide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C1536C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6F1916" w:rsidP="006F1916"/>
    <w:sectPr w:rsidSect="006F191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191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1916" w:rsidRPr="00C52F5F" w:rsidP="00C52F5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191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2F5F" w:rsidP="006F191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52F5F" w:rsidP="006F191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C52F5F" w:rsidP="006F191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191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2F5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F1916" w:rsidRPr="00C52F5F" w:rsidP="00C52F5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191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2F5F" w:rsidRPr="002D2AF8" w:rsidP="006F191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CHCDIS023 Provide specialised support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C52F5F" w:rsidP="006F191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5EE75B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9DE461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6567DD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191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F191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F191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F191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F191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F191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F191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F191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F191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F191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F191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F1916"/>
  </w:style>
  <w:style w:type="character" w:customStyle="1" w:styleId="Heading1Char">
    <w:name w:val="Heading 1 Char"/>
    <w:basedOn w:val="DefaultParagraphFont"/>
    <w:link w:val="Heading1"/>
    <w:rsid w:val="006F191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F191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F191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F1916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F1916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F191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F191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6F1916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6F191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F191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F191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F191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F191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F191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F191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F191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F191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F191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F191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F191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F191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F191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F191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F191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F191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F191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F191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F191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F1916"/>
    <w:rPr>
      <w:b/>
      <w:spacing w:val="0"/>
    </w:rPr>
  </w:style>
  <w:style w:type="paragraph" w:customStyle="1" w:styleId="SuperTitle">
    <w:name w:val="SuperTitle"/>
    <w:basedOn w:val="Title"/>
    <w:rsid w:val="006F191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F191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F191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F191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F191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F191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F191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F191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F191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F191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F191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F191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F1916"/>
    <w:rPr>
      <w:i/>
    </w:rPr>
  </w:style>
  <w:style w:type="paragraph" w:styleId="Caption">
    <w:name w:val="caption"/>
    <w:basedOn w:val="BodyText"/>
    <w:next w:val="Normal"/>
    <w:qFormat/>
    <w:rsid w:val="006F191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F191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F191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F1916"/>
  </w:style>
  <w:style w:type="paragraph" w:styleId="TableofFigures">
    <w:name w:val="table of figures"/>
    <w:basedOn w:val="Normal"/>
    <w:next w:val="Normal"/>
    <w:semiHidden/>
    <w:rsid w:val="006F191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F1916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6F1916"/>
    <w:rPr>
      <w:rFonts w:ascii="Wingdings" w:hAnsi="Wingdings"/>
    </w:rPr>
  </w:style>
  <w:style w:type="paragraph" w:customStyle="1" w:styleId="TableHeading">
    <w:name w:val="Table Heading"/>
    <w:basedOn w:val="HeadingBase"/>
    <w:rsid w:val="006F191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F1916"/>
    <w:rPr>
      <w:color w:val="0033CC"/>
      <w:u w:val="none"/>
    </w:rPr>
  </w:style>
  <w:style w:type="paragraph" w:customStyle="1" w:styleId="BodyTextRight">
    <w:name w:val="Body Text Right"/>
    <w:basedOn w:val="BodyText"/>
    <w:rsid w:val="006F191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F191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F1916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F191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F191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F191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F1916"/>
    <w:rPr>
      <w:sz w:val="32"/>
    </w:rPr>
  </w:style>
  <w:style w:type="paragraph" w:customStyle="1" w:styleId="HeadingProcedure">
    <w:name w:val="Heading Procedure"/>
    <w:basedOn w:val="HeadingBase"/>
    <w:next w:val="Normal"/>
    <w:rsid w:val="006F191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F1916"/>
    <w:pPr>
      <w:spacing w:before="60" w:after="60"/>
    </w:pPr>
  </w:style>
  <w:style w:type="paragraph" w:styleId="ListContinue">
    <w:name w:val="List Continue"/>
    <w:basedOn w:val="List"/>
    <w:rsid w:val="006F1916"/>
    <w:pPr>
      <w:ind w:firstLine="0"/>
    </w:pPr>
  </w:style>
  <w:style w:type="paragraph" w:customStyle="1" w:styleId="ListNote">
    <w:name w:val="List Note"/>
    <w:basedOn w:val="List"/>
    <w:rsid w:val="006F191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F191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F191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F1916"/>
    <w:rPr>
      <w:rFonts w:ascii="Courier New" w:hAnsi="Courier New"/>
    </w:rPr>
  </w:style>
  <w:style w:type="paragraph" w:customStyle="1" w:styleId="NoteBullet">
    <w:name w:val="Note Bullet"/>
    <w:basedOn w:val="Note"/>
    <w:rsid w:val="006F191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F191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F191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F191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F1916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6F191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F191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F1916"/>
    <w:rPr>
      <w:b/>
      <w:smallCaps/>
    </w:rPr>
  </w:style>
  <w:style w:type="paragraph" w:customStyle="1" w:styleId="TableListNumber">
    <w:name w:val="Table List Number"/>
    <w:basedOn w:val="ListNumber"/>
    <w:rsid w:val="006F191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F191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F1916"/>
    <w:pPr>
      <w:numPr>
        <w:numId w:val="10"/>
      </w:numPr>
    </w:pPr>
  </w:style>
  <w:style w:type="paragraph" w:customStyle="1" w:styleId="ListAlpha2">
    <w:name w:val="List Alpha 2"/>
    <w:basedOn w:val="List2"/>
    <w:rsid w:val="006F1916"/>
    <w:pPr>
      <w:numPr>
        <w:numId w:val="9"/>
      </w:numPr>
    </w:pPr>
  </w:style>
  <w:style w:type="paragraph" w:styleId="List2">
    <w:name w:val="List 2"/>
    <w:basedOn w:val="BodyText"/>
    <w:rsid w:val="006F191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F191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F191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F1916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6F1916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6F1916"/>
    <w:pPr>
      <w:numPr>
        <w:numId w:val="5"/>
      </w:numPr>
    </w:pPr>
  </w:style>
  <w:style w:type="paragraph" w:styleId="ListContinue2">
    <w:name w:val="List Continue 2"/>
    <w:basedOn w:val="List2"/>
    <w:rsid w:val="006F1916"/>
    <w:pPr>
      <w:ind w:firstLine="0"/>
    </w:pPr>
  </w:style>
  <w:style w:type="paragraph" w:styleId="ListContinue3">
    <w:name w:val="List Continue 3"/>
    <w:basedOn w:val="List3"/>
    <w:rsid w:val="006F1916"/>
    <w:pPr>
      <w:ind w:left="1021" w:firstLine="0"/>
    </w:pPr>
  </w:style>
  <w:style w:type="paragraph" w:styleId="ListContinue4">
    <w:name w:val="List Continue 4"/>
    <w:basedOn w:val="List4"/>
    <w:rsid w:val="006F1916"/>
    <w:pPr>
      <w:ind w:firstLine="0"/>
    </w:pPr>
  </w:style>
  <w:style w:type="paragraph" w:styleId="ListContinue5">
    <w:name w:val="List Continue 5"/>
    <w:basedOn w:val="List5"/>
    <w:rsid w:val="006F1916"/>
    <w:pPr>
      <w:ind w:firstLine="0"/>
    </w:pPr>
  </w:style>
  <w:style w:type="paragraph" w:styleId="ListNumber3">
    <w:name w:val="List Number 3"/>
    <w:basedOn w:val="List3"/>
    <w:rsid w:val="006F1916"/>
    <w:pPr>
      <w:numPr>
        <w:numId w:val="6"/>
      </w:numPr>
    </w:pPr>
  </w:style>
  <w:style w:type="paragraph" w:styleId="ListNumber4">
    <w:name w:val="List Number 4"/>
    <w:basedOn w:val="List4"/>
    <w:rsid w:val="006F1916"/>
    <w:pPr>
      <w:numPr>
        <w:numId w:val="7"/>
      </w:numPr>
    </w:pPr>
  </w:style>
  <w:style w:type="paragraph" w:styleId="ListNumber5">
    <w:name w:val="List Number 5"/>
    <w:basedOn w:val="List5"/>
    <w:rsid w:val="006F1916"/>
    <w:pPr>
      <w:numPr>
        <w:numId w:val="8"/>
      </w:numPr>
    </w:pPr>
  </w:style>
  <w:style w:type="paragraph" w:styleId="BlockText">
    <w:name w:val="Block Text"/>
    <w:basedOn w:val="Normal"/>
    <w:rsid w:val="006F191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F191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F1916"/>
    <w:rPr>
      <w:sz w:val="16"/>
      <w:vertAlign w:val="superscript"/>
    </w:rPr>
  </w:style>
  <w:style w:type="character" w:customStyle="1" w:styleId="Symbols">
    <w:name w:val="Symbols"/>
    <w:basedOn w:val="DefaultParagraphFont"/>
    <w:rsid w:val="006F1916"/>
    <w:rPr>
      <w:rFonts w:ascii="Symbol" w:hAnsi="Symbol"/>
    </w:rPr>
  </w:style>
  <w:style w:type="character" w:customStyle="1" w:styleId="MenuOptions">
    <w:name w:val="Menu Options"/>
    <w:basedOn w:val="DefaultParagraphFont"/>
    <w:rsid w:val="006F191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F1916"/>
    <w:rPr>
      <w:b/>
    </w:rPr>
  </w:style>
  <w:style w:type="character" w:customStyle="1" w:styleId="Underlined">
    <w:name w:val="Underlined"/>
    <w:basedOn w:val="DefaultParagraphFont"/>
    <w:rsid w:val="006F1916"/>
    <w:rPr>
      <w:u w:val="single"/>
    </w:rPr>
  </w:style>
  <w:style w:type="paragraph" w:customStyle="1" w:styleId="TableBodyTextRight">
    <w:name w:val="Table Body Text Right"/>
    <w:basedOn w:val="TableBodyText"/>
    <w:rsid w:val="006F191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F1916"/>
    <w:rPr>
      <w:sz w:val="18"/>
    </w:rPr>
  </w:style>
  <w:style w:type="paragraph" w:customStyle="1" w:styleId="BodySmallRight">
    <w:name w:val="Body Small Right"/>
    <w:basedOn w:val="BodyTextRight"/>
    <w:rsid w:val="006F1916"/>
    <w:rPr>
      <w:sz w:val="18"/>
      <w:szCs w:val="18"/>
    </w:rPr>
  </w:style>
  <w:style w:type="paragraph" w:customStyle="1" w:styleId="MarginEdition">
    <w:name w:val="Margin Edition"/>
    <w:basedOn w:val="MarginNote"/>
    <w:rsid w:val="006F191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F1916"/>
    <w:rPr>
      <w:sz w:val="2"/>
      <w:szCs w:val="2"/>
    </w:rPr>
  </w:style>
  <w:style w:type="character" w:customStyle="1" w:styleId="Small">
    <w:name w:val="Small"/>
    <w:basedOn w:val="DefaultParagraphFont"/>
    <w:rsid w:val="006F1916"/>
    <w:rPr>
      <w:sz w:val="16"/>
    </w:rPr>
  </w:style>
  <w:style w:type="paragraph" w:customStyle="1" w:styleId="WideTable">
    <w:name w:val="Wide Table"/>
    <w:basedOn w:val="Normal"/>
    <w:rsid w:val="006F191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F1916"/>
  </w:style>
  <w:style w:type="paragraph" w:styleId="Quote">
    <w:name w:val="Quote"/>
    <w:basedOn w:val="Heading1"/>
    <w:link w:val="QuoteChar"/>
    <w:qFormat/>
    <w:rsid w:val="006F191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F191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F1916"/>
    <w:pPr>
      <w:pageBreakBefore/>
    </w:pPr>
  </w:style>
  <w:style w:type="paragraph" w:customStyle="1" w:styleId="Border">
    <w:name w:val="Border"/>
    <w:basedOn w:val="Normal"/>
    <w:qFormat/>
    <w:rsid w:val="006F191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F191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F191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F191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F191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F191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F191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F191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F191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F1916"/>
    <w:rPr>
      <w:u w:val="single"/>
    </w:rPr>
  </w:style>
  <w:style w:type="character" w:customStyle="1" w:styleId="BoldandItalics">
    <w:name w:val="Bold and Italics"/>
    <w:qFormat/>
    <w:rsid w:val="006F1916"/>
    <w:rPr>
      <w:b/>
      <w:i/>
      <w:u w:val="none"/>
    </w:rPr>
  </w:style>
  <w:style w:type="paragraph" w:styleId="BalloonText">
    <w:name w:val="Balloon Text"/>
    <w:basedOn w:val="Normal"/>
    <w:link w:val="BalloonTextChar"/>
    <w:rsid w:val="006F191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F191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F191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F191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F191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F191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F1916"/>
    <w:pPr>
      <w:spacing w:before="0" w:after="0"/>
    </w:pPr>
  </w:style>
  <w:style w:type="paragraph" w:customStyle="1" w:styleId="BodyTextBold">
    <w:name w:val="Body Text Bold"/>
    <w:basedOn w:val="BodyText"/>
    <w:qFormat/>
    <w:rsid w:val="006F1916"/>
    <w:rPr>
      <w:b/>
    </w:rPr>
  </w:style>
  <w:style w:type="character" w:styleId="Hyperlink">
    <w:name w:val="Hyperlink"/>
    <w:basedOn w:val="DefaultParagraphFont"/>
    <w:uiPriority w:val="99"/>
    <w:unhideWhenUsed/>
    <w:rsid w:val="00C52F5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549</Words>
  <Characters>3849</Characters>
  <Application>Microsoft Office Word</Application>
  <DocSecurity>0</DocSecurity>
  <Lines>113</Lines>
  <Paragraphs>93</Paragraphs>
  <ScaleCrop>false</ScaleCrop>
  <Company>Author-it Software Corporation Ltd.</Company>
  <LinksUpToDate>false</LinksUpToDate>
  <CharactersWithSpaces>4305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CHCDIS023 Provide specialised support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2023-07-01T03:44:00Z</dcterms:created>
  <dcterms:modified xsi:type="dcterms:W3CDTF">2023-07-01T03:44:00Z</dcterms:modified>
</cp:coreProperties>
</file>