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3DA" w:rsidP="00900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CHCDIS016 Develop and promote positive person-centred behaviour supports</w:t>
      </w:r>
      <w:r>
        <w:fldChar w:fldCharType="end"/>
      </w:r>
    </w:p>
    <w:p w:rsidR="009003DA" w:rsidP="009003DA">
      <w:pPr>
        <w:pStyle w:val="Version"/>
        <w:sectPr w:rsidSect="00BB0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E4E" w:rsidP="00BB0E4E">
      <w:pPr>
        <w:pStyle w:val="SuperHeading"/>
      </w:pPr>
      <w:r w:rsidRPr="00BB0E4E">
        <w:t>Assessment Requirements for CHCDIS016 Develop and promote positive person-centred behaviour supports</w:t>
      </w:r>
    </w:p>
    <w:p w:rsidR="00000000" w:rsidRPr="00BB0E4E" w:rsidP="00BB0E4E">
      <w:pPr>
        <w:pStyle w:val="Heading1"/>
      </w:pPr>
      <w:bookmarkStart w:id="1" w:name="O_1224164"/>
      <w:bookmarkEnd w:id="1"/>
      <w:r w:rsidRPr="00BB0E4E">
        <w:t>Modification History</w:t>
      </w:r>
    </w:p>
    <w:p w:rsidR="00000000" w:rsidRPr="00BB0E4E" w:rsidP="009003DA">
      <w:pPr>
        <w:pStyle w:val="BodyText"/>
      </w:pPr>
      <w:r w:rsidRPr="00BB0E4E">
        <w:t>Not applicable.</w:t>
      </w:r>
    </w:p>
    <w:p w:rsidR="00000000" w:rsidRPr="00BB0E4E" w:rsidP="00BB0E4E">
      <w:pPr>
        <w:pStyle w:val="Heading1"/>
      </w:pPr>
      <w:bookmarkStart w:id="2" w:name="O_1224167"/>
      <w:bookmarkEnd w:id="2"/>
      <w:r w:rsidRPr="00BB0E4E">
        <w:t>Performance Evidence</w:t>
      </w:r>
    </w:p>
    <w:p w:rsidR="00000000" w:rsidRPr="00BB0E4E" w:rsidP="009003DA">
      <w:pPr>
        <w:pStyle w:val="BodyText"/>
      </w:pPr>
      <w:r w:rsidRPr="00BB0E4E">
        <w:t xml:space="preserve">Evidence </w:t>
      </w:r>
      <w:r w:rsidRPr="00BB0E4E">
        <w:t>of the ability to complete tasks outlined in elements and performance criteria of this unit in the context of the job role, and:</w:t>
      </w:r>
    </w:p>
    <w:p w:rsidR="00000000" w:rsidRPr="00BB0E4E" w:rsidP="00BB0E4E">
      <w:pPr>
        <w:pStyle w:val="ListBullet"/>
      </w:pPr>
      <w:r w:rsidRPr="00BB0E4E">
        <w:t xml:space="preserve">identify behaviours of concern for at least three different people with disability and develop, implement, monitor and review </w:t>
      </w:r>
      <w:r w:rsidRPr="00BB0E4E">
        <w:t>positive behaviour support strategies in response to the behaviours of concern</w:t>
      </w:r>
    </w:p>
    <w:p w:rsidR="00000000" w:rsidRPr="00BB0E4E" w:rsidP="00BB0E4E">
      <w:pPr>
        <w:pStyle w:val="ListBullet"/>
      </w:pPr>
      <w:r w:rsidRPr="00BB0E4E">
        <w:t>develop strategies and interventions that support the above people to manage their own behaviour.</w:t>
      </w:r>
    </w:p>
    <w:p w:rsidR="00000000" w:rsidRPr="00BB0E4E" w:rsidP="00BB0E4E">
      <w:pPr>
        <w:pStyle w:val="AllowPageBreak"/>
      </w:pPr>
    </w:p>
    <w:p w:rsidR="00000000" w:rsidRPr="00BB0E4E" w:rsidP="00BB0E4E">
      <w:pPr>
        <w:pStyle w:val="Heading1"/>
      </w:pPr>
      <w:bookmarkStart w:id="3" w:name="O_1224166"/>
      <w:bookmarkEnd w:id="3"/>
      <w:r w:rsidRPr="00BB0E4E">
        <w:t>Knowledge Evidence</w:t>
      </w:r>
    </w:p>
    <w:p w:rsidR="00000000" w:rsidRPr="00BB0E4E" w:rsidP="009003DA">
      <w:pPr>
        <w:pStyle w:val="BodyText"/>
      </w:pPr>
      <w:r w:rsidRPr="00BB0E4E">
        <w:t>Demonstrated knowledge required to comple</w:t>
      </w:r>
      <w:r w:rsidRPr="00BB0E4E">
        <w:t>te the tasks outlined in elements and performance criteria of this unit:</w:t>
      </w:r>
    </w:p>
    <w:p w:rsidR="00000000" w:rsidRPr="00BB0E4E" w:rsidP="00BB0E4E">
      <w:pPr>
        <w:pStyle w:val="ListBullet"/>
      </w:pPr>
      <w:r w:rsidRPr="00BB0E4E">
        <w:t>principles of positive, person-centred, strengths-based behavioural support:</w:t>
      </w:r>
    </w:p>
    <w:p w:rsidR="00000000" w:rsidRPr="00BB0E4E" w:rsidP="00BB0E4E">
      <w:pPr>
        <w:pStyle w:val="ListBullet2"/>
      </w:pPr>
      <w:r w:rsidRPr="00BB0E4E">
        <w:t>social and emotional wellbeing frameworks</w:t>
      </w:r>
    </w:p>
    <w:p w:rsidR="00000000" w:rsidRPr="00BB0E4E" w:rsidP="00BB0E4E">
      <w:pPr>
        <w:pStyle w:val="ListBullet2"/>
      </w:pPr>
      <w:r w:rsidRPr="00BB0E4E">
        <w:t>trauma-informed practice</w:t>
      </w:r>
    </w:p>
    <w:p w:rsidR="00000000" w:rsidRPr="00BB0E4E" w:rsidP="00BB0E4E">
      <w:pPr>
        <w:pStyle w:val="ListBullet"/>
      </w:pPr>
      <w:r w:rsidRPr="00BB0E4E">
        <w:t>human rights framework of service</w:t>
      </w:r>
    </w:p>
    <w:p w:rsidR="00000000" w:rsidRPr="00BB0E4E" w:rsidP="00BB0E4E">
      <w:pPr>
        <w:pStyle w:val="ListBullet"/>
      </w:pPr>
      <w:r w:rsidRPr="00BB0E4E">
        <w:t>the impact of social devaluation on an individual</w:t>
      </w:r>
      <w:r>
        <w:t>’</w:t>
      </w:r>
      <w:r w:rsidRPr="00BB0E4E">
        <w:t>s quality of life</w:t>
      </w:r>
    </w:p>
    <w:p w:rsidR="00000000" w:rsidRPr="00BB0E4E" w:rsidP="00BB0E4E">
      <w:pPr>
        <w:pStyle w:val="ListBullet"/>
      </w:pPr>
      <w:r w:rsidRPr="00BB0E4E">
        <w:t>competency and image enhancement as a means of addressing devaluation</w:t>
      </w:r>
    </w:p>
    <w:p w:rsidR="00000000" w:rsidRPr="00BB0E4E" w:rsidP="00BB0E4E">
      <w:pPr>
        <w:pStyle w:val="ListBullet"/>
      </w:pPr>
      <w:r w:rsidRPr="00BB0E4E">
        <w:t>organisational policies and procedures relating to behaviour management:</w:t>
      </w:r>
    </w:p>
    <w:p w:rsidR="00000000" w:rsidRPr="00BB0E4E" w:rsidP="00BB0E4E">
      <w:pPr>
        <w:pStyle w:val="ListBullet2"/>
      </w:pPr>
      <w:r w:rsidRPr="00BB0E4E">
        <w:t>critical incidents</w:t>
      </w:r>
    </w:p>
    <w:p w:rsidR="00000000" w:rsidRPr="00BB0E4E" w:rsidP="00BB0E4E">
      <w:pPr>
        <w:pStyle w:val="ListBullet2"/>
      </w:pPr>
      <w:r w:rsidRPr="00BB0E4E">
        <w:t>accident and incident rep</w:t>
      </w:r>
      <w:r w:rsidRPr="00BB0E4E">
        <w:t>orting</w:t>
      </w:r>
    </w:p>
    <w:p w:rsidR="00000000" w:rsidRPr="00BB0E4E" w:rsidP="00BB0E4E">
      <w:pPr>
        <w:pStyle w:val="ListBullet2"/>
      </w:pPr>
      <w:r w:rsidRPr="00BB0E4E">
        <w:t>de-briefing processes</w:t>
      </w:r>
    </w:p>
    <w:p w:rsidR="00000000" w:rsidRPr="00BB0E4E" w:rsidP="00BB0E4E">
      <w:pPr>
        <w:pStyle w:val="ListBullet2"/>
      </w:pPr>
      <w:r w:rsidRPr="00BB0E4E">
        <w:t>completing, maintaining and storing documentation</w:t>
      </w:r>
    </w:p>
    <w:p w:rsidR="00000000" w:rsidRPr="00BB0E4E" w:rsidP="00BB0E4E">
      <w:pPr>
        <w:pStyle w:val="ListBullet2"/>
      </w:pPr>
      <w:r w:rsidRPr="00BB0E4E">
        <w:t>work health and safety</w:t>
      </w:r>
    </w:p>
    <w:p w:rsidR="00000000" w:rsidRPr="00BB0E4E" w:rsidP="00BB0E4E">
      <w:pPr>
        <w:pStyle w:val="ListBullet2"/>
      </w:pPr>
      <w:r w:rsidRPr="00BB0E4E">
        <w:t>privacy and confidentiality</w:t>
      </w:r>
    </w:p>
    <w:p w:rsidR="00000000" w:rsidRPr="00BB0E4E" w:rsidP="00BB0E4E">
      <w:pPr>
        <w:pStyle w:val="ListBullet"/>
      </w:pPr>
      <w:r w:rsidRPr="00BB0E4E">
        <w:t>restrictive practice:</w:t>
      </w:r>
    </w:p>
    <w:p w:rsidR="00000000" w:rsidRPr="00BB0E4E" w:rsidP="00BB0E4E">
      <w:pPr>
        <w:pStyle w:val="ListBullet2"/>
      </w:pPr>
      <w:r w:rsidRPr="00BB0E4E">
        <w:t>types of regulated restrictive practices:</w:t>
      </w:r>
    </w:p>
    <w:p w:rsidR="00000000" w:rsidRPr="00BB0E4E" w:rsidP="00BB0E4E">
      <w:pPr>
        <w:pStyle w:val="ListBullet3"/>
      </w:pPr>
      <w:r w:rsidRPr="00BB0E4E">
        <w:t>seclusion</w:t>
      </w:r>
    </w:p>
    <w:p w:rsidR="00000000" w:rsidRPr="00BB0E4E" w:rsidP="00BB0E4E">
      <w:pPr>
        <w:pStyle w:val="ListBullet3"/>
      </w:pPr>
      <w:r w:rsidRPr="00BB0E4E">
        <w:t>chemical restraint</w:t>
      </w:r>
    </w:p>
    <w:p w:rsidR="00000000" w:rsidRPr="00BB0E4E" w:rsidP="00BB0E4E">
      <w:pPr>
        <w:pStyle w:val="ListBullet3"/>
      </w:pPr>
      <w:r w:rsidRPr="00BB0E4E">
        <w:t>mechanical restraint</w:t>
      </w:r>
    </w:p>
    <w:p w:rsidR="00000000" w:rsidRPr="00BB0E4E" w:rsidP="00BB0E4E">
      <w:pPr>
        <w:pStyle w:val="ListBullet3"/>
      </w:pPr>
      <w:r w:rsidRPr="00BB0E4E">
        <w:t>physical restraint</w:t>
      </w:r>
    </w:p>
    <w:p w:rsidR="00000000" w:rsidRPr="00BB0E4E" w:rsidP="00BB0E4E">
      <w:pPr>
        <w:pStyle w:val="ListBullet3"/>
      </w:pPr>
      <w:r w:rsidRPr="00BB0E4E">
        <w:t>environmental restraint</w:t>
      </w:r>
    </w:p>
    <w:p w:rsidR="00000000" w:rsidRPr="00BB0E4E" w:rsidP="00BB0E4E">
      <w:pPr>
        <w:pStyle w:val="ListBullet2"/>
      </w:pPr>
      <w:r w:rsidRPr="00BB0E4E">
        <w:t>unregulated restrictive practices</w:t>
      </w:r>
    </w:p>
    <w:p w:rsidR="00000000" w:rsidRPr="00BB0E4E" w:rsidP="00BB0E4E">
      <w:pPr>
        <w:pStyle w:val="ListBullet2"/>
      </w:pPr>
      <w:r w:rsidRPr="00BB0E4E">
        <w:t>human rights considerations for use of restrictive practices</w:t>
      </w:r>
    </w:p>
    <w:p w:rsidR="00000000" w:rsidRPr="00BB0E4E" w:rsidP="00BB0E4E">
      <w:pPr>
        <w:pStyle w:val="ListBullet2"/>
      </w:pPr>
      <w:r w:rsidRPr="00BB0E4E">
        <w:t xml:space="preserve">principles of the National Framework for Reducing and Eliminating the Use of Restrictive Practices in the Disability </w:t>
      </w:r>
      <w:r w:rsidRPr="00BB0E4E">
        <w:t>Service Sector</w:t>
      </w:r>
    </w:p>
    <w:p w:rsidR="00000000" w:rsidRPr="00BB0E4E" w:rsidP="00BB0E4E">
      <w:pPr>
        <w:pStyle w:val="ListBullet2"/>
      </w:pPr>
      <w:r w:rsidRPr="00BB0E4E">
        <w:t>role of the National Disability Insurance Scheme (NDIS) Quality and Safeguards Commission in regulating use of restrictive practices</w:t>
      </w:r>
    </w:p>
    <w:p w:rsidR="00000000" w:rsidRPr="00BB0E4E" w:rsidP="00BB0E4E">
      <w:pPr>
        <w:pStyle w:val="ListBullet2"/>
      </w:pPr>
      <w:r w:rsidRPr="00BB0E4E">
        <w:t>when it is acceptable to use restrictive practices</w:t>
      </w:r>
    </w:p>
    <w:p w:rsidR="00000000" w:rsidRPr="00BB0E4E" w:rsidP="00BB0E4E">
      <w:pPr>
        <w:pStyle w:val="ListBullet2"/>
      </w:pPr>
      <w:r w:rsidRPr="00BB0E4E">
        <w:t>role of behaviour support practitioner in developing beha</w:t>
      </w:r>
      <w:r w:rsidRPr="00BB0E4E">
        <w:t>viour support plan that includes restrictive practices</w:t>
      </w:r>
    </w:p>
    <w:p w:rsidR="00000000" w:rsidRPr="00BB0E4E" w:rsidP="00BB0E4E">
      <w:pPr>
        <w:pStyle w:val="ListBullet2"/>
      </w:pPr>
      <w:r w:rsidRPr="00BB0E4E">
        <w:t>consequences of unauthorised use of restrictive practices</w:t>
      </w:r>
    </w:p>
    <w:p w:rsidR="00000000" w:rsidRPr="00BB0E4E" w:rsidP="00BB0E4E">
      <w:pPr>
        <w:pStyle w:val="ListBullet2"/>
      </w:pPr>
      <w:r w:rsidRPr="00BB0E4E">
        <w:t>positive proactive approaches to support that eliminate the need to use restrictive practices</w:t>
      </w:r>
    </w:p>
    <w:p w:rsidR="00000000" w:rsidRPr="00BB0E4E" w:rsidP="00BB0E4E">
      <w:pPr>
        <w:pStyle w:val="ListBullet2"/>
      </w:pPr>
      <w:r w:rsidRPr="00BB0E4E">
        <w:t>physical, psychological and emotional risks relat</w:t>
      </w:r>
      <w:r w:rsidRPr="00BB0E4E">
        <w:t>ed to the use of restrictive practices</w:t>
      </w:r>
    </w:p>
    <w:p w:rsidR="00000000" w:rsidRPr="00BB0E4E" w:rsidP="00BB0E4E">
      <w:pPr>
        <w:pStyle w:val="ListBullet2"/>
      </w:pPr>
      <w:r w:rsidRPr="00BB0E4E">
        <w:t>processes for reporting changes in behaviour that may require review of the restrictive practices in the behaviour support plan</w:t>
      </w:r>
    </w:p>
    <w:p w:rsidR="00000000" w:rsidRPr="00BB0E4E" w:rsidP="00BB0E4E">
      <w:pPr>
        <w:pStyle w:val="ListBullet2"/>
      </w:pPr>
      <w:r w:rsidRPr="00BB0E4E">
        <w:t>documentation of use of restrictive practices:</w:t>
      </w:r>
    </w:p>
    <w:p w:rsidR="00000000" w:rsidRPr="00BB0E4E" w:rsidP="00BB0E4E">
      <w:pPr>
        <w:pStyle w:val="ListBullet3"/>
      </w:pPr>
      <w:r w:rsidRPr="00BB0E4E">
        <w:t>organisational policies and procedures</w:t>
      </w:r>
    </w:p>
    <w:p w:rsidR="00000000" w:rsidRPr="00BB0E4E" w:rsidP="00BB0E4E">
      <w:pPr>
        <w:pStyle w:val="ListBullet3"/>
      </w:pPr>
      <w:r w:rsidRPr="00BB0E4E">
        <w:t>regulatory and legislative requirements for documentation</w:t>
      </w:r>
    </w:p>
    <w:p w:rsidR="00000000" w:rsidRPr="00BB0E4E" w:rsidP="00BB0E4E">
      <w:pPr>
        <w:pStyle w:val="ListBullet"/>
      </w:pPr>
      <w:r w:rsidRPr="00BB0E4E">
        <w:t>evidence-based behavioural intervention</w:t>
      </w:r>
    </w:p>
    <w:p w:rsidR="00000000" w:rsidRPr="00BB0E4E" w:rsidP="00BB0E4E">
      <w:pPr>
        <w:pStyle w:val="ListBullet"/>
      </w:pPr>
      <w:r w:rsidRPr="00BB0E4E">
        <w:t>principles of effective communication and ways to implement these to minimise behaviours of concern</w:t>
      </w:r>
    </w:p>
    <w:p w:rsidR="00000000" w:rsidRPr="00BB0E4E" w:rsidP="00BB0E4E">
      <w:pPr>
        <w:pStyle w:val="ListBullet"/>
      </w:pPr>
      <w:r w:rsidRPr="00BB0E4E">
        <w:t>indicators that a person has unmet needs</w:t>
      </w:r>
    </w:p>
    <w:p w:rsidR="00000000" w:rsidRPr="00BB0E4E" w:rsidP="00BB0E4E">
      <w:pPr>
        <w:pStyle w:val="ListBullet"/>
      </w:pPr>
      <w:r w:rsidRPr="00BB0E4E">
        <w:t>factors that may</w:t>
      </w:r>
      <w:r w:rsidRPr="00BB0E4E">
        <w:t xml:space="preserve"> contribute to behaviour of concern:</w:t>
      </w:r>
    </w:p>
    <w:p w:rsidR="00000000" w:rsidRPr="00BB0E4E" w:rsidP="00BB0E4E">
      <w:pPr>
        <w:pStyle w:val="ListBullet2"/>
      </w:pPr>
      <w:r w:rsidRPr="00BB0E4E">
        <w:t>physical</w:t>
      </w:r>
    </w:p>
    <w:p w:rsidR="00000000" w:rsidRPr="00BB0E4E" w:rsidP="00BB0E4E">
      <w:pPr>
        <w:pStyle w:val="ListBullet2"/>
      </w:pPr>
      <w:r w:rsidRPr="00BB0E4E">
        <w:t>emotional</w:t>
      </w:r>
    </w:p>
    <w:p w:rsidR="00000000" w:rsidRPr="00BB0E4E" w:rsidP="00BB0E4E">
      <w:pPr>
        <w:pStyle w:val="ListBullet2"/>
      </w:pPr>
      <w:r w:rsidRPr="00BB0E4E">
        <w:t>environmental</w:t>
      </w:r>
    </w:p>
    <w:p w:rsidR="00000000" w:rsidRPr="00BB0E4E" w:rsidP="00BB0E4E">
      <w:pPr>
        <w:pStyle w:val="ListBullet2"/>
      </w:pPr>
      <w:r w:rsidRPr="00BB0E4E">
        <w:t>medications</w:t>
      </w:r>
    </w:p>
    <w:p w:rsidR="00000000" w:rsidRPr="00BB0E4E" w:rsidP="00BB0E4E">
      <w:pPr>
        <w:pStyle w:val="ListBullet2"/>
      </w:pPr>
      <w:r w:rsidRPr="00BB0E4E">
        <w:t>structural</w:t>
      </w:r>
    </w:p>
    <w:p w:rsidR="00000000" w:rsidRPr="00BB0E4E" w:rsidP="00BB0E4E">
      <w:pPr>
        <w:pStyle w:val="ListBullet2"/>
      </w:pPr>
      <w:r w:rsidRPr="00BB0E4E">
        <w:t>systemic</w:t>
      </w:r>
    </w:p>
    <w:p w:rsidR="00000000" w:rsidRPr="00BB0E4E" w:rsidP="00BB0E4E">
      <w:pPr>
        <w:pStyle w:val="ListBullet"/>
      </w:pPr>
      <w:r w:rsidRPr="00BB0E4E">
        <w:t>specialist services and referral options</w:t>
      </w:r>
    </w:p>
    <w:p w:rsidR="00000000" w:rsidRPr="00BB0E4E" w:rsidP="00BB0E4E">
      <w:pPr>
        <w:pStyle w:val="ListBullet"/>
      </w:pPr>
      <w:r w:rsidRPr="00BB0E4E">
        <w:t>legal and ethical considerations for working with people with disability:</w:t>
      </w:r>
    </w:p>
    <w:p w:rsidR="00000000" w:rsidRPr="00BB0E4E" w:rsidP="00BB0E4E">
      <w:pPr>
        <w:pStyle w:val="ListBullet2"/>
      </w:pPr>
      <w:r w:rsidRPr="00BB0E4E">
        <w:t>codes of conduct</w:t>
      </w:r>
    </w:p>
    <w:p w:rsidR="00000000" w:rsidRPr="00BB0E4E" w:rsidP="00BB0E4E">
      <w:pPr>
        <w:pStyle w:val="ListBullet2"/>
      </w:pPr>
      <w:r w:rsidRPr="00BB0E4E">
        <w:t>dignity of risk</w:t>
      </w:r>
    </w:p>
    <w:p w:rsidR="00000000" w:rsidRPr="00BB0E4E" w:rsidP="00BB0E4E">
      <w:pPr>
        <w:pStyle w:val="ListBullet2"/>
      </w:pPr>
      <w:r w:rsidRPr="00BB0E4E">
        <w:t>duty of care</w:t>
      </w:r>
    </w:p>
    <w:p w:rsidR="00000000" w:rsidRPr="00BB0E4E" w:rsidP="00BB0E4E">
      <w:pPr>
        <w:pStyle w:val="ListBullet2"/>
      </w:pPr>
      <w:r w:rsidRPr="00BB0E4E">
        <w:t>human rights, including the United Nations Convention on the Rights of Persons with Disabilities (UNCRPD)</w:t>
      </w:r>
    </w:p>
    <w:p w:rsidR="00000000" w:rsidRPr="00BB0E4E" w:rsidP="00BB0E4E">
      <w:pPr>
        <w:pStyle w:val="ListBullet2"/>
      </w:pPr>
      <w:r w:rsidRPr="00BB0E4E">
        <w:t>informed consent</w:t>
      </w:r>
    </w:p>
    <w:p w:rsidR="00000000" w:rsidRPr="00BB0E4E" w:rsidP="00BB0E4E">
      <w:pPr>
        <w:pStyle w:val="ListBullet2"/>
      </w:pPr>
      <w:r w:rsidRPr="00BB0E4E">
        <w:t>privacy, confidentiality and disclosure</w:t>
      </w:r>
    </w:p>
    <w:p w:rsidR="00000000" w:rsidRPr="00BB0E4E" w:rsidP="00BB0E4E">
      <w:pPr>
        <w:pStyle w:val="ListBullet2"/>
      </w:pPr>
      <w:r w:rsidRPr="00BB0E4E">
        <w:t>imprisonment</w:t>
      </w:r>
    </w:p>
    <w:p w:rsidR="00000000" w:rsidRPr="00BB0E4E" w:rsidP="00BB0E4E">
      <w:pPr>
        <w:pStyle w:val="ListBullet2"/>
      </w:pPr>
      <w:r w:rsidRPr="00BB0E4E">
        <w:t>abuse</w:t>
      </w:r>
    </w:p>
    <w:p w:rsidR="00000000" w:rsidRPr="00BB0E4E" w:rsidP="00BB0E4E">
      <w:pPr>
        <w:pStyle w:val="ListBullet2"/>
      </w:pPr>
      <w:r w:rsidRPr="00BB0E4E">
        <w:t>work health and safety.</w:t>
      </w:r>
    </w:p>
    <w:p w:rsidR="00000000" w:rsidRPr="00BB0E4E" w:rsidP="00BB0E4E">
      <w:pPr>
        <w:pStyle w:val="AllowPageBreak"/>
      </w:pPr>
    </w:p>
    <w:p w:rsidR="00000000" w:rsidRPr="00BB0E4E" w:rsidP="00BB0E4E">
      <w:pPr>
        <w:pStyle w:val="Heading1"/>
      </w:pPr>
      <w:bookmarkStart w:id="4" w:name="O_1224165"/>
      <w:bookmarkEnd w:id="4"/>
      <w:r w:rsidRPr="00BB0E4E">
        <w:t>Assessment Conditions</w:t>
      </w:r>
    </w:p>
    <w:p w:rsidR="00000000" w:rsidRPr="00BB0E4E" w:rsidP="009003DA">
      <w:pPr>
        <w:pStyle w:val="BodyText"/>
      </w:pPr>
      <w:r w:rsidRPr="00BB0E4E">
        <w:t>Skills must be demonstrated in the workplace or a simulated environment that reflects workplace conditions.</w:t>
      </w:r>
    </w:p>
    <w:p w:rsidR="00000000" w:rsidRPr="00BB0E4E" w:rsidP="009003DA">
      <w:pPr>
        <w:pStyle w:val="BodyText"/>
      </w:pPr>
      <w:r w:rsidRPr="00BB0E4E">
        <w:t>Assessment must ensure access to:</w:t>
      </w:r>
    </w:p>
    <w:p w:rsidR="00000000" w:rsidRPr="00BB0E4E" w:rsidP="00BB0E4E">
      <w:pPr>
        <w:pStyle w:val="ListBullet"/>
      </w:pPr>
      <w:r w:rsidRPr="00BB0E4E">
        <w:t>facilities, equipment and resources that reflect real working conditions and model industry</w:t>
      </w:r>
      <w:r w:rsidRPr="00BB0E4E">
        <w:t xml:space="preserve"> operating conditions and contingencies</w:t>
      </w:r>
    </w:p>
    <w:p w:rsidR="00000000" w:rsidRPr="00BB0E4E" w:rsidP="00BB0E4E">
      <w:pPr>
        <w:pStyle w:val="ListBullet"/>
      </w:pPr>
      <w:r w:rsidRPr="00BB0E4E">
        <w:t>tools for recording observed behaviour</w:t>
      </w:r>
    </w:p>
    <w:p w:rsidR="00000000" w:rsidRPr="00BB0E4E" w:rsidP="00BB0E4E">
      <w:pPr>
        <w:pStyle w:val="ListBullet"/>
      </w:pPr>
      <w:r w:rsidRPr="00BB0E4E">
        <w:t>organisational policies and procedures relating to behaviour support</w:t>
      </w:r>
    </w:p>
    <w:p w:rsidR="00000000" w:rsidRPr="00BB0E4E" w:rsidP="00BB0E4E">
      <w:pPr>
        <w:pStyle w:val="ListBullet"/>
      </w:pPr>
      <w:r w:rsidRPr="00BB0E4E">
        <w:t>individualised behaviour support plans and any equipment outlined in the plan</w:t>
      </w:r>
    </w:p>
    <w:p w:rsidR="00000000" w:rsidRPr="00BB0E4E" w:rsidP="00BB0E4E">
      <w:pPr>
        <w:pStyle w:val="ListBullet"/>
      </w:pPr>
      <w:r w:rsidRPr="00BB0E4E">
        <w:t>opportunities for engagement w</w:t>
      </w:r>
      <w:r w:rsidRPr="00BB0E4E">
        <w:t>ith people with disability.</w:t>
      </w:r>
    </w:p>
    <w:p w:rsidR="00000000" w:rsidRPr="00BB0E4E" w:rsidP="009003DA">
      <w:pPr>
        <w:pStyle w:val="BodyText"/>
      </w:pPr>
      <w:r w:rsidRPr="00BB0E4E">
        <w:t>Assessors must satisfy the Standards for Registered Training Organisations’ requirements for assessors</w:t>
      </w:r>
    </w:p>
    <w:p w:rsidR="00000000" w:rsidRPr="00BB0E4E" w:rsidP="00BB0E4E">
      <w:pPr>
        <w:pStyle w:val="Heading1"/>
      </w:pPr>
      <w:bookmarkStart w:id="5" w:name="O_1224163"/>
      <w:bookmarkEnd w:id="5"/>
      <w:r w:rsidRPr="00BB0E4E">
        <w:t>Links</w:t>
      </w:r>
    </w:p>
    <w:p w:rsidR="00000000" w:rsidRPr="00BB0E4E" w:rsidP="009003DA">
      <w:pPr>
        <w:pStyle w:val="BodyText"/>
      </w:pPr>
      <w:r w:rsidRPr="00BB0E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9450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B0E4E" w:rsidP="00BB0E4E"/>
    <w:sectPr w:rsidSect="00BB0E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E" w:rsidRPr="009003DA" w:rsidP="00900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A" w:rsidP="00BB0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3DA" w:rsidP="00BB0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03DA" w:rsidP="00BB0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E4E" w:rsidRPr="009003DA" w:rsidP="00900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A" w:rsidRPr="002D2AF8" w:rsidP="00BB0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CHCDIS016 Develop and promote positive person-centred behaviour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003DA" w:rsidP="00BB0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8B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2F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47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E4E"/>
  </w:style>
  <w:style w:type="character" w:customStyle="1" w:styleId="Heading1Char">
    <w:name w:val="Heading 1 Char"/>
    <w:basedOn w:val="DefaultParagraphFont"/>
    <w:link w:val="Heading1"/>
    <w:rsid w:val="00BB0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E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E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0E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0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0E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0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E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E4E"/>
    <w:rPr>
      <w:b/>
      <w:spacing w:val="0"/>
    </w:rPr>
  </w:style>
  <w:style w:type="paragraph" w:customStyle="1" w:styleId="SuperTitle">
    <w:name w:val="SuperTitle"/>
    <w:basedOn w:val="Title"/>
    <w:rsid w:val="00BB0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E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E4E"/>
    <w:rPr>
      <w:i/>
    </w:rPr>
  </w:style>
  <w:style w:type="paragraph" w:styleId="Caption">
    <w:name w:val="caption"/>
    <w:basedOn w:val="BodyText"/>
    <w:next w:val="Normal"/>
    <w:qFormat/>
    <w:rsid w:val="00BB0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E4E"/>
  </w:style>
  <w:style w:type="paragraph" w:styleId="TableofFigures">
    <w:name w:val="table of figures"/>
    <w:basedOn w:val="Normal"/>
    <w:next w:val="Normal"/>
    <w:semiHidden/>
    <w:rsid w:val="00BB0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E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0E4E"/>
    <w:rPr>
      <w:rFonts w:ascii="Wingdings" w:hAnsi="Wingdings"/>
    </w:rPr>
  </w:style>
  <w:style w:type="paragraph" w:customStyle="1" w:styleId="TableHeading">
    <w:name w:val="Table Heading"/>
    <w:basedOn w:val="HeadingBase"/>
    <w:rsid w:val="00BB0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E4E"/>
    <w:rPr>
      <w:color w:val="0033CC"/>
      <w:u w:val="none"/>
    </w:rPr>
  </w:style>
  <w:style w:type="paragraph" w:customStyle="1" w:styleId="BodyTextRight">
    <w:name w:val="Body Text Right"/>
    <w:basedOn w:val="BodyText"/>
    <w:rsid w:val="00BB0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E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E4E"/>
    <w:rPr>
      <w:sz w:val="32"/>
    </w:rPr>
  </w:style>
  <w:style w:type="paragraph" w:customStyle="1" w:styleId="HeadingProcedure">
    <w:name w:val="Heading Procedure"/>
    <w:basedOn w:val="HeadingBase"/>
    <w:next w:val="Normal"/>
    <w:rsid w:val="00BB0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E4E"/>
    <w:pPr>
      <w:spacing w:before="60" w:after="60"/>
    </w:pPr>
  </w:style>
  <w:style w:type="paragraph" w:styleId="ListContinue">
    <w:name w:val="List Continue"/>
    <w:basedOn w:val="List"/>
    <w:rsid w:val="00BB0E4E"/>
    <w:pPr>
      <w:ind w:firstLine="0"/>
    </w:pPr>
  </w:style>
  <w:style w:type="paragraph" w:customStyle="1" w:styleId="ListNote">
    <w:name w:val="List Note"/>
    <w:basedOn w:val="List"/>
    <w:rsid w:val="00BB0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E4E"/>
    <w:rPr>
      <w:rFonts w:ascii="Courier New" w:hAnsi="Courier New"/>
    </w:rPr>
  </w:style>
  <w:style w:type="paragraph" w:customStyle="1" w:styleId="NoteBullet">
    <w:name w:val="Note Bullet"/>
    <w:basedOn w:val="Note"/>
    <w:rsid w:val="00BB0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E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0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E4E"/>
    <w:rPr>
      <w:b/>
      <w:smallCaps/>
    </w:rPr>
  </w:style>
  <w:style w:type="paragraph" w:customStyle="1" w:styleId="TableListNumber">
    <w:name w:val="Table List Number"/>
    <w:basedOn w:val="ListNumber"/>
    <w:rsid w:val="00BB0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E4E"/>
    <w:pPr>
      <w:numPr>
        <w:numId w:val="10"/>
      </w:numPr>
    </w:pPr>
  </w:style>
  <w:style w:type="paragraph" w:customStyle="1" w:styleId="ListAlpha2">
    <w:name w:val="List Alpha 2"/>
    <w:basedOn w:val="List2"/>
    <w:rsid w:val="00BB0E4E"/>
    <w:pPr>
      <w:numPr>
        <w:numId w:val="9"/>
      </w:numPr>
    </w:pPr>
  </w:style>
  <w:style w:type="paragraph" w:styleId="List2">
    <w:name w:val="List 2"/>
    <w:basedOn w:val="BodyText"/>
    <w:rsid w:val="00BB0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E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0E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0E4E"/>
    <w:pPr>
      <w:numPr>
        <w:numId w:val="5"/>
      </w:numPr>
    </w:pPr>
  </w:style>
  <w:style w:type="paragraph" w:styleId="ListContinue2">
    <w:name w:val="List Continue 2"/>
    <w:basedOn w:val="List2"/>
    <w:rsid w:val="00BB0E4E"/>
    <w:pPr>
      <w:ind w:firstLine="0"/>
    </w:pPr>
  </w:style>
  <w:style w:type="paragraph" w:styleId="ListContinue3">
    <w:name w:val="List Continue 3"/>
    <w:basedOn w:val="List3"/>
    <w:rsid w:val="00BB0E4E"/>
    <w:pPr>
      <w:ind w:left="1021" w:firstLine="0"/>
    </w:pPr>
  </w:style>
  <w:style w:type="paragraph" w:styleId="ListContinue4">
    <w:name w:val="List Continue 4"/>
    <w:basedOn w:val="List4"/>
    <w:rsid w:val="00BB0E4E"/>
    <w:pPr>
      <w:ind w:firstLine="0"/>
    </w:pPr>
  </w:style>
  <w:style w:type="paragraph" w:styleId="ListContinue5">
    <w:name w:val="List Continue 5"/>
    <w:basedOn w:val="List5"/>
    <w:rsid w:val="00BB0E4E"/>
    <w:pPr>
      <w:ind w:firstLine="0"/>
    </w:pPr>
  </w:style>
  <w:style w:type="paragraph" w:styleId="ListNumber3">
    <w:name w:val="List Number 3"/>
    <w:basedOn w:val="List3"/>
    <w:rsid w:val="00BB0E4E"/>
    <w:pPr>
      <w:numPr>
        <w:numId w:val="6"/>
      </w:numPr>
    </w:pPr>
  </w:style>
  <w:style w:type="paragraph" w:styleId="ListNumber4">
    <w:name w:val="List Number 4"/>
    <w:basedOn w:val="List4"/>
    <w:rsid w:val="00BB0E4E"/>
    <w:pPr>
      <w:numPr>
        <w:numId w:val="7"/>
      </w:numPr>
    </w:pPr>
  </w:style>
  <w:style w:type="paragraph" w:styleId="ListNumber5">
    <w:name w:val="List Number 5"/>
    <w:basedOn w:val="List5"/>
    <w:rsid w:val="00BB0E4E"/>
    <w:pPr>
      <w:numPr>
        <w:numId w:val="8"/>
      </w:numPr>
    </w:pPr>
  </w:style>
  <w:style w:type="paragraph" w:styleId="BlockText">
    <w:name w:val="Block Text"/>
    <w:basedOn w:val="Normal"/>
    <w:rsid w:val="00BB0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E4E"/>
    <w:rPr>
      <w:sz w:val="16"/>
      <w:vertAlign w:val="superscript"/>
    </w:rPr>
  </w:style>
  <w:style w:type="character" w:customStyle="1" w:styleId="Symbols">
    <w:name w:val="Symbols"/>
    <w:basedOn w:val="DefaultParagraphFont"/>
    <w:rsid w:val="00BB0E4E"/>
    <w:rPr>
      <w:rFonts w:ascii="Symbol" w:hAnsi="Symbol"/>
    </w:rPr>
  </w:style>
  <w:style w:type="character" w:customStyle="1" w:styleId="MenuOptions">
    <w:name w:val="Menu Options"/>
    <w:basedOn w:val="DefaultParagraphFont"/>
    <w:rsid w:val="00BB0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E4E"/>
    <w:rPr>
      <w:b/>
    </w:rPr>
  </w:style>
  <w:style w:type="character" w:customStyle="1" w:styleId="Underlined">
    <w:name w:val="Underlined"/>
    <w:basedOn w:val="DefaultParagraphFont"/>
    <w:rsid w:val="00BB0E4E"/>
    <w:rPr>
      <w:u w:val="single"/>
    </w:rPr>
  </w:style>
  <w:style w:type="paragraph" w:customStyle="1" w:styleId="TableBodyTextRight">
    <w:name w:val="Table Body Text Right"/>
    <w:basedOn w:val="TableBodyText"/>
    <w:rsid w:val="00BB0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E4E"/>
    <w:rPr>
      <w:sz w:val="18"/>
    </w:rPr>
  </w:style>
  <w:style w:type="paragraph" w:customStyle="1" w:styleId="BodySmallRight">
    <w:name w:val="Body Small Right"/>
    <w:basedOn w:val="BodyTextRight"/>
    <w:rsid w:val="00BB0E4E"/>
    <w:rPr>
      <w:sz w:val="18"/>
      <w:szCs w:val="18"/>
    </w:rPr>
  </w:style>
  <w:style w:type="paragraph" w:customStyle="1" w:styleId="MarginEdition">
    <w:name w:val="Margin Edition"/>
    <w:basedOn w:val="MarginNote"/>
    <w:rsid w:val="00BB0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E4E"/>
    <w:rPr>
      <w:sz w:val="2"/>
      <w:szCs w:val="2"/>
    </w:rPr>
  </w:style>
  <w:style w:type="character" w:customStyle="1" w:styleId="Small">
    <w:name w:val="Small"/>
    <w:basedOn w:val="DefaultParagraphFont"/>
    <w:rsid w:val="00BB0E4E"/>
    <w:rPr>
      <w:sz w:val="16"/>
    </w:rPr>
  </w:style>
  <w:style w:type="paragraph" w:customStyle="1" w:styleId="WideTable">
    <w:name w:val="Wide Table"/>
    <w:basedOn w:val="Normal"/>
    <w:rsid w:val="00BB0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E4E"/>
  </w:style>
  <w:style w:type="paragraph" w:styleId="Quote">
    <w:name w:val="Quote"/>
    <w:basedOn w:val="Heading1"/>
    <w:link w:val="QuoteChar"/>
    <w:qFormat/>
    <w:rsid w:val="00BB0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E4E"/>
    <w:pPr>
      <w:pageBreakBefore/>
    </w:pPr>
  </w:style>
  <w:style w:type="paragraph" w:customStyle="1" w:styleId="Border">
    <w:name w:val="Border"/>
    <w:basedOn w:val="Normal"/>
    <w:qFormat/>
    <w:rsid w:val="00BB0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E4E"/>
    <w:rPr>
      <w:u w:val="single"/>
    </w:rPr>
  </w:style>
  <w:style w:type="character" w:customStyle="1" w:styleId="BoldandItalics">
    <w:name w:val="Bold and Italics"/>
    <w:qFormat/>
    <w:rsid w:val="00BB0E4E"/>
    <w:rPr>
      <w:b/>
      <w:i/>
      <w:u w:val="none"/>
    </w:rPr>
  </w:style>
  <w:style w:type="paragraph" w:styleId="BalloonText">
    <w:name w:val="Balloon Text"/>
    <w:basedOn w:val="Normal"/>
    <w:link w:val="BalloonTextChar"/>
    <w:rsid w:val="00BB0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E4E"/>
    <w:pPr>
      <w:spacing w:before="0" w:after="0"/>
    </w:pPr>
  </w:style>
  <w:style w:type="paragraph" w:customStyle="1" w:styleId="BodyTextBold">
    <w:name w:val="Body Text Bold"/>
    <w:basedOn w:val="BodyText"/>
    <w:qFormat/>
    <w:rsid w:val="00BB0E4E"/>
    <w:rPr>
      <w:b/>
    </w:rPr>
  </w:style>
  <w:style w:type="character" w:styleId="Hyperlink">
    <w:name w:val="Hyperlink"/>
    <w:basedOn w:val="DefaultParagraphFont"/>
    <w:uiPriority w:val="99"/>
    <w:unhideWhenUsed/>
    <w:rsid w:val="00900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3702</Characters>
  <Application>Microsoft Office Word</Application>
  <DocSecurity>0</DocSecurity>
  <Lines>102</Lines>
  <Paragraphs>88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CHCDIS016 Develop and promote positive person-centred behaviour supports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2023-07-01T02:54:00Z</dcterms:modified>
</cp:coreProperties>
</file>