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BCD" w:rsidP="00FA4B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CHCDIS015 Develop and provide person-centred service responses</w:t>
      </w:r>
      <w:r>
        <w:fldChar w:fldCharType="end"/>
      </w:r>
    </w:p>
    <w:p w:rsidR="00FA4BCD" w:rsidP="00FA4BCD">
      <w:pPr>
        <w:pStyle w:val="Version"/>
        <w:sectPr w:rsidSect="00CD4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2E1" w:rsidP="00CD42E1">
      <w:pPr>
        <w:pStyle w:val="SuperHeading"/>
      </w:pPr>
      <w:r w:rsidRPr="00CD42E1">
        <w:t>Assessment Requirements for CHCDIS015 Develop and provide person-centred service responses</w:t>
      </w:r>
    </w:p>
    <w:p w:rsidR="00000000" w:rsidRPr="00CD42E1" w:rsidP="00CD42E1">
      <w:pPr>
        <w:pStyle w:val="Heading1"/>
      </w:pPr>
      <w:bookmarkStart w:id="1" w:name="O_1224149"/>
      <w:bookmarkEnd w:id="1"/>
      <w:r w:rsidRPr="00CD42E1">
        <w:t>Modification History</w:t>
      </w:r>
    </w:p>
    <w:p w:rsidR="00000000" w:rsidRPr="00CD42E1" w:rsidP="00FA4BCD">
      <w:pPr>
        <w:pStyle w:val="BodyText"/>
      </w:pPr>
      <w:r w:rsidRPr="00CD42E1">
        <w:t>Not applicable.</w:t>
      </w:r>
    </w:p>
    <w:p w:rsidR="00000000" w:rsidRPr="00CD42E1" w:rsidP="00CD42E1">
      <w:pPr>
        <w:pStyle w:val="Heading1"/>
      </w:pPr>
      <w:bookmarkStart w:id="2" w:name="O_1224152"/>
      <w:bookmarkEnd w:id="2"/>
      <w:r w:rsidRPr="00CD42E1">
        <w:t>Performance Evidence</w:t>
      </w:r>
    </w:p>
    <w:p w:rsidR="00000000" w:rsidRPr="00CD42E1" w:rsidP="00FA4BCD">
      <w:pPr>
        <w:pStyle w:val="BodyText"/>
      </w:pPr>
      <w:r w:rsidRPr="00CD42E1">
        <w:t>Evidence of the abi</w:t>
      </w:r>
      <w:r w:rsidRPr="00CD42E1">
        <w:t>lity to complete tasks outlined in elements and performance criteria of this unit in the context of the job role, and:</w:t>
      </w:r>
    </w:p>
    <w:p w:rsidR="00000000" w:rsidRPr="00CD42E1" w:rsidP="00CD42E1">
      <w:pPr>
        <w:pStyle w:val="ListBullet"/>
      </w:pPr>
      <w:r w:rsidRPr="00CD42E1">
        <w:t>follow procedures for person-centred service delivery in line with the organisation’s quality system, including:</w:t>
      </w:r>
    </w:p>
    <w:p w:rsidR="00000000" w:rsidRPr="00CD42E1" w:rsidP="00CD42E1">
      <w:pPr>
        <w:pStyle w:val="ListBullet2"/>
      </w:pPr>
      <w:r w:rsidRPr="00CD42E1">
        <w:t>developing and impleme</w:t>
      </w:r>
      <w:r w:rsidRPr="00CD42E1">
        <w:t>nting at least three different person-centred service responses to meet the aspirations, needs, rights and preferences of people with disability, two in a simulated environment and one in the workplace</w:t>
      </w:r>
    </w:p>
    <w:p w:rsidR="00000000" w:rsidRPr="00CD42E1" w:rsidP="00CD42E1">
      <w:pPr>
        <w:pStyle w:val="ListBullet2"/>
      </w:pPr>
      <w:r w:rsidRPr="00CD42E1">
        <w:t>reviewing and monitoring at least three individual ser</w:t>
      </w:r>
      <w:r w:rsidRPr="00CD42E1">
        <w:t>vice responses, two in a simulated environment and one in the workplace, and making changes that:</w:t>
      </w:r>
    </w:p>
    <w:p w:rsidR="00000000" w:rsidRPr="00CD42E1" w:rsidP="00CD42E1">
      <w:pPr>
        <w:pStyle w:val="ListBullet3"/>
      </w:pPr>
      <w:r w:rsidRPr="00CD42E1">
        <w:t>are necessary to improve quality service delivery</w:t>
      </w:r>
    </w:p>
    <w:p w:rsidR="00000000" w:rsidRPr="00CD42E1" w:rsidP="00CD42E1">
      <w:pPr>
        <w:pStyle w:val="ListBullet3"/>
      </w:pPr>
      <w:r w:rsidRPr="00CD42E1">
        <w:t>met changing needs of the person</w:t>
      </w:r>
    </w:p>
    <w:p w:rsidR="00000000" w:rsidRPr="00CD42E1" w:rsidP="00CD42E1">
      <w:pPr>
        <w:pStyle w:val="ListBullet3"/>
      </w:pPr>
      <w:r w:rsidRPr="00CD42E1">
        <w:t>addressed barriers</w:t>
      </w:r>
    </w:p>
    <w:p w:rsidR="00000000" w:rsidRPr="00CD42E1" w:rsidP="00CD42E1">
      <w:pPr>
        <w:pStyle w:val="ListBullet3"/>
      </w:pPr>
      <w:r w:rsidRPr="00CD42E1">
        <w:t>responded to legislative changes.</w:t>
      </w:r>
    </w:p>
    <w:p w:rsidR="00000000" w:rsidRPr="00CD42E1" w:rsidP="00CD42E1">
      <w:pPr>
        <w:pStyle w:val="AllowPageBreak"/>
      </w:pPr>
    </w:p>
    <w:p w:rsidR="00000000" w:rsidRPr="00CD42E1" w:rsidP="00CD42E1">
      <w:pPr>
        <w:pStyle w:val="Heading1"/>
      </w:pPr>
      <w:bookmarkStart w:id="3" w:name="O_1224151"/>
      <w:bookmarkEnd w:id="3"/>
      <w:r w:rsidRPr="00CD42E1">
        <w:t>Knowledge Evidence</w:t>
      </w:r>
    </w:p>
    <w:p w:rsidR="00000000" w:rsidRPr="00CD42E1" w:rsidP="00FA4BCD">
      <w:pPr>
        <w:pStyle w:val="BodyText"/>
      </w:pPr>
      <w:r w:rsidRPr="00CD42E1">
        <w:t>Demonstrated knowledge required to complete the tasks outlined in elements and performance criteria of this unit:</w:t>
      </w:r>
    </w:p>
    <w:p w:rsidR="00000000" w:rsidRPr="00CD42E1" w:rsidP="00CD42E1">
      <w:pPr>
        <w:pStyle w:val="ListBullet"/>
      </w:pPr>
      <w:r w:rsidRPr="00CD42E1">
        <w:t>relevant networks and services in the broader community</w:t>
      </w:r>
    </w:p>
    <w:p w:rsidR="00000000" w:rsidRPr="00CD42E1" w:rsidP="00CD42E1">
      <w:pPr>
        <w:pStyle w:val="ListBullet"/>
      </w:pPr>
      <w:r w:rsidRPr="00CD42E1">
        <w:t>current best practice approaches for service delivery</w:t>
      </w:r>
    </w:p>
    <w:p w:rsidR="00000000" w:rsidRPr="00CD42E1" w:rsidP="00CD42E1">
      <w:pPr>
        <w:pStyle w:val="ListBullet"/>
      </w:pPr>
      <w:r w:rsidRPr="00CD42E1">
        <w:t>procedural a</w:t>
      </w:r>
      <w:r w:rsidRPr="00CD42E1">
        <w:t>nd legislative requirements for service delivery</w:t>
      </w:r>
    </w:p>
    <w:p w:rsidR="00000000" w:rsidRPr="00CD42E1" w:rsidP="00CD42E1">
      <w:pPr>
        <w:pStyle w:val="ListBullet"/>
      </w:pPr>
      <w:r w:rsidRPr="00CD42E1">
        <w:t>policy and budgetary frameworks for service delivery</w:t>
      </w:r>
    </w:p>
    <w:p w:rsidR="00000000" w:rsidRPr="00CD42E1" w:rsidP="00CD42E1">
      <w:pPr>
        <w:pStyle w:val="ListBullet"/>
      </w:pPr>
      <w:r w:rsidRPr="00CD42E1">
        <w:t>quality frameworks for service delivery as defined by state or territory requirements</w:t>
      </w:r>
    </w:p>
    <w:p w:rsidR="00000000" w:rsidRPr="00CD42E1" w:rsidP="00CD42E1">
      <w:pPr>
        <w:pStyle w:val="ListBullet"/>
      </w:pPr>
      <w:r w:rsidRPr="00CD42E1">
        <w:t>legal and ethical considerations for working with people with disabi</w:t>
      </w:r>
      <w:r w:rsidRPr="00CD42E1">
        <w:t>lity:</w:t>
      </w:r>
    </w:p>
    <w:p w:rsidR="00000000" w:rsidRPr="00CD42E1" w:rsidP="00CD42E1">
      <w:pPr>
        <w:pStyle w:val="ListBullet2"/>
      </w:pPr>
      <w:r w:rsidRPr="00CD42E1">
        <w:t>discrimination</w:t>
      </w:r>
    </w:p>
    <w:p w:rsidR="00000000" w:rsidRPr="00CD42E1" w:rsidP="00CD42E1">
      <w:pPr>
        <w:pStyle w:val="ListBullet2"/>
      </w:pPr>
      <w:r w:rsidRPr="00CD42E1">
        <w:t>dignity of risk</w:t>
      </w:r>
    </w:p>
    <w:p w:rsidR="00000000" w:rsidRPr="00CD42E1" w:rsidP="00CD42E1">
      <w:pPr>
        <w:pStyle w:val="ListBullet2"/>
      </w:pPr>
      <w:r w:rsidRPr="00CD42E1">
        <w:t>duty of care</w:t>
      </w:r>
    </w:p>
    <w:p w:rsidR="00000000" w:rsidRPr="00CD42E1" w:rsidP="00CD42E1">
      <w:pPr>
        <w:pStyle w:val="ListBullet2"/>
      </w:pPr>
      <w:r w:rsidRPr="00CD42E1">
        <w:t>human rights, including the United Nations Convention on the Rights of Persons with Disabilities (UNCRPD)</w:t>
      </w:r>
    </w:p>
    <w:p w:rsidR="00000000" w:rsidRPr="00CD42E1" w:rsidP="00CD42E1">
      <w:pPr>
        <w:pStyle w:val="ListBullet2"/>
      </w:pPr>
      <w:r w:rsidRPr="00CD42E1">
        <w:t>mandatory reporting</w:t>
      </w:r>
    </w:p>
    <w:p w:rsidR="00000000" w:rsidRPr="00CD42E1" w:rsidP="00CD42E1">
      <w:pPr>
        <w:pStyle w:val="ListBullet2"/>
      </w:pPr>
      <w:r w:rsidRPr="00CD42E1">
        <w:t>privacy, confidentiality and disclosure</w:t>
      </w:r>
    </w:p>
    <w:p w:rsidR="00000000" w:rsidRPr="00CD42E1" w:rsidP="00CD42E1">
      <w:pPr>
        <w:pStyle w:val="ListBullet2"/>
      </w:pPr>
      <w:r w:rsidRPr="00CD42E1">
        <w:t>work health and safety</w:t>
      </w:r>
    </w:p>
    <w:p w:rsidR="00000000" w:rsidRPr="00CD42E1" w:rsidP="00CD42E1">
      <w:pPr>
        <w:pStyle w:val="ListBullet"/>
      </w:pPr>
      <w:r w:rsidRPr="00CD42E1">
        <w:t>principles of:</w:t>
      </w:r>
    </w:p>
    <w:p w:rsidR="00000000" w:rsidRPr="00CD42E1" w:rsidP="00CD42E1">
      <w:pPr>
        <w:pStyle w:val="ListBullet2"/>
      </w:pPr>
      <w:r w:rsidRPr="00CD42E1">
        <w:t>empowerment</w:t>
      </w:r>
    </w:p>
    <w:p w:rsidR="00000000" w:rsidRPr="00CD42E1" w:rsidP="00CD42E1">
      <w:pPr>
        <w:pStyle w:val="ListBullet2"/>
      </w:pPr>
      <w:r w:rsidRPr="00CD42E1">
        <w:t>human rights-based approach</w:t>
      </w:r>
    </w:p>
    <w:p w:rsidR="00000000" w:rsidRPr="00CD42E1" w:rsidP="00CD42E1">
      <w:pPr>
        <w:pStyle w:val="ListBullet2"/>
      </w:pPr>
      <w:r w:rsidRPr="00CD42E1">
        <w:t>person-centred practice</w:t>
      </w:r>
    </w:p>
    <w:p w:rsidR="00000000" w:rsidRPr="00CD42E1" w:rsidP="00CD42E1">
      <w:pPr>
        <w:pStyle w:val="ListBullet2"/>
      </w:pPr>
      <w:r w:rsidRPr="00CD42E1">
        <w:t>strengths-based approach</w:t>
      </w:r>
    </w:p>
    <w:p w:rsidR="00000000" w:rsidRPr="00CD42E1" w:rsidP="00CD42E1">
      <w:pPr>
        <w:pStyle w:val="ListBullet2"/>
      </w:pPr>
      <w:r w:rsidRPr="00CD42E1">
        <w:t>access and equity</w:t>
      </w:r>
    </w:p>
    <w:p w:rsidR="00000000" w:rsidRPr="00CD42E1" w:rsidP="00CD42E1">
      <w:pPr>
        <w:pStyle w:val="ListBullet2"/>
      </w:pPr>
      <w:r w:rsidRPr="00CD42E1">
        <w:t>social and emotional wellbeing frameworks</w:t>
      </w:r>
    </w:p>
    <w:p w:rsidR="00000000" w:rsidRPr="00CD42E1" w:rsidP="00CD42E1">
      <w:pPr>
        <w:pStyle w:val="ListBullet"/>
      </w:pPr>
      <w:r w:rsidRPr="00CD42E1">
        <w:t>scope and breadth of assistive technologies used across the life domains, including but not limited to:</w:t>
      </w:r>
    </w:p>
    <w:p w:rsidR="00000000" w:rsidRPr="00CD42E1" w:rsidP="00CD42E1">
      <w:pPr>
        <w:pStyle w:val="ListBullet2"/>
      </w:pPr>
      <w:r w:rsidRPr="00CD42E1">
        <w:t>self-care</w:t>
      </w:r>
    </w:p>
    <w:p w:rsidR="00000000" w:rsidRPr="00CD42E1" w:rsidP="00CD42E1">
      <w:pPr>
        <w:pStyle w:val="ListBullet2"/>
      </w:pPr>
      <w:r w:rsidRPr="00CD42E1">
        <w:t>continence and hygiene</w:t>
      </w:r>
    </w:p>
    <w:p w:rsidR="00000000" w:rsidRPr="00CD42E1" w:rsidP="00CD42E1">
      <w:pPr>
        <w:pStyle w:val="ListBullet2"/>
      </w:pPr>
      <w:r w:rsidRPr="00CD42E1">
        <w:t>communication</w:t>
      </w:r>
    </w:p>
    <w:p w:rsidR="00000000" w:rsidRPr="00CD42E1" w:rsidP="00CD42E1">
      <w:pPr>
        <w:pStyle w:val="ListBullet2"/>
      </w:pPr>
      <w:r w:rsidRPr="00CD42E1">
        <w:t>mobility and transferring</w:t>
      </w:r>
    </w:p>
    <w:p w:rsidR="00000000" w:rsidRPr="00CD42E1" w:rsidP="00CD42E1">
      <w:pPr>
        <w:pStyle w:val="ListBullet2"/>
      </w:pPr>
      <w:r w:rsidRPr="00CD42E1">
        <w:t>cognition and memory loss</w:t>
      </w:r>
    </w:p>
    <w:p w:rsidR="00000000" w:rsidRPr="00CD42E1" w:rsidP="00CD42E1">
      <w:pPr>
        <w:pStyle w:val="ListBullet2"/>
      </w:pPr>
      <w:r w:rsidRPr="00CD42E1">
        <w:t>vision and hearing</w:t>
      </w:r>
    </w:p>
    <w:p w:rsidR="00000000" w:rsidRPr="00CD42E1" w:rsidP="00CD42E1">
      <w:pPr>
        <w:pStyle w:val="ListBullet2"/>
      </w:pPr>
      <w:r w:rsidRPr="00CD42E1">
        <w:t>daily living activities</w:t>
      </w:r>
    </w:p>
    <w:p w:rsidR="00000000" w:rsidRPr="00CD42E1" w:rsidP="00CD42E1">
      <w:pPr>
        <w:pStyle w:val="ListBullet2"/>
      </w:pPr>
      <w:r w:rsidRPr="00CD42E1">
        <w:t>recreation and leisure</w:t>
      </w:r>
    </w:p>
    <w:p w:rsidR="00000000" w:rsidRPr="00CD42E1" w:rsidP="00CD42E1">
      <w:pPr>
        <w:pStyle w:val="ListBullet2"/>
      </w:pPr>
      <w:r w:rsidRPr="00CD42E1">
        <w:t>education and employment</w:t>
      </w:r>
    </w:p>
    <w:p w:rsidR="00000000" w:rsidRPr="00CD42E1" w:rsidP="00CD42E1">
      <w:pPr>
        <w:pStyle w:val="ListBullet2"/>
      </w:pPr>
      <w:r w:rsidRPr="00CD42E1">
        <w:t>home and other environments</w:t>
      </w:r>
    </w:p>
    <w:p w:rsidR="00000000" w:rsidRPr="00CD42E1" w:rsidP="00CD42E1">
      <w:pPr>
        <w:pStyle w:val="ListBullet2"/>
      </w:pPr>
      <w:r w:rsidRPr="00CD42E1">
        <w:t>eating and drinking</w:t>
      </w:r>
    </w:p>
    <w:p w:rsidR="00000000" w:rsidRPr="00CD42E1" w:rsidP="00CD42E1">
      <w:pPr>
        <w:pStyle w:val="ListBullet2"/>
      </w:pPr>
      <w:r w:rsidRPr="00CD42E1">
        <w:t>pressure area management</w:t>
      </w:r>
    </w:p>
    <w:p w:rsidR="00000000" w:rsidRPr="00CD42E1" w:rsidP="00CD42E1">
      <w:pPr>
        <w:pStyle w:val="ListBullet2"/>
      </w:pPr>
      <w:r w:rsidRPr="00CD42E1">
        <w:t>carer support</w:t>
      </w:r>
    </w:p>
    <w:p w:rsidR="00000000" w:rsidRPr="00CD42E1" w:rsidP="00CD42E1">
      <w:pPr>
        <w:pStyle w:val="ListBullet"/>
      </w:pPr>
      <w:r w:rsidRPr="00CD42E1">
        <w:t>role of assistive technologies in supporting a person’s life activities:</w:t>
      </w:r>
    </w:p>
    <w:p w:rsidR="00000000" w:rsidRPr="00CD42E1" w:rsidP="00CD42E1">
      <w:pPr>
        <w:pStyle w:val="ListBullet2"/>
      </w:pPr>
      <w:r w:rsidRPr="00CD42E1">
        <w:t>maintaining and promoting independence</w:t>
      </w:r>
    </w:p>
    <w:p w:rsidR="00000000" w:rsidRPr="00CD42E1" w:rsidP="00CD42E1">
      <w:pPr>
        <w:pStyle w:val="ListBullet2"/>
      </w:pPr>
      <w:r w:rsidRPr="00CD42E1">
        <w:t>enabling inclusion and participation</w:t>
      </w:r>
    </w:p>
    <w:p w:rsidR="00000000" w:rsidRPr="00CD42E1" w:rsidP="00CD42E1">
      <w:pPr>
        <w:pStyle w:val="ListBullet"/>
      </w:pPr>
      <w:r w:rsidRPr="00CD42E1">
        <w:t>organisational policies and procedures for:</w:t>
      </w:r>
    </w:p>
    <w:p w:rsidR="00000000" w:rsidRPr="00CD42E1" w:rsidP="00CD42E1">
      <w:pPr>
        <w:pStyle w:val="ListBullet2"/>
      </w:pPr>
      <w:r w:rsidRPr="00CD42E1">
        <w:t>quality service delivery</w:t>
      </w:r>
    </w:p>
    <w:p w:rsidR="00000000" w:rsidRPr="00CD42E1" w:rsidP="00CD42E1">
      <w:pPr>
        <w:pStyle w:val="ListBullet2"/>
      </w:pPr>
      <w:r w:rsidRPr="00CD42E1">
        <w:t>reporting and documentation</w:t>
      </w:r>
    </w:p>
    <w:p w:rsidR="00000000" w:rsidRPr="00CD42E1" w:rsidP="00CD42E1">
      <w:pPr>
        <w:pStyle w:val="ListBullet2"/>
      </w:pPr>
      <w:r w:rsidRPr="00CD42E1">
        <w:t>reviewing policies and procedures.</w:t>
      </w:r>
    </w:p>
    <w:p w:rsidR="00000000" w:rsidRPr="00CD42E1" w:rsidP="00CD42E1">
      <w:pPr>
        <w:pStyle w:val="AllowPageBreak"/>
      </w:pPr>
    </w:p>
    <w:p w:rsidR="00000000" w:rsidRPr="00CD42E1" w:rsidP="00CD42E1">
      <w:pPr>
        <w:pStyle w:val="Heading1"/>
      </w:pPr>
      <w:bookmarkStart w:id="4" w:name="O_1224150"/>
      <w:bookmarkEnd w:id="4"/>
      <w:r w:rsidRPr="00CD42E1">
        <w:t>Assessment Conditions</w:t>
      </w:r>
    </w:p>
    <w:p w:rsidR="00000000" w:rsidRPr="00CD42E1" w:rsidP="00FA4BCD">
      <w:pPr>
        <w:pStyle w:val="BodyText"/>
      </w:pPr>
      <w:r w:rsidRPr="00CD42E1">
        <w:t>All aspects of the performance evidence must have been demonstrated using simulation prior to being demonstrated in the workpla</w:t>
      </w:r>
      <w:r w:rsidRPr="00CD42E1">
        <w:t>ce, as outlined in the performance evidence.</w:t>
      </w:r>
    </w:p>
    <w:p w:rsidR="00000000" w:rsidRPr="00CD42E1" w:rsidP="00FA4BCD">
      <w:pPr>
        <w:pStyle w:val="BodyText"/>
      </w:pPr>
      <w:r w:rsidRPr="00CD42E1">
        <w:t>Assessment must ensure access to:</w:t>
      </w:r>
    </w:p>
    <w:p w:rsidR="00000000" w:rsidRPr="00CD42E1" w:rsidP="00CD42E1">
      <w:pPr>
        <w:pStyle w:val="ListBullet"/>
      </w:pPr>
      <w:r w:rsidRPr="00CD42E1">
        <w:t xml:space="preserve">facilities, equipment and resources that reflect real working conditions and model industry operating conditions and contingencies </w:t>
      </w:r>
    </w:p>
    <w:p w:rsidR="00000000" w:rsidRPr="00CD42E1" w:rsidP="00CD42E1">
      <w:pPr>
        <w:pStyle w:val="ListBullet"/>
      </w:pPr>
      <w:r w:rsidRPr="00CD42E1">
        <w:t>individualised plans and equipment or resour</w:t>
      </w:r>
      <w:r w:rsidRPr="00CD42E1">
        <w:t>ces outlined in the plans</w:t>
      </w:r>
    </w:p>
    <w:p w:rsidR="00000000" w:rsidRPr="00CD42E1" w:rsidP="00CD42E1">
      <w:pPr>
        <w:pStyle w:val="ListBullet"/>
      </w:pPr>
      <w:r w:rsidRPr="00CD42E1">
        <w:t>organisational policies and procedures for:</w:t>
      </w:r>
    </w:p>
    <w:p w:rsidR="00000000" w:rsidRPr="00CD42E1" w:rsidP="00CD42E1">
      <w:pPr>
        <w:pStyle w:val="ListBullet2"/>
      </w:pPr>
      <w:r w:rsidRPr="00CD42E1">
        <w:t>development, implementation, monitoring and review of person-centred programs</w:t>
      </w:r>
    </w:p>
    <w:p w:rsidR="00000000" w:rsidRPr="00CD42E1" w:rsidP="00CD42E1">
      <w:pPr>
        <w:pStyle w:val="ListBullet"/>
      </w:pPr>
      <w:r w:rsidRPr="00CD42E1">
        <w:t>opportunities for engagement with people with disability.</w:t>
      </w:r>
    </w:p>
    <w:p w:rsidR="00000000" w:rsidRPr="00CD42E1" w:rsidP="00FA4BCD">
      <w:pPr>
        <w:pStyle w:val="BodyText"/>
      </w:pPr>
      <w:r w:rsidRPr="00CD42E1">
        <w:t>Assessors must satisfy the Standards for Registe</w:t>
      </w:r>
      <w:r w:rsidRPr="00CD42E1">
        <w:t>red Training Organisations’ requirements for assessors.</w:t>
      </w:r>
    </w:p>
    <w:p w:rsidR="00000000" w:rsidRPr="00CD42E1" w:rsidP="00CD42E1">
      <w:pPr>
        <w:pStyle w:val="Heading1"/>
      </w:pPr>
      <w:bookmarkStart w:id="5" w:name="O_1224148"/>
      <w:bookmarkEnd w:id="5"/>
      <w:r w:rsidRPr="00CD42E1">
        <w:t>Links</w:t>
      </w:r>
    </w:p>
    <w:p w:rsidR="00000000" w:rsidRPr="00CD42E1" w:rsidP="00FA4BCD">
      <w:pPr>
        <w:pStyle w:val="BodyText"/>
      </w:pPr>
      <w:r w:rsidRPr="00CD42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B238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D42E1" w:rsidP="00CD42E1"/>
    <w:sectPr w:rsidSect="00CD42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E1" w:rsidRPr="00FA4BCD" w:rsidP="00FA4B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CD" w:rsidP="00CD4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BCD" w:rsidP="00CD4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4BCD" w:rsidP="00CD4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2E1" w:rsidRPr="00FA4BCD" w:rsidP="00FA4B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CD" w:rsidRPr="002D2AF8" w:rsidP="00CD4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CHCDIS015 Develop and provide person-centred service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A4BCD" w:rsidP="00CD4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DEC3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1CD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481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2E1"/>
  </w:style>
  <w:style w:type="character" w:customStyle="1" w:styleId="Heading1Char">
    <w:name w:val="Heading 1 Char"/>
    <w:basedOn w:val="DefaultParagraphFont"/>
    <w:link w:val="Heading1"/>
    <w:rsid w:val="00CD4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2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2E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42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4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D42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D4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2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2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42E1"/>
    <w:rPr>
      <w:b/>
      <w:spacing w:val="0"/>
    </w:rPr>
  </w:style>
  <w:style w:type="paragraph" w:customStyle="1" w:styleId="SuperTitle">
    <w:name w:val="SuperTitle"/>
    <w:basedOn w:val="Title"/>
    <w:rsid w:val="00CD4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4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2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2E1"/>
    <w:rPr>
      <w:i/>
    </w:rPr>
  </w:style>
  <w:style w:type="paragraph" w:styleId="Caption">
    <w:name w:val="caption"/>
    <w:basedOn w:val="BodyText"/>
    <w:next w:val="Normal"/>
    <w:qFormat/>
    <w:rsid w:val="00CD4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2E1"/>
  </w:style>
  <w:style w:type="paragraph" w:styleId="TableofFigures">
    <w:name w:val="table of figures"/>
    <w:basedOn w:val="Normal"/>
    <w:next w:val="Normal"/>
    <w:semiHidden/>
    <w:rsid w:val="00CD4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2E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D42E1"/>
    <w:rPr>
      <w:rFonts w:ascii="Wingdings" w:hAnsi="Wingdings"/>
    </w:rPr>
  </w:style>
  <w:style w:type="paragraph" w:customStyle="1" w:styleId="TableHeading">
    <w:name w:val="Table Heading"/>
    <w:basedOn w:val="HeadingBase"/>
    <w:rsid w:val="00CD42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2E1"/>
    <w:rPr>
      <w:color w:val="0033CC"/>
      <w:u w:val="none"/>
    </w:rPr>
  </w:style>
  <w:style w:type="paragraph" w:customStyle="1" w:styleId="BodyTextRight">
    <w:name w:val="Body Text Right"/>
    <w:basedOn w:val="BodyText"/>
    <w:rsid w:val="00CD4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2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2E1"/>
    <w:rPr>
      <w:sz w:val="32"/>
    </w:rPr>
  </w:style>
  <w:style w:type="paragraph" w:customStyle="1" w:styleId="HeadingProcedure">
    <w:name w:val="Heading Procedure"/>
    <w:basedOn w:val="HeadingBase"/>
    <w:next w:val="Normal"/>
    <w:rsid w:val="00CD4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2E1"/>
    <w:pPr>
      <w:spacing w:before="60" w:after="60"/>
    </w:pPr>
  </w:style>
  <w:style w:type="paragraph" w:styleId="ListContinue">
    <w:name w:val="List Continue"/>
    <w:basedOn w:val="List"/>
    <w:rsid w:val="00CD42E1"/>
    <w:pPr>
      <w:ind w:firstLine="0"/>
    </w:pPr>
  </w:style>
  <w:style w:type="paragraph" w:customStyle="1" w:styleId="ListNote">
    <w:name w:val="List Note"/>
    <w:basedOn w:val="List"/>
    <w:rsid w:val="00CD4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2E1"/>
    <w:rPr>
      <w:rFonts w:ascii="Courier New" w:hAnsi="Courier New"/>
    </w:rPr>
  </w:style>
  <w:style w:type="paragraph" w:customStyle="1" w:styleId="NoteBullet">
    <w:name w:val="Note Bullet"/>
    <w:basedOn w:val="Note"/>
    <w:rsid w:val="00CD4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2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4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2E1"/>
    <w:rPr>
      <w:b/>
      <w:smallCaps/>
    </w:rPr>
  </w:style>
  <w:style w:type="paragraph" w:customStyle="1" w:styleId="TableListNumber">
    <w:name w:val="Table List Number"/>
    <w:basedOn w:val="ListNumber"/>
    <w:rsid w:val="00CD4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2E1"/>
    <w:pPr>
      <w:numPr>
        <w:numId w:val="10"/>
      </w:numPr>
    </w:pPr>
  </w:style>
  <w:style w:type="paragraph" w:customStyle="1" w:styleId="ListAlpha2">
    <w:name w:val="List Alpha 2"/>
    <w:basedOn w:val="List2"/>
    <w:rsid w:val="00CD42E1"/>
    <w:pPr>
      <w:numPr>
        <w:numId w:val="9"/>
      </w:numPr>
    </w:pPr>
  </w:style>
  <w:style w:type="paragraph" w:styleId="List2">
    <w:name w:val="List 2"/>
    <w:basedOn w:val="BodyText"/>
    <w:rsid w:val="00CD42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2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D42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D42E1"/>
    <w:pPr>
      <w:numPr>
        <w:numId w:val="5"/>
      </w:numPr>
    </w:pPr>
  </w:style>
  <w:style w:type="paragraph" w:styleId="ListContinue2">
    <w:name w:val="List Continue 2"/>
    <w:basedOn w:val="List2"/>
    <w:rsid w:val="00CD42E1"/>
    <w:pPr>
      <w:ind w:firstLine="0"/>
    </w:pPr>
  </w:style>
  <w:style w:type="paragraph" w:styleId="ListContinue3">
    <w:name w:val="List Continue 3"/>
    <w:basedOn w:val="List3"/>
    <w:rsid w:val="00CD42E1"/>
    <w:pPr>
      <w:ind w:left="1021" w:firstLine="0"/>
    </w:pPr>
  </w:style>
  <w:style w:type="paragraph" w:styleId="ListContinue4">
    <w:name w:val="List Continue 4"/>
    <w:basedOn w:val="List4"/>
    <w:rsid w:val="00CD42E1"/>
    <w:pPr>
      <w:ind w:firstLine="0"/>
    </w:pPr>
  </w:style>
  <w:style w:type="paragraph" w:styleId="ListContinue5">
    <w:name w:val="List Continue 5"/>
    <w:basedOn w:val="List5"/>
    <w:rsid w:val="00CD42E1"/>
    <w:pPr>
      <w:ind w:firstLine="0"/>
    </w:pPr>
  </w:style>
  <w:style w:type="paragraph" w:styleId="ListNumber3">
    <w:name w:val="List Number 3"/>
    <w:basedOn w:val="List3"/>
    <w:rsid w:val="00CD42E1"/>
    <w:pPr>
      <w:numPr>
        <w:numId w:val="6"/>
      </w:numPr>
    </w:pPr>
  </w:style>
  <w:style w:type="paragraph" w:styleId="ListNumber4">
    <w:name w:val="List Number 4"/>
    <w:basedOn w:val="List4"/>
    <w:rsid w:val="00CD42E1"/>
    <w:pPr>
      <w:numPr>
        <w:numId w:val="7"/>
      </w:numPr>
    </w:pPr>
  </w:style>
  <w:style w:type="paragraph" w:styleId="ListNumber5">
    <w:name w:val="List Number 5"/>
    <w:basedOn w:val="List5"/>
    <w:rsid w:val="00CD42E1"/>
    <w:pPr>
      <w:numPr>
        <w:numId w:val="8"/>
      </w:numPr>
    </w:pPr>
  </w:style>
  <w:style w:type="paragraph" w:styleId="BlockText">
    <w:name w:val="Block Text"/>
    <w:basedOn w:val="Normal"/>
    <w:rsid w:val="00CD4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2E1"/>
    <w:rPr>
      <w:sz w:val="16"/>
      <w:vertAlign w:val="superscript"/>
    </w:rPr>
  </w:style>
  <w:style w:type="character" w:customStyle="1" w:styleId="Symbols">
    <w:name w:val="Symbols"/>
    <w:basedOn w:val="DefaultParagraphFont"/>
    <w:rsid w:val="00CD42E1"/>
    <w:rPr>
      <w:rFonts w:ascii="Symbol" w:hAnsi="Symbol"/>
    </w:rPr>
  </w:style>
  <w:style w:type="character" w:customStyle="1" w:styleId="MenuOptions">
    <w:name w:val="Menu Options"/>
    <w:basedOn w:val="DefaultParagraphFont"/>
    <w:rsid w:val="00CD4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2E1"/>
    <w:rPr>
      <w:b/>
    </w:rPr>
  </w:style>
  <w:style w:type="character" w:customStyle="1" w:styleId="Underlined">
    <w:name w:val="Underlined"/>
    <w:basedOn w:val="DefaultParagraphFont"/>
    <w:rsid w:val="00CD42E1"/>
    <w:rPr>
      <w:u w:val="single"/>
    </w:rPr>
  </w:style>
  <w:style w:type="paragraph" w:customStyle="1" w:styleId="TableBodyTextRight">
    <w:name w:val="Table Body Text Right"/>
    <w:basedOn w:val="TableBodyText"/>
    <w:rsid w:val="00CD4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2E1"/>
    <w:rPr>
      <w:sz w:val="18"/>
    </w:rPr>
  </w:style>
  <w:style w:type="paragraph" w:customStyle="1" w:styleId="BodySmallRight">
    <w:name w:val="Body Small Right"/>
    <w:basedOn w:val="BodyTextRight"/>
    <w:rsid w:val="00CD42E1"/>
    <w:rPr>
      <w:sz w:val="18"/>
      <w:szCs w:val="18"/>
    </w:rPr>
  </w:style>
  <w:style w:type="paragraph" w:customStyle="1" w:styleId="MarginEdition">
    <w:name w:val="Margin Edition"/>
    <w:basedOn w:val="MarginNote"/>
    <w:rsid w:val="00CD4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2E1"/>
    <w:rPr>
      <w:sz w:val="2"/>
      <w:szCs w:val="2"/>
    </w:rPr>
  </w:style>
  <w:style w:type="character" w:customStyle="1" w:styleId="Small">
    <w:name w:val="Small"/>
    <w:basedOn w:val="DefaultParagraphFont"/>
    <w:rsid w:val="00CD42E1"/>
    <w:rPr>
      <w:sz w:val="16"/>
    </w:rPr>
  </w:style>
  <w:style w:type="paragraph" w:customStyle="1" w:styleId="WideTable">
    <w:name w:val="Wide Table"/>
    <w:basedOn w:val="Normal"/>
    <w:rsid w:val="00CD4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2E1"/>
  </w:style>
  <w:style w:type="paragraph" w:styleId="Quote">
    <w:name w:val="Quote"/>
    <w:basedOn w:val="Heading1"/>
    <w:link w:val="QuoteChar"/>
    <w:qFormat/>
    <w:rsid w:val="00CD4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2E1"/>
    <w:pPr>
      <w:pageBreakBefore/>
    </w:pPr>
  </w:style>
  <w:style w:type="paragraph" w:customStyle="1" w:styleId="Border">
    <w:name w:val="Border"/>
    <w:basedOn w:val="Normal"/>
    <w:qFormat/>
    <w:rsid w:val="00CD4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2E1"/>
    <w:rPr>
      <w:u w:val="single"/>
    </w:rPr>
  </w:style>
  <w:style w:type="character" w:customStyle="1" w:styleId="BoldandItalics">
    <w:name w:val="Bold and Italics"/>
    <w:qFormat/>
    <w:rsid w:val="00CD42E1"/>
    <w:rPr>
      <w:b/>
      <w:i/>
      <w:u w:val="none"/>
    </w:rPr>
  </w:style>
  <w:style w:type="paragraph" w:styleId="BalloonText">
    <w:name w:val="Balloon Text"/>
    <w:basedOn w:val="Normal"/>
    <w:link w:val="BalloonTextChar"/>
    <w:rsid w:val="00CD4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2E1"/>
    <w:pPr>
      <w:spacing w:before="0" w:after="0"/>
    </w:pPr>
  </w:style>
  <w:style w:type="paragraph" w:customStyle="1" w:styleId="BodyTextBold">
    <w:name w:val="Body Text Bold"/>
    <w:basedOn w:val="BodyText"/>
    <w:qFormat/>
    <w:rsid w:val="00CD42E1"/>
    <w:rPr>
      <w:b/>
    </w:rPr>
  </w:style>
  <w:style w:type="character" w:styleId="Hyperlink">
    <w:name w:val="Hyperlink"/>
    <w:basedOn w:val="DefaultParagraphFont"/>
    <w:uiPriority w:val="99"/>
    <w:unhideWhenUsed/>
    <w:rsid w:val="00FA4B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3169</Characters>
  <Application>Microsoft Office Word</Application>
  <DocSecurity>0</DocSecurity>
  <Lines>93</Lines>
  <Paragraphs>78</Paragraphs>
  <ScaleCrop>false</ScaleCrop>
  <Company>Author-it Software Corporation Ltd.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CHCDIS015 Develop and provide person-centred service responses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2023-07-01T03:00:00Z</dcterms:created>
  <dcterms:modified xsi:type="dcterms:W3CDTF">2023-07-01T03:00:00Z</dcterms:modified>
</cp:coreProperties>
</file>