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979" w:rsidP="00737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CHCDFV013 Manage domestic and family violence screening and risk assessment processes</w:t>
      </w:r>
      <w:r>
        <w:fldChar w:fldCharType="end"/>
      </w:r>
    </w:p>
    <w:p w:rsidR="00737979" w:rsidP="00737979">
      <w:pPr>
        <w:pStyle w:val="Version"/>
        <w:sectPr w:rsidSect="00161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B0E" w:rsidP="00161B0E">
      <w:pPr>
        <w:pStyle w:val="SuperHeading"/>
      </w:pPr>
      <w:r w:rsidRPr="00161B0E">
        <w:t>Assessment Requirements for CHCDFV013 Manage domestic and family violence screening and risk assessment processes</w:t>
      </w:r>
    </w:p>
    <w:p w:rsidR="00000000" w:rsidRPr="00161B0E" w:rsidP="00161B0E">
      <w:pPr>
        <w:pStyle w:val="Heading1"/>
      </w:pPr>
      <w:bookmarkStart w:id="1" w:name="O_812546"/>
      <w:bookmarkEnd w:id="1"/>
      <w:r w:rsidRPr="00161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61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B0E" w:rsidP="00161B0E">
            <w:pPr>
              <w:pStyle w:val="BodyText"/>
            </w:pPr>
            <w:r w:rsidRPr="00161B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B0E">
            <w:pPr>
              <w:pStyle w:val="BodyText"/>
              <w:rPr>
                <w:lang w:val="en-NZ"/>
              </w:rPr>
            </w:pPr>
            <w:r w:rsidRPr="00161B0E">
              <w:rPr>
                <w:rStyle w:val="SpecialBold"/>
              </w:rPr>
              <w:t>Comments</w:t>
            </w:r>
          </w:p>
        </w:tc>
      </w:tr>
      <w:tr w:rsidTr="00161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B0E">
            <w:pPr>
              <w:pStyle w:val="BodyText"/>
              <w:rPr>
                <w:lang w:val="en-NZ"/>
              </w:rPr>
            </w:pPr>
            <w:r w:rsidRPr="00161B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B0E" w:rsidP="00161B0E">
            <w:pPr>
              <w:pStyle w:val="BodyText"/>
            </w:pPr>
            <w:r w:rsidRPr="00161B0E">
              <w:t xml:space="preserve">This version was released in </w:t>
            </w:r>
            <w:r w:rsidRPr="00161B0E">
              <w:rPr>
                <w:rStyle w:val="Emphasis"/>
              </w:rPr>
              <w:t>CHC Community Services Tra</w:t>
            </w:r>
            <w:r w:rsidRPr="00161B0E">
              <w:rPr>
                <w:rStyle w:val="Emphasis"/>
              </w:rPr>
              <w:t>ining Package release 3.0</w:t>
            </w:r>
            <w:r w:rsidRPr="00161B0E">
              <w:t xml:space="preserve"> and meets the requirements of the 2012 Standards for Training Packages.</w:t>
            </w:r>
          </w:p>
          <w:p w:rsidR="00000000" w:rsidRPr="00161B0E" w:rsidP="00161B0E">
            <w:pPr>
              <w:pStyle w:val="BodyText"/>
            </w:pPr>
          </w:p>
          <w:p w:rsidR="00000000" w:rsidRPr="00161B0E" w:rsidP="00161B0E">
            <w:pPr>
              <w:pStyle w:val="BodyText"/>
            </w:pPr>
            <w:r w:rsidRPr="00161B0E">
              <w:t>Minimal changes to the elements and performance criteria. New evidence requirements for assessment including volume and frequency requirements. Significant c</w:t>
            </w:r>
            <w:r w:rsidRPr="00161B0E">
              <w:t>hanges to knowledge evidence.</w:t>
            </w:r>
          </w:p>
          <w:p w:rsidR="00000000" w:rsidRPr="00161B0E" w:rsidP="00161B0E">
            <w:pPr>
              <w:pStyle w:val="BodyText"/>
            </w:pPr>
          </w:p>
          <w:p w:rsidR="00000000" w:rsidRPr="00161B0E" w:rsidP="00161B0E">
            <w:pPr>
              <w:pStyle w:val="BodyText"/>
            </w:pPr>
            <w:r w:rsidRPr="00161B0E">
              <w:t>Supersedes CHCDFV817B</w:t>
            </w:r>
          </w:p>
        </w:tc>
      </w:tr>
    </w:tbl>
    <w:p w:rsidR="00000000" w:rsidRPr="00161B0E" w:rsidP="00161B0E">
      <w:pPr>
        <w:pStyle w:val="BodyText"/>
      </w:pPr>
    </w:p>
    <w:p w:rsidR="00000000" w:rsidRPr="00161B0E" w:rsidP="00161B0E">
      <w:pPr>
        <w:pStyle w:val="AllowPageBreak"/>
      </w:pPr>
    </w:p>
    <w:p w:rsidR="00000000" w:rsidRPr="00161B0E" w:rsidP="00161B0E">
      <w:pPr>
        <w:pStyle w:val="Heading1"/>
      </w:pPr>
      <w:bookmarkStart w:id="2" w:name="O_812547"/>
      <w:bookmarkEnd w:id="2"/>
      <w:r w:rsidRPr="00161B0E">
        <w:t>Performance Evidence</w:t>
      </w:r>
    </w:p>
    <w:p w:rsidR="00000000" w:rsidRPr="00161B0E" w:rsidP="00737979">
      <w:pPr>
        <w:pStyle w:val="BodyText"/>
      </w:pPr>
      <w:r w:rsidRPr="00161B0E">
        <w:t>The candidate must show evidence of the ability to complete tasks outlined in elements and performance criteria of this unit, manage tasks and manage contingencies</w:t>
      </w:r>
      <w:r w:rsidRPr="00161B0E">
        <w:t xml:space="preserve"> in the context of the job role. There must be evidence that the candidate has:</w:t>
      </w:r>
    </w:p>
    <w:p w:rsidR="00000000" w:rsidRPr="00161B0E" w:rsidP="00161B0E">
      <w:pPr>
        <w:pStyle w:val="ListBullet"/>
      </w:pPr>
      <w:r w:rsidRPr="00161B0E">
        <w:t>used critical thinking, analysis, collaboration and writing skills to develop, document and review domestic and family violence risk assessment processes for at least 1 organi</w:t>
      </w:r>
      <w:r w:rsidRPr="00161B0E">
        <w:t>sation, that include:</w:t>
      </w:r>
    </w:p>
    <w:p w:rsidR="00000000" w:rsidRPr="00161B0E" w:rsidP="00161B0E">
      <w:pPr>
        <w:pStyle w:val="ListBullet2"/>
      </w:pPr>
      <w:r w:rsidRPr="00161B0E">
        <w:t>safety as the priority focus</w:t>
      </w:r>
    </w:p>
    <w:p w:rsidR="00000000" w:rsidRPr="00161B0E" w:rsidP="00161B0E">
      <w:pPr>
        <w:pStyle w:val="ListBullet2"/>
      </w:pPr>
      <w:r w:rsidRPr="00161B0E">
        <w:t>documented analysis of factors affecting process development</w:t>
      </w:r>
    </w:p>
    <w:p w:rsidR="00000000" w:rsidRPr="00161B0E" w:rsidP="00161B0E">
      <w:pPr>
        <w:pStyle w:val="ListBullet2"/>
      </w:pPr>
      <w:r w:rsidRPr="00161B0E">
        <w:t>procedures and processes that support consistency within the organisation, including assessment tools</w:t>
      </w:r>
    </w:p>
    <w:p w:rsidR="00000000" w:rsidRPr="00161B0E" w:rsidP="00161B0E">
      <w:pPr>
        <w:pStyle w:val="ListBullet2"/>
      </w:pPr>
      <w:r w:rsidRPr="00161B0E">
        <w:t>processes and strategies for collaborative evaluation and modification.</w:t>
      </w:r>
    </w:p>
    <w:p w:rsidR="00000000" w:rsidRPr="00161B0E" w:rsidP="00161B0E">
      <w:pPr>
        <w:pStyle w:val="AllowPageBreak"/>
      </w:pPr>
    </w:p>
    <w:p w:rsidR="00000000" w:rsidRPr="00161B0E" w:rsidP="00161B0E">
      <w:pPr>
        <w:pStyle w:val="Heading1"/>
      </w:pPr>
      <w:bookmarkStart w:id="3" w:name="O_812548"/>
      <w:bookmarkEnd w:id="3"/>
      <w:r w:rsidRPr="00161B0E">
        <w:t>Knowledge Evidence</w:t>
      </w:r>
    </w:p>
    <w:p w:rsidR="00000000" w:rsidRPr="00161B0E" w:rsidP="00737979">
      <w:pPr>
        <w:pStyle w:val="BodyText"/>
      </w:pPr>
      <w:r w:rsidRPr="00161B0E">
        <w:t>The candidate must be able to demonstrate essential knowledge required to effectively complete tasks outlined in elements and performance criteria o</w:t>
      </w:r>
      <w:r w:rsidRPr="00161B0E">
        <w:t>f this unit, manage tasks and manage contingencies in the context of the work role. This includes knowledge of:</w:t>
      </w:r>
    </w:p>
    <w:p w:rsidR="00000000" w:rsidRPr="00161B0E" w:rsidP="00161B0E">
      <w:pPr>
        <w:pStyle w:val="ListBullet"/>
      </w:pPr>
      <w:r w:rsidRPr="00161B0E">
        <w:t>legal and ethical considerations for the domestic and family violence work, and how these are applied in organisations and individual practice:</w:t>
      </w:r>
    </w:p>
    <w:p w:rsidR="00000000" w:rsidRPr="00161B0E" w:rsidP="00161B0E">
      <w:pPr>
        <w:pStyle w:val="ListBullet2"/>
      </w:pPr>
      <w:r w:rsidRPr="00161B0E">
        <w:t>children in the workplace and child-focused practice</w:t>
      </w:r>
    </w:p>
    <w:p w:rsidR="00000000" w:rsidRPr="00161B0E" w:rsidP="00161B0E">
      <w:pPr>
        <w:pStyle w:val="ListBullet2"/>
      </w:pPr>
      <w:r w:rsidRPr="00161B0E">
        <w:t xml:space="preserve">codes of conduct </w:t>
      </w:r>
    </w:p>
    <w:p w:rsidR="00000000" w:rsidRPr="00161B0E" w:rsidP="00161B0E">
      <w:pPr>
        <w:pStyle w:val="ListBullet2"/>
      </w:pPr>
      <w:r w:rsidRPr="00161B0E">
        <w:t>discrimination</w:t>
      </w:r>
    </w:p>
    <w:p w:rsidR="00000000" w:rsidRPr="00161B0E" w:rsidP="00161B0E">
      <w:pPr>
        <w:pStyle w:val="ListBullet2"/>
      </w:pPr>
      <w:r w:rsidRPr="00161B0E">
        <w:t xml:space="preserve">duty of care </w:t>
      </w:r>
    </w:p>
    <w:p w:rsidR="00000000" w:rsidRPr="00161B0E" w:rsidP="00161B0E">
      <w:pPr>
        <w:pStyle w:val="ListBullet2"/>
      </w:pPr>
      <w:r w:rsidRPr="00161B0E">
        <w:t xml:space="preserve">human rights </w:t>
      </w:r>
    </w:p>
    <w:p w:rsidR="00000000" w:rsidRPr="00161B0E" w:rsidP="00161B0E">
      <w:pPr>
        <w:pStyle w:val="ListBullet2"/>
      </w:pPr>
      <w:r w:rsidRPr="00161B0E">
        <w:t xml:space="preserve">mandatory reporting </w:t>
      </w:r>
    </w:p>
    <w:p w:rsidR="00000000" w:rsidRPr="00161B0E" w:rsidP="00161B0E">
      <w:pPr>
        <w:pStyle w:val="ListBullet2"/>
      </w:pPr>
      <w:r w:rsidRPr="00161B0E">
        <w:t xml:space="preserve">practitioner/client boundaries </w:t>
      </w:r>
    </w:p>
    <w:p w:rsidR="00000000" w:rsidRPr="00161B0E" w:rsidP="00161B0E">
      <w:pPr>
        <w:pStyle w:val="ListBullet2"/>
      </w:pPr>
      <w:r w:rsidRPr="00161B0E">
        <w:t>privacy, confidentiality and disclosure, including limited confidentiality rationale and processes</w:t>
      </w:r>
    </w:p>
    <w:p w:rsidR="00000000" w:rsidRPr="00161B0E" w:rsidP="00161B0E">
      <w:pPr>
        <w:pStyle w:val="ListBullet2"/>
      </w:pPr>
      <w:r w:rsidRPr="00161B0E">
        <w:t xml:space="preserve">policy frameworks </w:t>
      </w:r>
    </w:p>
    <w:p w:rsidR="00000000" w:rsidRPr="00161B0E" w:rsidP="00161B0E">
      <w:pPr>
        <w:pStyle w:val="ListBullet2"/>
      </w:pPr>
      <w:r w:rsidRPr="00161B0E">
        <w:t xml:space="preserve">records management </w:t>
      </w:r>
    </w:p>
    <w:p w:rsidR="00000000" w:rsidRPr="00161B0E" w:rsidP="00161B0E">
      <w:pPr>
        <w:pStyle w:val="ListBullet2"/>
      </w:pPr>
      <w:r w:rsidRPr="00161B0E">
        <w:t>rights and responsibilities of workers, employers and clients</w:t>
      </w:r>
    </w:p>
    <w:p w:rsidR="00000000" w:rsidRPr="00161B0E" w:rsidP="00161B0E">
      <w:pPr>
        <w:pStyle w:val="ListBullet2"/>
      </w:pPr>
      <w:r w:rsidRPr="00161B0E">
        <w:t>specific legislative frameworks that apply to domestic a</w:t>
      </w:r>
      <w:r w:rsidRPr="00161B0E">
        <w:t>nd family violence work strategies, including:</w:t>
      </w:r>
    </w:p>
    <w:p w:rsidR="00000000" w:rsidRPr="00161B0E" w:rsidP="00161B0E">
      <w:pPr>
        <w:pStyle w:val="ListBullet3"/>
      </w:pPr>
      <w:r w:rsidRPr="00161B0E">
        <w:t>child protection</w:t>
      </w:r>
    </w:p>
    <w:p w:rsidR="00000000" w:rsidRPr="00161B0E" w:rsidP="00161B0E">
      <w:pPr>
        <w:pStyle w:val="ListBullet3"/>
      </w:pPr>
      <w:r w:rsidRPr="00161B0E">
        <w:t>family law</w:t>
      </w:r>
    </w:p>
    <w:p w:rsidR="00000000" w:rsidRPr="00161B0E" w:rsidP="00161B0E">
      <w:pPr>
        <w:pStyle w:val="ListBullet3"/>
      </w:pPr>
      <w:r w:rsidRPr="00161B0E">
        <w:t>domestic and family violence</w:t>
      </w:r>
    </w:p>
    <w:p w:rsidR="00000000" w:rsidRPr="00161B0E" w:rsidP="00161B0E">
      <w:pPr>
        <w:pStyle w:val="ListBullet2"/>
      </w:pPr>
      <w:r w:rsidRPr="00161B0E">
        <w:t>work role boundaries – responsibilities and limitations</w:t>
      </w:r>
    </w:p>
    <w:p w:rsidR="00000000" w:rsidRPr="00161B0E" w:rsidP="00161B0E">
      <w:pPr>
        <w:pStyle w:val="ListBullet2"/>
      </w:pPr>
      <w:r w:rsidRPr="00161B0E">
        <w:t>work health and safety</w:t>
      </w:r>
    </w:p>
    <w:p w:rsidR="00000000" w:rsidRPr="00161B0E" w:rsidP="00161B0E">
      <w:pPr>
        <w:pStyle w:val="ListBullet"/>
      </w:pPr>
      <w:r w:rsidRPr="00161B0E">
        <w:t>domestic violence and its context, including:</w:t>
      </w:r>
    </w:p>
    <w:p w:rsidR="00000000" w:rsidRPr="00161B0E" w:rsidP="00161B0E">
      <w:pPr>
        <w:pStyle w:val="ListBullet2"/>
      </w:pPr>
      <w:r w:rsidRPr="00161B0E">
        <w:t>social, historical, political and economic context of domestic violence, including types and nature of domestic violence, power and gender issues, child abuse and associated criminal issues</w:t>
      </w:r>
    </w:p>
    <w:p w:rsidR="00000000" w:rsidRPr="00161B0E" w:rsidP="00161B0E">
      <w:pPr>
        <w:pStyle w:val="ListBullet2"/>
      </w:pPr>
      <w:r w:rsidRPr="00161B0E">
        <w:t>prevalence of myths, unhelpful beliefs, attitudes and practices in</w:t>
      </w:r>
      <w:r w:rsidRPr="00161B0E">
        <w:t xml:space="preserve"> the broader society regarding domestic violence and their effects on individuals’ rights to safety and autonomy</w:t>
      </w:r>
    </w:p>
    <w:p w:rsidR="00000000" w:rsidRPr="00161B0E" w:rsidP="00161B0E">
      <w:pPr>
        <w:pStyle w:val="ListBullet"/>
      </w:pPr>
      <w:r w:rsidRPr="00161B0E">
        <w:t xml:space="preserve">current and emerging domestic and family violence theory and practice </w:t>
      </w:r>
    </w:p>
    <w:p w:rsidR="00000000" w:rsidRPr="00161B0E" w:rsidP="00161B0E">
      <w:pPr>
        <w:pStyle w:val="ListBullet"/>
      </w:pPr>
      <w:r w:rsidRPr="00161B0E">
        <w:t>key areas of diversity within client groups, how these may give rise to</w:t>
      </w:r>
      <w:r w:rsidRPr="00161B0E">
        <w:t xml:space="preserve"> particular risks and ways to respond in systemic ways:</w:t>
      </w:r>
    </w:p>
    <w:p w:rsidR="00000000" w:rsidRPr="00161B0E" w:rsidP="00161B0E">
      <w:pPr>
        <w:pStyle w:val="ListBullet2"/>
      </w:pPr>
      <w:r w:rsidRPr="00161B0E">
        <w:t>culture, race, ethnicity</w:t>
      </w:r>
    </w:p>
    <w:p w:rsidR="00000000" w:rsidRPr="00161B0E" w:rsidP="00161B0E">
      <w:pPr>
        <w:pStyle w:val="ListBullet2"/>
      </w:pPr>
      <w:r w:rsidRPr="00161B0E">
        <w:t>disability</w:t>
      </w:r>
    </w:p>
    <w:p w:rsidR="00000000" w:rsidRPr="00161B0E" w:rsidP="00161B0E">
      <w:pPr>
        <w:pStyle w:val="ListBullet2"/>
      </w:pPr>
      <w:r w:rsidRPr="00161B0E">
        <w:t>religious or spiritual beliefs</w:t>
      </w:r>
    </w:p>
    <w:p w:rsidR="00000000" w:rsidRPr="00161B0E" w:rsidP="00161B0E">
      <w:pPr>
        <w:pStyle w:val="ListBullet2"/>
      </w:pPr>
      <w:r w:rsidRPr="00161B0E">
        <w:t>gender, including transgender and intersex</w:t>
      </w:r>
    </w:p>
    <w:p w:rsidR="00000000" w:rsidRPr="00161B0E" w:rsidP="00161B0E">
      <w:pPr>
        <w:pStyle w:val="ListBullet2"/>
      </w:pPr>
      <w:r w:rsidRPr="00161B0E">
        <w:t>generational</w:t>
      </w:r>
    </w:p>
    <w:p w:rsidR="00000000" w:rsidRPr="00161B0E" w:rsidP="00161B0E">
      <w:pPr>
        <w:pStyle w:val="ListBullet2"/>
      </w:pPr>
      <w:r w:rsidRPr="00161B0E">
        <w:t xml:space="preserve">sexual identity </w:t>
      </w:r>
    </w:p>
    <w:p w:rsidR="00000000" w:rsidRPr="00161B0E" w:rsidP="00161B0E">
      <w:pPr>
        <w:pStyle w:val="ListBullet"/>
      </w:pPr>
      <w:r w:rsidRPr="00161B0E">
        <w:t>impacts and risk factors associated with:</w:t>
      </w:r>
    </w:p>
    <w:p w:rsidR="00000000" w:rsidRPr="00161B0E" w:rsidP="00161B0E">
      <w:pPr>
        <w:pStyle w:val="ListBullet2"/>
      </w:pPr>
      <w:r w:rsidRPr="00161B0E">
        <w:t>alcohol and oth</w:t>
      </w:r>
      <w:r w:rsidRPr="00161B0E">
        <w:t>er drugs abuse</w:t>
      </w:r>
    </w:p>
    <w:p w:rsidR="00000000" w:rsidRPr="00161B0E" w:rsidP="00161B0E">
      <w:pPr>
        <w:pStyle w:val="ListBullet2"/>
      </w:pPr>
      <w:r w:rsidRPr="00161B0E">
        <w:t>mental health issues</w:t>
      </w:r>
    </w:p>
    <w:p w:rsidR="00000000" w:rsidRPr="00161B0E" w:rsidP="00161B0E">
      <w:pPr>
        <w:pStyle w:val="ListBullet2"/>
      </w:pPr>
      <w:r w:rsidRPr="00161B0E">
        <w:t>problem gambling</w:t>
      </w:r>
    </w:p>
    <w:p w:rsidR="00000000" w:rsidRPr="00161B0E" w:rsidP="00161B0E">
      <w:pPr>
        <w:pStyle w:val="ListBullet2"/>
      </w:pPr>
      <w:r w:rsidRPr="00161B0E">
        <w:t>trauma</w:t>
      </w:r>
    </w:p>
    <w:p w:rsidR="00000000" w:rsidRPr="00161B0E" w:rsidP="00161B0E">
      <w:pPr>
        <w:pStyle w:val="ListBullet"/>
      </w:pPr>
      <w:r w:rsidRPr="00161B0E">
        <w:t>theories, principles and practices of:</w:t>
      </w:r>
    </w:p>
    <w:p w:rsidR="00000000" w:rsidRPr="00161B0E" w:rsidP="00161B0E">
      <w:pPr>
        <w:pStyle w:val="ListBullet2"/>
      </w:pPr>
      <w:r w:rsidRPr="00161B0E">
        <w:t xml:space="preserve">risk management </w:t>
      </w:r>
    </w:p>
    <w:p w:rsidR="00000000" w:rsidRPr="00161B0E" w:rsidP="00161B0E">
      <w:pPr>
        <w:pStyle w:val="ListBullet2"/>
      </w:pPr>
      <w:r w:rsidRPr="00161B0E">
        <w:t>strategic and operational planning and evaluation</w:t>
      </w:r>
    </w:p>
    <w:p w:rsidR="00000000" w:rsidRPr="00161B0E" w:rsidP="00161B0E">
      <w:pPr>
        <w:pStyle w:val="ListBullet2"/>
      </w:pPr>
      <w:r w:rsidRPr="00161B0E">
        <w:t>work organisation</w:t>
      </w:r>
    </w:p>
    <w:p w:rsidR="00000000" w:rsidRPr="00161B0E" w:rsidP="00161B0E">
      <w:pPr>
        <w:pStyle w:val="ListBullet2"/>
      </w:pPr>
      <w:r w:rsidRPr="00161B0E">
        <w:t xml:space="preserve">resource management </w:t>
      </w:r>
    </w:p>
    <w:p w:rsidR="00000000" w:rsidRPr="00161B0E" w:rsidP="00161B0E">
      <w:pPr>
        <w:pStyle w:val="ListBullet"/>
      </w:pPr>
      <w:r w:rsidRPr="00161B0E">
        <w:t>referral sources and associated protocols</w:t>
      </w:r>
    </w:p>
    <w:p w:rsidR="00000000" w:rsidRPr="00161B0E" w:rsidP="00161B0E">
      <w:pPr>
        <w:pStyle w:val="ListBullet"/>
      </w:pPr>
      <w:r w:rsidRPr="00161B0E">
        <w:t>own values and attitudes and their potential impact on clients.</w:t>
      </w:r>
    </w:p>
    <w:p w:rsidR="00000000" w:rsidRPr="00161B0E" w:rsidP="00161B0E">
      <w:pPr>
        <w:pStyle w:val="AllowPageBreak"/>
      </w:pPr>
    </w:p>
    <w:p w:rsidR="00000000" w:rsidRPr="00161B0E" w:rsidP="00161B0E">
      <w:pPr>
        <w:pStyle w:val="Heading1"/>
      </w:pPr>
      <w:bookmarkStart w:id="4" w:name="O_812549"/>
      <w:bookmarkEnd w:id="4"/>
      <w:r w:rsidRPr="00161B0E">
        <w:t>Assessment Conditions</w:t>
      </w:r>
    </w:p>
    <w:p w:rsidR="00000000" w:rsidRPr="00161B0E" w:rsidP="00737979">
      <w:pPr>
        <w:pStyle w:val="BodyText"/>
      </w:pPr>
      <w:r w:rsidRPr="00161B0E">
        <w:t>Skills must have been demonstrated in the workplace or in a simulated environment that reflects workplace conditions. The following conditions must be me</w:t>
      </w:r>
      <w:r w:rsidRPr="00161B0E">
        <w:t xml:space="preserve">t for this unit: </w:t>
      </w:r>
    </w:p>
    <w:p w:rsidR="00000000" w:rsidRPr="00161B0E" w:rsidP="00161B0E">
      <w:pPr>
        <w:pStyle w:val="ListBullet"/>
      </w:pPr>
      <w:r w:rsidRPr="00161B0E">
        <w:t>use of suitable facilities, equipment and resources, including:</w:t>
      </w:r>
    </w:p>
    <w:p w:rsidR="00000000" w:rsidRPr="00161B0E" w:rsidP="00161B0E">
      <w:pPr>
        <w:pStyle w:val="ListBullet2"/>
      </w:pPr>
      <w:r w:rsidRPr="00161B0E">
        <w:t>sources of research and best practice models for domestic and family violence work</w:t>
      </w:r>
    </w:p>
    <w:p w:rsidR="00000000" w:rsidRPr="00161B0E" w:rsidP="00161B0E">
      <w:pPr>
        <w:pStyle w:val="ListBullet2"/>
      </w:pPr>
      <w:r w:rsidRPr="00161B0E">
        <w:t>organisation policies and procedures</w:t>
      </w:r>
    </w:p>
    <w:p w:rsidR="00000000" w:rsidRPr="00161B0E" w:rsidP="00161B0E">
      <w:pPr>
        <w:pStyle w:val="ListBullet"/>
      </w:pPr>
      <w:r w:rsidRPr="00161B0E">
        <w:t>modelling of industry operating conditions, includi</w:t>
      </w:r>
      <w:r w:rsidRPr="00161B0E">
        <w:t xml:space="preserve">ng: </w:t>
      </w:r>
    </w:p>
    <w:p w:rsidR="00000000" w:rsidRPr="00161B0E" w:rsidP="00161B0E">
      <w:pPr>
        <w:pStyle w:val="ListBullet2"/>
      </w:pPr>
      <w:r w:rsidRPr="00161B0E">
        <w:t>scenarios that involve complex problem solving.</w:t>
      </w:r>
    </w:p>
    <w:p w:rsidR="00000000" w:rsidRPr="00161B0E" w:rsidP="00161B0E">
      <w:pPr>
        <w:pStyle w:val="BodyText"/>
      </w:pPr>
    </w:p>
    <w:p w:rsidR="00000000" w:rsidRPr="00161B0E" w:rsidP="00737979">
      <w:pPr>
        <w:pStyle w:val="BodyText"/>
      </w:pPr>
      <w:r w:rsidRPr="00161B0E">
        <w:t>Assessors must satisfy the Standards for Registered Training Organisations (RTOs) 2015/AQTF mandatory competency requirements for assessors.</w:t>
      </w:r>
    </w:p>
    <w:p w:rsidR="00000000" w:rsidRPr="00161B0E" w:rsidP="00161B0E">
      <w:pPr>
        <w:pStyle w:val="Heading1"/>
      </w:pPr>
      <w:bookmarkStart w:id="5" w:name="O_812552"/>
      <w:bookmarkEnd w:id="5"/>
      <w:r w:rsidRPr="00161B0E">
        <w:t>Links</w:t>
      </w:r>
    </w:p>
    <w:p w:rsidR="00000000" w:rsidRPr="00161B0E" w:rsidP="00737979">
      <w:pPr>
        <w:pStyle w:val="BodyText"/>
      </w:pPr>
      <w:r w:rsidRPr="00161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741A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61B0E" w:rsidP="00161B0E"/>
    <w:sectPr w:rsidSect="00161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0E" w:rsidRPr="00737979" w:rsidP="00737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79" w:rsidP="00161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979" w:rsidP="00161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7979" w:rsidP="00161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B0E" w:rsidRPr="00737979" w:rsidP="00737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79" w:rsidRPr="002D2AF8" w:rsidP="00161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CHCDFV013 Manage domestic and family violence screening and risk assessment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37979" w:rsidP="00161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60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6F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AF9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B0E"/>
  </w:style>
  <w:style w:type="character" w:customStyle="1" w:styleId="Heading1Char">
    <w:name w:val="Heading 1 Char"/>
    <w:basedOn w:val="DefaultParagraphFont"/>
    <w:link w:val="Heading1"/>
    <w:rsid w:val="00161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B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B0E"/>
    <w:rPr>
      <w:b/>
      <w:spacing w:val="0"/>
    </w:rPr>
  </w:style>
  <w:style w:type="paragraph" w:styleId="ListBullet2">
    <w:name w:val="List Bullet 2"/>
    <w:basedOn w:val="List2"/>
    <w:rsid w:val="00161B0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1B0E"/>
    <w:rPr>
      <w:i/>
    </w:rPr>
  </w:style>
  <w:style w:type="paragraph" w:customStyle="1" w:styleId="SuperHeading">
    <w:name w:val="SuperHeading"/>
    <w:basedOn w:val="Normal"/>
    <w:rsid w:val="00161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1B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1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B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B0E"/>
  </w:style>
  <w:style w:type="paragraph" w:styleId="TableofFigures">
    <w:name w:val="table of figures"/>
    <w:basedOn w:val="Normal"/>
    <w:next w:val="Normal"/>
    <w:semiHidden/>
    <w:rsid w:val="00161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B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1B0E"/>
    <w:rPr>
      <w:rFonts w:ascii="Wingdings" w:hAnsi="Wingdings"/>
    </w:rPr>
  </w:style>
  <w:style w:type="paragraph" w:customStyle="1" w:styleId="TableHeading">
    <w:name w:val="Table Heading"/>
    <w:basedOn w:val="HeadingBase"/>
    <w:rsid w:val="00161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B0E"/>
    <w:rPr>
      <w:color w:val="0033CC"/>
      <w:u w:val="none"/>
    </w:rPr>
  </w:style>
  <w:style w:type="paragraph" w:customStyle="1" w:styleId="BodyTextRight">
    <w:name w:val="Body Text Right"/>
    <w:basedOn w:val="BodyText"/>
    <w:rsid w:val="00161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B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B0E"/>
    <w:rPr>
      <w:sz w:val="32"/>
    </w:rPr>
  </w:style>
  <w:style w:type="paragraph" w:customStyle="1" w:styleId="HeadingProcedure">
    <w:name w:val="Heading Procedure"/>
    <w:basedOn w:val="HeadingBase"/>
    <w:next w:val="Normal"/>
    <w:rsid w:val="00161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B0E"/>
    <w:pPr>
      <w:spacing w:before="60" w:after="60"/>
    </w:pPr>
  </w:style>
  <w:style w:type="paragraph" w:styleId="ListContinue">
    <w:name w:val="List Continue"/>
    <w:basedOn w:val="List"/>
    <w:rsid w:val="00161B0E"/>
    <w:pPr>
      <w:ind w:firstLine="0"/>
    </w:pPr>
  </w:style>
  <w:style w:type="paragraph" w:customStyle="1" w:styleId="ListNote">
    <w:name w:val="List Note"/>
    <w:basedOn w:val="List"/>
    <w:rsid w:val="00161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B0E"/>
    <w:rPr>
      <w:rFonts w:ascii="Courier New" w:hAnsi="Courier New"/>
    </w:rPr>
  </w:style>
  <w:style w:type="paragraph" w:customStyle="1" w:styleId="NoteBullet">
    <w:name w:val="Note Bullet"/>
    <w:basedOn w:val="Note"/>
    <w:rsid w:val="00161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B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1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B0E"/>
    <w:rPr>
      <w:b/>
      <w:smallCaps/>
    </w:rPr>
  </w:style>
  <w:style w:type="paragraph" w:customStyle="1" w:styleId="TableListNumber">
    <w:name w:val="Table List Number"/>
    <w:basedOn w:val="ListNumber"/>
    <w:rsid w:val="00161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B0E"/>
    <w:pPr>
      <w:numPr>
        <w:numId w:val="10"/>
      </w:numPr>
    </w:pPr>
  </w:style>
  <w:style w:type="paragraph" w:customStyle="1" w:styleId="ListAlpha2">
    <w:name w:val="List Alpha 2"/>
    <w:basedOn w:val="List2"/>
    <w:rsid w:val="00161B0E"/>
    <w:pPr>
      <w:numPr>
        <w:numId w:val="9"/>
      </w:numPr>
    </w:pPr>
  </w:style>
  <w:style w:type="paragraph" w:styleId="List2">
    <w:name w:val="List 2"/>
    <w:basedOn w:val="BodyText"/>
    <w:rsid w:val="00161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B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1B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1B0E"/>
    <w:pPr>
      <w:numPr>
        <w:numId w:val="5"/>
      </w:numPr>
    </w:pPr>
  </w:style>
  <w:style w:type="paragraph" w:styleId="ListContinue2">
    <w:name w:val="List Continue 2"/>
    <w:basedOn w:val="List2"/>
    <w:rsid w:val="00161B0E"/>
    <w:pPr>
      <w:ind w:firstLine="0"/>
    </w:pPr>
  </w:style>
  <w:style w:type="paragraph" w:styleId="ListContinue3">
    <w:name w:val="List Continue 3"/>
    <w:basedOn w:val="List3"/>
    <w:rsid w:val="00161B0E"/>
    <w:pPr>
      <w:ind w:left="1021" w:firstLine="0"/>
    </w:pPr>
  </w:style>
  <w:style w:type="paragraph" w:styleId="ListContinue4">
    <w:name w:val="List Continue 4"/>
    <w:basedOn w:val="List4"/>
    <w:rsid w:val="00161B0E"/>
    <w:pPr>
      <w:ind w:firstLine="0"/>
    </w:pPr>
  </w:style>
  <w:style w:type="paragraph" w:styleId="ListContinue5">
    <w:name w:val="List Continue 5"/>
    <w:basedOn w:val="List5"/>
    <w:rsid w:val="00161B0E"/>
    <w:pPr>
      <w:ind w:firstLine="0"/>
    </w:pPr>
  </w:style>
  <w:style w:type="paragraph" w:styleId="ListNumber3">
    <w:name w:val="List Number 3"/>
    <w:basedOn w:val="List3"/>
    <w:rsid w:val="00161B0E"/>
    <w:pPr>
      <w:numPr>
        <w:numId w:val="6"/>
      </w:numPr>
    </w:pPr>
  </w:style>
  <w:style w:type="paragraph" w:styleId="ListNumber4">
    <w:name w:val="List Number 4"/>
    <w:basedOn w:val="List4"/>
    <w:rsid w:val="00161B0E"/>
    <w:pPr>
      <w:numPr>
        <w:numId w:val="7"/>
      </w:numPr>
    </w:pPr>
  </w:style>
  <w:style w:type="paragraph" w:styleId="ListNumber5">
    <w:name w:val="List Number 5"/>
    <w:basedOn w:val="List5"/>
    <w:rsid w:val="00161B0E"/>
    <w:pPr>
      <w:numPr>
        <w:numId w:val="8"/>
      </w:numPr>
    </w:pPr>
  </w:style>
  <w:style w:type="paragraph" w:styleId="BlockText">
    <w:name w:val="Block Text"/>
    <w:basedOn w:val="Normal"/>
    <w:rsid w:val="00161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B0E"/>
    <w:rPr>
      <w:sz w:val="16"/>
      <w:vertAlign w:val="superscript"/>
    </w:rPr>
  </w:style>
  <w:style w:type="character" w:customStyle="1" w:styleId="Symbols">
    <w:name w:val="Symbols"/>
    <w:basedOn w:val="DefaultParagraphFont"/>
    <w:rsid w:val="00161B0E"/>
    <w:rPr>
      <w:rFonts w:ascii="Symbol" w:hAnsi="Symbol"/>
    </w:rPr>
  </w:style>
  <w:style w:type="character" w:customStyle="1" w:styleId="MenuOptions">
    <w:name w:val="Menu Options"/>
    <w:basedOn w:val="DefaultParagraphFont"/>
    <w:rsid w:val="00161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B0E"/>
    <w:rPr>
      <w:b/>
    </w:rPr>
  </w:style>
  <w:style w:type="character" w:customStyle="1" w:styleId="Underlined">
    <w:name w:val="Underlined"/>
    <w:basedOn w:val="DefaultParagraphFont"/>
    <w:rsid w:val="00161B0E"/>
    <w:rPr>
      <w:u w:val="single"/>
    </w:rPr>
  </w:style>
  <w:style w:type="paragraph" w:customStyle="1" w:styleId="TableBodyTextRight">
    <w:name w:val="Table Body Text Right"/>
    <w:basedOn w:val="TableBodyText"/>
    <w:rsid w:val="00161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B0E"/>
    <w:rPr>
      <w:sz w:val="18"/>
    </w:rPr>
  </w:style>
  <w:style w:type="paragraph" w:customStyle="1" w:styleId="BodySmallRight">
    <w:name w:val="Body Small Right"/>
    <w:basedOn w:val="BodyTextRight"/>
    <w:rsid w:val="00161B0E"/>
    <w:rPr>
      <w:sz w:val="18"/>
      <w:szCs w:val="18"/>
    </w:rPr>
  </w:style>
  <w:style w:type="paragraph" w:customStyle="1" w:styleId="MarginEdition">
    <w:name w:val="Margin Edition"/>
    <w:basedOn w:val="MarginNote"/>
    <w:rsid w:val="00161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B0E"/>
    <w:rPr>
      <w:sz w:val="2"/>
      <w:szCs w:val="2"/>
    </w:rPr>
  </w:style>
  <w:style w:type="character" w:customStyle="1" w:styleId="Small">
    <w:name w:val="Small"/>
    <w:basedOn w:val="DefaultParagraphFont"/>
    <w:rsid w:val="00161B0E"/>
    <w:rPr>
      <w:sz w:val="16"/>
    </w:rPr>
  </w:style>
  <w:style w:type="paragraph" w:customStyle="1" w:styleId="WideTable">
    <w:name w:val="Wide Table"/>
    <w:basedOn w:val="Normal"/>
    <w:rsid w:val="00161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B0E"/>
  </w:style>
  <w:style w:type="paragraph" w:styleId="Quote">
    <w:name w:val="Quote"/>
    <w:basedOn w:val="Heading1"/>
    <w:link w:val="QuoteChar"/>
    <w:qFormat/>
    <w:rsid w:val="00161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B0E"/>
    <w:pPr>
      <w:pageBreakBefore/>
    </w:pPr>
  </w:style>
  <w:style w:type="paragraph" w:customStyle="1" w:styleId="Border">
    <w:name w:val="Border"/>
    <w:basedOn w:val="Normal"/>
    <w:qFormat/>
    <w:rsid w:val="00161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B0E"/>
    <w:rPr>
      <w:u w:val="single"/>
    </w:rPr>
  </w:style>
  <w:style w:type="character" w:customStyle="1" w:styleId="BoldandItalics">
    <w:name w:val="Bold and Italics"/>
    <w:qFormat/>
    <w:rsid w:val="00161B0E"/>
    <w:rPr>
      <w:b/>
      <w:i/>
      <w:u w:val="none"/>
    </w:rPr>
  </w:style>
  <w:style w:type="paragraph" w:styleId="BalloonText">
    <w:name w:val="Balloon Text"/>
    <w:basedOn w:val="Normal"/>
    <w:link w:val="BalloonTextChar"/>
    <w:rsid w:val="00161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B0E"/>
    <w:pPr>
      <w:spacing w:before="0" w:after="0"/>
    </w:pPr>
  </w:style>
  <w:style w:type="paragraph" w:customStyle="1" w:styleId="BodyTextBold">
    <w:name w:val="Body Text Bold"/>
    <w:basedOn w:val="BodyText"/>
    <w:qFormat/>
    <w:rsid w:val="00161B0E"/>
    <w:rPr>
      <w:b/>
    </w:rPr>
  </w:style>
  <w:style w:type="character" w:styleId="Hyperlink">
    <w:name w:val="Hyperlink"/>
    <w:basedOn w:val="DefaultParagraphFont"/>
    <w:uiPriority w:val="99"/>
    <w:unhideWhenUsed/>
    <w:rsid w:val="00737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3893</Characters>
  <Application>Microsoft Office Word</Application>
  <DocSecurity>0</DocSecurity>
  <Lines>111</Lines>
  <Paragraphs>82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CHCDFV013 Manage domestic and family violence screening and risk assessment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