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632D" w:rsidP="00F663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CHCCDE004 Implement participation and engagement strategies</w:t>
      </w:r>
      <w:r>
        <w:fldChar w:fldCharType="end"/>
      </w:r>
    </w:p>
    <w:p w:rsidR="00F6632D" w:rsidP="00F6632D">
      <w:pPr>
        <w:pStyle w:val="Version"/>
        <w:sectPr w:rsidSect="007B72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B72A6" w:rsidP="007B72A6">
      <w:pPr>
        <w:pStyle w:val="SuperHeading"/>
      </w:pPr>
      <w:r w:rsidRPr="007B72A6">
        <w:t>CHCCDE004 Implement participation and engagement strategies</w:t>
      </w:r>
    </w:p>
    <w:p w:rsidR="00000000" w:rsidRPr="007B72A6" w:rsidP="007B72A6">
      <w:pPr>
        <w:pStyle w:val="Heading1"/>
      </w:pPr>
      <w:bookmarkStart w:id="1" w:name="O_852822"/>
      <w:bookmarkEnd w:id="1"/>
      <w:r w:rsidRPr="007B72A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F663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2A6">
            <w:pPr>
              <w:pStyle w:val="BodyText"/>
              <w:rPr>
                <w:lang w:val="en-NZ"/>
              </w:rPr>
            </w:pPr>
            <w:r w:rsidRPr="007B72A6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2A6">
            <w:pPr>
              <w:pStyle w:val="BodyText"/>
              <w:rPr>
                <w:lang w:val="en-NZ"/>
              </w:rPr>
            </w:pPr>
            <w:r w:rsidRPr="007B72A6">
              <w:t>Comments</w:t>
            </w:r>
          </w:p>
        </w:tc>
      </w:tr>
      <w:tr w:rsidTr="00F663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2A6">
            <w:pPr>
              <w:pStyle w:val="BodyText"/>
              <w:rPr>
                <w:lang w:val="en-NZ"/>
              </w:rPr>
            </w:pPr>
            <w:r w:rsidRPr="007B72A6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2A6" w:rsidP="007B72A6">
            <w:pPr>
              <w:pStyle w:val="BodyText"/>
            </w:pPr>
            <w:r w:rsidRPr="007B72A6">
              <w:t xml:space="preserve">This version was released in </w:t>
            </w:r>
            <w:r w:rsidRPr="007B72A6">
              <w:rPr>
                <w:rStyle w:val="Emphasis"/>
              </w:rPr>
              <w:t>CHC Community Services Training Package release 3.0</w:t>
            </w:r>
            <w:r w:rsidRPr="007B72A6">
              <w:t>.</w:t>
            </w:r>
          </w:p>
          <w:p w:rsidR="00000000" w:rsidP="007B72A6">
            <w:pPr>
              <w:pStyle w:val="BodyText"/>
              <w:rPr>
                <w:lang w:val="en-NZ"/>
              </w:rPr>
            </w:pPr>
            <w:r w:rsidRPr="007B72A6">
              <w:t>Amended modification history and mapping. Equivalent outcome.</w:t>
            </w:r>
          </w:p>
        </w:tc>
      </w:tr>
      <w:tr w:rsidTr="00F663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2A6">
            <w:pPr>
              <w:pStyle w:val="BodyText"/>
              <w:rPr>
                <w:lang w:val="en-NZ"/>
              </w:rPr>
            </w:pPr>
            <w:r w:rsidRPr="007B72A6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2A6" w:rsidP="007B72A6">
            <w:pPr>
              <w:pStyle w:val="BodyText"/>
            </w:pPr>
            <w:r w:rsidRPr="007B72A6">
              <w:t xml:space="preserve">This version was released in </w:t>
            </w:r>
            <w:r w:rsidRPr="007B72A6">
              <w:rPr>
                <w:rStyle w:val="Emphasis"/>
              </w:rPr>
              <w:t>CHC Co</w:t>
            </w:r>
            <w:r w:rsidRPr="007B72A6">
              <w:rPr>
                <w:rStyle w:val="Emphasis"/>
              </w:rPr>
              <w:t>mmunity Services Training Package release 2.0</w:t>
            </w:r>
            <w:r w:rsidRPr="007B72A6">
              <w:t xml:space="preserve"> and meets the requirements of the 2012 Standards for Training Packages.</w:t>
            </w:r>
          </w:p>
          <w:p w:rsidR="00000000" w:rsidRPr="007B72A6" w:rsidP="007B72A6">
            <w:pPr>
              <w:pStyle w:val="BodyText"/>
            </w:pPr>
            <w:r w:rsidRPr="007B72A6">
              <w:t>Significant changes to performance criteria. New evidence requirements for assessment including volume and frequency requirements. Signifi</w:t>
            </w:r>
            <w:r w:rsidRPr="007B72A6">
              <w:t>cant changes to knowledge evidence.</w:t>
            </w:r>
          </w:p>
        </w:tc>
      </w:tr>
    </w:tbl>
    <w:p w:rsidR="00000000" w:rsidRPr="007B72A6" w:rsidP="007B72A6">
      <w:pPr>
        <w:pStyle w:val="BodyText"/>
      </w:pPr>
    </w:p>
    <w:p w:rsidR="00000000" w:rsidRPr="007B72A6" w:rsidP="007B72A6">
      <w:pPr>
        <w:pStyle w:val="AllowPageBreak"/>
      </w:pPr>
    </w:p>
    <w:p w:rsidR="00000000" w:rsidRPr="007B72A6" w:rsidP="007B72A6">
      <w:pPr>
        <w:pStyle w:val="Heading1"/>
      </w:pPr>
      <w:bookmarkStart w:id="2" w:name="O_852821"/>
      <w:bookmarkEnd w:id="2"/>
      <w:r w:rsidRPr="007B72A6">
        <w:t>Application</w:t>
      </w:r>
    </w:p>
    <w:p w:rsidR="00000000" w:rsidRPr="007B72A6" w:rsidP="00F6632D">
      <w:pPr>
        <w:pStyle w:val="BodyText"/>
      </w:pPr>
      <w:r w:rsidRPr="007B72A6">
        <w:t>This unit describes the skills and knowledge required to work with individuals or groups in specific communities and support their engagement in making decisions that affects their lives.</w:t>
      </w:r>
    </w:p>
    <w:p w:rsidR="00000000" w:rsidRPr="007B72A6" w:rsidP="00F6632D">
      <w:pPr>
        <w:pStyle w:val="BodyText"/>
      </w:pPr>
      <w:r w:rsidRPr="007B72A6">
        <w:t>This unit applies to workers in both health and community sectors and/or a community development work context. Workers at this level will be part of a professional team and under the guidance of a supervisor.</w:t>
      </w:r>
    </w:p>
    <w:p w:rsidR="00F6632D" w:rsidRPr="00F6632D" w:rsidP="00F6632D">
      <w:pPr>
        <w:pStyle w:val="BodyText"/>
        <w:rPr>
          <w:i/>
        </w:rPr>
      </w:pPr>
      <w:r w:rsidRPr="00F6632D">
        <w:rPr>
          <w:rStyle w:val="Emphasis"/>
        </w:rPr>
        <w:t>The skills in this unit must be applied in acc</w:t>
      </w:r>
      <w:r w:rsidRPr="00F6632D">
        <w:rPr>
          <w:rStyle w:val="Emphasis"/>
        </w:rPr>
        <w:t>ordance with Commonwealth and State/Territory legislation, Australian/New Zealand standards and industry codes of practice</w:t>
      </w:r>
      <w:r w:rsidRPr="00F6632D">
        <w:rPr>
          <w:i/>
        </w:rPr>
        <w:t>.</w:t>
      </w:r>
    </w:p>
    <w:p w:rsidR="00000000" w:rsidRPr="007B72A6" w:rsidP="007B72A6">
      <w:pPr>
        <w:pStyle w:val="Heading1"/>
      </w:pPr>
      <w:bookmarkStart w:id="3" w:name="O_852820"/>
      <w:bookmarkEnd w:id="3"/>
      <w:r w:rsidRPr="007B72A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40"/>
        <w:gridCol w:w="5691"/>
      </w:tblGrid>
      <w:tr w:rsidTr="00F66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2A6" w:rsidP="007B72A6">
            <w:pPr>
              <w:pStyle w:val="BodyText"/>
            </w:pPr>
            <w:r w:rsidRPr="007B72A6">
              <w:rPr>
                <w:rStyle w:val="SpecialBold"/>
              </w:rPr>
              <w:t>ELEMENT</w:t>
            </w:r>
          </w:p>
        </w:tc>
        <w:tc>
          <w:tcPr>
            <w:tcW w:w="5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2A6">
            <w:pPr>
              <w:pStyle w:val="BodyText"/>
              <w:rPr>
                <w:lang w:val="en-NZ"/>
              </w:rPr>
            </w:pPr>
            <w:r w:rsidRPr="007B72A6">
              <w:rPr>
                <w:rStyle w:val="SpecialBold"/>
              </w:rPr>
              <w:t>PERFORMANCE CRITERIA</w:t>
            </w:r>
          </w:p>
        </w:tc>
      </w:tr>
      <w:tr w:rsidTr="00F66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2A6" w:rsidP="007B72A6">
            <w:pPr>
              <w:pStyle w:val="BodyText"/>
            </w:pPr>
            <w:r w:rsidRPr="007B72A6">
              <w:rPr>
                <w:rStyle w:val="Emphasis"/>
              </w:rPr>
              <w:t>Elements define the essential outcomes</w:t>
            </w:r>
          </w:p>
        </w:tc>
        <w:tc>
          <w:tcPr>
            <w:tcW w:w="5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2A6">
            <w:pPr>
              <w:pStyle w:val="BodyText"/>
              <w:rPr>
                <w:lang w:val="en-NZ"/>
              </w:rPr>
            </w:pPr>
            <w:r w:rsidRPr="007B72A6">
              <w:rPr>
                <w:rStyle w:val="Emphasis"/>
              </w:rPr>
              <w:t>Performance</w:t>
            </w:r>
            <w:r w:rsidRPr="007B72A6">
              <w:rPr>
                <w:rStyle w:val="Emphasis"/>
              </w:rPr>
              <w:t xml:space="preserve"> criteria describe the performance needed to demonstrate achievement of the element.</w:t>
            </w:r>
          </w:p>
        </w:tc>
      </w:tr>
      <w:tr w:rsidTr="00F66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2A6">
            <w:pPr>
              <w:pStyle w:val="BodyText"/>
              <w:rPr>
                <w:lang w:val="en-NZ"/>
              </w:rPr>
            </w:pPr>
            <w:r w:rsidRPr="007B72A6">
              <w:t>1. Define the priorities of specific communities or groups</w:t>
            </w:r>
          </w:p>
        </w:tc>
        <w:tc>
          <w:tcPr>
            <w:tcW w:w="5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2A6" w:rsidP="007B72A6">
            <w:pPr>
              <w:pStyle w:val="BodyText"/>
            </w:pPr>
            <w:r w:rsidRPr="007B72A6">
              <w:t>1.1 Identify and document the details of individual and group priorities of the specific community through appr</w:t>
            </w:r>
            <w:r w:rsidRPr="007B72A6">
              <w:t>opriate research and stakeholder participation</w:t>
            </w:r>
          </w:p>
          <w:p w:rsidR="00000000" w:rsidP="007B72A6">
            <w:pPr>
              <w:pStyle w:val="BodyText"/>
              <w:rPr>
                <w:lang w:val="en-NZ"/>
              </w:rPr>
            </w:pPr>
            <w:r w:rsidRPr="007B72A6">
              <w:t xml:space="preserve">1.2 Identify, by appropriate research and stakeholder participation, preferred means of communicating with </w:t>
            </w:r>
            <w:r w:rsidRPr="007B72A6">
              <w:t xml:space="preserve">individuals and groups from specific communities </w:t>
            </w:r>
          </w:p>
        </w:tc>
      </w:tr>
      <w:tr w:rsidTr="00F66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2A6">
            <w:pPr>
              <w:pStyle w:val="BodyText"/>
              <w:rPr>
                <w:lang w:val="en-NZ"/>
              </w:rPr>
            </w:pPr>
          </w:p>
        </w:tc>
      </w:tr>
      <w:tr w:rsidTr="00F66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2A6">
            <w:pPr>
              <w:pStyle w:val="BodyText"/>
              <w:rPr>
                <w:lang w:val="en-NZ"/>
              </w:rPr>
            </w:pPr>
            <w:r w:rsidRPr="007B72A6">
              <w:t>2. Undertake relevant work in the context of specific communities or groups</w:t>
            </w:r>
          </w:p>
        </w:tc>
        <w:tc>
          <w:tcPr>
            <w:tcW w:w="5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2A6" w:rsidP="007B72A6">
            <w:pPr>
              <w:pStyle w:val="BodyText"/>
            </w:pPr>
            <w:r w:rsidRPr="007B72A6">
              <w:t xml:space="preserve">2.1 Use the values, priorities and structures within specific communities to define the ways of working </w:t>
            </w:r>
          </w:p>
          <w:p w:rsidR="00000000" w:rsidRPr="007B72A6" w:rsidP="007B72A6">
            <w:pPr>
              <w:pStyle w:val="BodyText"/>
            </w:pPr>
            <w:r w:rsidRPr="007B72A6">
              <w:t>2.2 Evaluate relevant community structures and utilise to maximise outcomes</w:t>
            </w:r>
            <w:r w:rsidRPr="007B72A6">
              <w:t xml:space="preserve"> for individuals and groups</w:t>
            </w:r>
          </w:p>
          <w:p w:rsidR="00000000" w:rsidRPr="007B72A6" w:rsidP="007B72A6">
            <w:pPr>
              <w:pStyle w:val="BodyText"/>
            </w:pPr>
            <w:r w:rsidRPr="007B72A6">
              <w:t>2.3 Ensure work within communities is consistent with defined job role and agreed protocols</w:t>
            </w:r>
          </w:p>
          <w:p w:rsidR="00000000" w:rsidP="007B72A6">
            <w:pPr>
              <w:pStyle w:val="BodyText"/>
              <w:rPr>
                <w:lang w:val="en-NZ"/>
              </w:rPr>
            </w:pPr>
            <w:r w:rsidRPr="007B72A6">
              <w:t>2.4 Utilise interpersonal skills which are consistent with community practices and standards</w:t>
            </w:r>
          </w:p>
        </w:tc>
      </w:tr>
      <w:tr w:rsidTr="00F66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2A6">
            <w:pPr>
              <w:pStyle w:val="BodyText"/>
              <w:rPr>
                <w:lang w:val="en-NZ"/>
              </w:rPr>
            </w:pPr>
          </w:p>
        </w:tc>
      </w:tr>
      <w:tr w:rsidTr="00F66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2A6">
            <w:pPr>
              <w:pStyle w:val="BodyText"/>
              <w:rPr>
                <w:lang w:val="en-NZ"/>
              </w:rPr>
            </w:pPr>
            <w:r w:rsidRPr="007B72A6">
              <w:t>3. Evaluate work undertaken within spec</w:t>
            </w:r>
            <w:r w:rsidRPr="007B72A6">
              <w:t xml:space="preserve">ific communities </w:t>
            </w:r>
          </w:p>
        </w:tc>
        <w:tc>
          <w:tcPr>
            <w:tcW w:w="5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2A6" w:rsidP="007B72A6">
            <w:pPr>
              <w:pStyle w:val="BodyText"/>
            </w:pPr>
            <w:r w:rsidRPr="007B72A6">
              <w:t xml:space="preserve">3.1 Undertake appropriate evaluation of work through participation of relevant community stakeholders </w:t>
            </w:r>
          </w:p>
          <w:p w:rsidR="00000000" w:rsidRPr="007B72A6" w:rsidP="007B72A6">
            <w:pPr>
              <w:pStyle w:val="BodyText"/>
            </w:pPr>
            <w:r w:rsidRPr="007B72A6">
              <w:t>3.2 Monitor work within communities to ensure reflection of relevant values and structures</w:t>
            </w:r>
          </w:p>
          <w:p w:rsidR="00000000" w:rsidRPr="007B72A6" w:rsidP="007B72A6">
            <w:pPr>
              <w:pStyle w:val="BodyText"/>
            </w:pPr>
            <w:r w:rsidRPr="007B72A6">
              <w:t>3.3 Undertake evaluation in a manner that en</w:t>
            </w:r>
            <w:r w:rsidRPr="007B72A6">
              <w:t xml:space="preserve">sures responsiveness to community prioritises </w:t>
            </w:r>
          </w:p>
        </w:tc>
      </w:tr>
    </w:tbl>
    <w:p w:rsidR="00F6632D" w:rsidP="007B72A6">
      <w:pPr>
        <w:pStyle w:val="BodyText"/>
      </w:pPr>
    </w:p>
    <w:p w:rsidR="00F6632D" w:rsidP="007B72A6">
      <w:pPr>
        <w:pStyle w:val="BodyText"/>
      </w:pPr>
    </w:p>
    <w:p w:rsidR="00000000" w:rsidRPr="007B72A6" w:rsidP="007B72A6">
      <w:pPr>
        <w:pStyle w:val="Heading1"/>
      </w:pPr>
      <w:bookmarkStart w:id="4" w:name="O_852819"/>
      <w:bookmarkEnd w:id="4"/>
      <w:r w:rsidRPr="007B72A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7B72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2A6">
            <w:pPr>
              <w:pStyle w:val="BodyText"/>
              <w:rPr>
                <w:lang w:val="en-NZ"/>
              </w:rPr>
            </w:pPr>
            <w:r w:rsidRPr="007B72A6">
              <w:t>The Foundation Skills describe those required skills (language, literacy, numeracy and employment skills) that are essential to performance.</w:t>
            </w:r>
          </w:p>
        </w:tc>
      </w:tr>
      <w:tr w:rsidTr="007B72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2A6" w:rsidP="007B72A6">
            <w:pPr>
              <w:pStyle w:val="BodyText"/>
            </w:pPr>
            <w:r w:rsidRPr="007B72A6">
              <w:rPr>
                <w:rStyle w:val="Emphasis"/>
              </w:rPr>
              <w:t>Foundation skills essential to performance are explicit in the performance criteria of this unit of competency.</w:t>
            </w:r>
            <w:r w:rsidRPr="007B72A6">
              <w:t xml:space="preserve"> </w:t>
            </w:r>
          </w:p>
        </w:tc>
      </w:tr>
    </w:tbl>
    <w:p w:rsidR="00F6632D" w:rsidP="007B72A6">
      <w:pPr>
        <w:pStyle w:val="BodyText"/>
      </w:pPr>
    </w:p>
    <w:p w:rsidR="00F6632D" w:rsidP="007B72A6">
      <w:pPr>
        <w:pStyle w:val="BodyText"/>
      </w:pPr>
    </w:p>
    <w:p w:rsidR="00000000" w:rsidRPr="007B72A6" w:rsidP="007B72A6">
      <w:pPr>
        <w:pStyle w:val="Heading1"/>
      </w:pPr>
      <w:bookmarkStart w:id="5" w:name="O_852818"/>
      <w:bookmarkEnd w:id="5"/>
      <w:r w:rsidRPr="007B72A6">
        <w:t>Unit Mapping Information</w:t>
      </w:r>
    </w:p>
    <w:p w:rsidR="00000000" w:rsidRPr="007B72A6" w:rsidP="00F6632D">
      <w:pPr>
        <w:pStyle w:val="BodyText"/>
      </w:pPr>
      <w:r w:rsidRPr="007B72A6">
        <w:t xml:space="preserve">No equivalent unit </w:t>
      </w:r>
    </w:p>
    <w:p w:rsidR="00000000" w:rsidRPr="007B72A6" w:rsidP="007B72A6">
      <w:pPr>
        <w:pStyle w:val="Heading1"/>
      </w:pPr>
      <w:bookmarkStart w:id="6" w:name="O_852823"/>
      <w:bookmarkEnd w:id="6"/>
      <w:r w:rsidRPr="007B72A6">
        <w:t>Links</w:t>
      </w:r>
    </w:p>
    <w:p w:rsidR="00000000" w:rsidRPr="007B72A6" w:rsidP="00F6632D">
      <w:pPr>
        <w:pStyle w:val="BodyText"/>
      </w:pPr>
      <w:r w:rsidRPr="007B72A6">
        <w:t>Companion Volume implementation guides are found in VET</w:t>
      </w:r>
      <w:r w:rsidRPr="007B72A6">
        <w:t xml:space="preserve">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A1B0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B72A6" w:rsidP="007B72A6"/>
    <w:sectPr w:rsidSect="007B72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2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2A6" w:rsidRPr="00F6632D" w:rsidP="00F663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2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32D" w:rsidP="007B72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632D" w:rsidP="007B72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6632D" w:rsidP="007B72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2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3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72A6" w:rsidRPr="00F6632D" w:rsidP="00F663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2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32D" w:rsidRPr="002D2AF8" w:rsidP="007B72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CHCCDE004 Implement participation and engagement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6632D" w:rsidP="007B72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2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72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72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72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72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72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72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72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72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72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72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72A6"/>
  </w:style>
  <w:style w:type="character" w:customStyle="1" w:styleId="Heading1Char">
    <w:name w:val="Heading 1 Char"/>
    <w:basedOn w:val="DefaultParagraphFont"/>
    <w:link w:val="Heading1"/>
    <w:rsid w:val="007B72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72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72A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B72A6"/>
    <w:rPr>
      <w:b/>
      <w:spacing w:val="0"/>
    </w:rPr>
  </w:style>
  <w:style w:type="character" w:styleId="Emphasis">
    <w:name w:val="Emphasis"/>
    <w:basedOn w:val="DefaultParagraphFont"/>
    <w:qFormat/>
    <w:rsid w:val="007B72A6"/>
    <w:rPr>
      <w:i/>
    </w:rPr>
  </w:style>
  <w:style w:type="paragraph" w:customStyle="1" w:styleId="SuperHeading">
    <w:name w:val="SuperHeading"/>
    <w:basedOn w:val="Normal"/>
    <w:rsid w:val="007B72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72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72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72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72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72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72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72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72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72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72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72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72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72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72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72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72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72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72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72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72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72A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B72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72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72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72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72A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72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72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72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72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72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72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72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72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72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72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72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72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72A6"/>
  </w:style>
  <w:style w:type="paragraph" w:styleId="TableofFigures">
    <w:name w:val="table of figures"/>
    <w:basedOn w:val="Normal"/>
    <w:next w:val="Normal"/>
    <w:semiHidden/>
    <w:rsid w:val="007B72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72A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B72A6"/>
    <w:rPr>
      <w:rFonts w:ascii="Wingdings" w:hAnsi="Wingdings"/>
    </w:rPr>
  </w:style>
  <w:style w:type="paragraph" w:customStyle="1" w:styleId="TableHeading">
    <w:name w:val="Table Heading"/>
    <w:basedOn w:val="HeadingBase"/>
    <w:rsid w:val="007B72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72A6"/>
    <w:rPr>
      <w:color w:val="0033CC"/>
      <w:u w:val="none"/>
    </w:rPr>
  </w:style>
  <w:style w:type="paragraph" w:customStyle="1" w:styleId="BodyTextRight">
    <w:name w:val="Body Text Right"/>
    <w:basedOn w:val="BodyText"/>
    <w:rsid w:val="007B72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72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72A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72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72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72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72A6"/>
    <w:rPr>
      <w:sz w:val="32"/>
    </w:rPr>
  </w:style>
  <w:style w:type="paragraph" w:customStyle="1" w:styleId="HeadingProcedure">
    <w:name w:val="Heading Procedure"/>
    <w:basedOn w:val="HeadingBase"/>
    <w:next w:val="Normal"/>
    <w:rsid w:val="007B72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72A6"/>
    <w:pPr>
      <w:spacing w:before="60" w:after="60"/>
    </w:pPr>
  </w:style>
  <w:style w:type="paragraph" w:styleId="ListContinue">
    <w:name w:val="List Continue"/>
    <w:basedOn w:val="List"/>
    <w:rsid w:val="007B72A6"/>
    <w:pPr>
      <w:ind w:firstLine="0"/>
    </w:pPr>
  </w:style>
  <w:style w:type="paragraph" w:customStyle="1" w:styleId="ListNote">
    <w:name w:val="List Note"/>
    <w:basedOn w:val="List"/>
    <w:rsid w:val="007B72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72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72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72A6"/>
    <w:rPr>
      <w:rFonts w:ascii="Courier New" w:hAnsi="Courier New"/>
    </w:rPr>
  </w:style>
  <w:style w:type="paragraph" w:customStyle="1" w:styleId="NoteBullet">
    <w:name w:val="Note Bullet"/>
    <w:basedOn w:val="Note"/>
    <w:rsid w:val="007B72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72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72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72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72A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B72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72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72A6"/>
    <w:rPr>
      <w:b/>
      <w:smallCaps/>
    </w:rPr>
  </w:style>
  <w:style w:type="paragraph" w:customStyle="1" w:styleId="TableListNumber">
    <w:name w:val="Table List Number"/>
    <w:basedOn w:val="ListNumber"/>
    <w:rsid w:val="007B72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72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72A6"/>
    <w:pPr>
      <w:numPr>
        <w:numId w:val="7"/>
      </w:numPr>
    </w:pPr>
  </w:style>
  <w:style w:type="paragraph" w:customStyle="1" w:styleId="ListAlpha2">
    <w:name w:val="List Alpha 2"/>
    <w:basedOn w:val="List2"/>
    <w:rsid w:val="007B72A6"/>
    <w:pPr>
      <w:numPr>
        <w:numId w:val="6"/>
      </w:numPr>
    </w:pPr>
  </w:style>
  <w:style w:type="paragraph" w:styleId="List2">
    <w:name w:val="List 2"/>
    <w:basedOn w:val="BodyText"/>
    <w:rsid w:val="007B72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72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72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72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72A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72A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B72A6"/>
    <w:pPr>
      <w:numPr>
        <w:numId w:val="2"/>
      </w:numPr>
    </w:pPr>
  </w:style>
  <w:style w:type="paragraph" w:styleId="ListContinue2">
    <w:name w:val="List Continue 2"/>
    <w:basedOn w:val="List2"/>
    <w:rsid w:val="007B72A6"/>
    <w:pPr>
      <w:ind w:firstLine="0"/>
    </w:pPr>
  </w:style>
  <w:style w:type="paragraph" w:styleId="ListContinue3">
    <w:name w:val="List Continue 3"/>
    <w:basedOn w:val="List3"/>
    <w:rsid w:val="007B72A6"/>
    <w:pPr>
      <w:ind w:left="1021" w:firstLine="0"/>
    </w:pPr>
  </w:style>
  <w:style w:type="paragraph" w:styleId="ListContinue4">
    <w:name w:val="List Continue 4"/>
    <w:basedOn w:val="List4"/>
    <w:rsid w:val="007B72A6"/>
    <w:pPr>
      <w:ind w:firstLine="0"/>
    </w:pPr>
  </w:style>
  <w:style w:type="paragraph" w:styleId="ListContinue5">
    <w:name w:val="List Continue 5"/>
    <w:basedOn w:val="List5"/>
    <w:rsid w:val="007B72A6"/>
    <w:pPr>
      <w:ind w:firstLine="0"/>
    </w:pPr>
  </w:style>
  <w:style w:type="paragraph" w:styleId="ListNumber3">
    <w:name w:val="List Number 3"/>
    <w:basedOn w:val="List3"/>
    <w:rsid w:val="007B72A6"/>
    <w:pPr>
      <w:numPr>
        <w:numId w:val="3"/>
      </w:numPr>
    </w:pPr>
  </w:style>
  <w:style w:type="paragraph" w:styleId="ListNumber4">
    <w:name w:val="List Number 4"/>
    <w:basedOn w:val="List4"/>
    <w:rsid w:val="007B72A6"/>
    <w:pPr>
      <w:numPr>
        <w:numId w:val="4"/>
      </w:numPr>
    </w:pPr>
  </w:style>
  <w:style w:type="paragraph" w:styleId="ListNumber5">
    <w:name w:val="List Number 5"/>
    <w:basedOn w:val="List5"/>
    <w:rsid w:val="007B72A6"/>
    <w:pPr>
      <w:numPr>
        <w:numId w:val="5"/>
      </w:numPr>
    </w:pPr>
  </w:style>
  <w:style w:type="paragraph" w:styleId="BlockText">
    <w:name w:val="Block Text"/>
    <w:basedOn w:val="Normal"/>
    <w:rsid w:val="007B72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72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72A6"/>
    <w:rPr>
      <w:sz w:val="16"/>
      <w:vertAlign w:val="superscript"/>
    </w:rPr>
  </w:style>
  <w:style w:type="character" w:customStyle="1" w:styleId="Symbols">
    <w:name w:val="Symbols"/>
    <w:basedOn w:val="DefaultParagraphFont"/>
    <w:rsid w:val="007B72A6"/>
    <w:rPr>
      <w:rFonts w:ascii="Symbol" w:hAnsi="Symbol"/>
    </w:rPr>
  </w:style>
  <w:style w:type="character" w:customStyle="1" w:styleId="MenuOptions">
    <w:name w:val="Menu Options"/>
    <w:basedOn w:val="DefaultParagraphFont"/>
    <w:rsid w:val="007B72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72A6"/>
    <w:rPr>
      <w:b/>
    </w:rPr>
  </w:style>
  <w:style w:type="character" w:customStyle="1" w:styleId="Underlined">
    <w:name w:val="Underlined"/>
    <w:basedOn w:val="DefaultParagraphFont"/>
    <w:rsid w:val="007B72A6"/>
    <w:rPr>
      <w:u w:val="single"/>
    </w:rPr>
  </w:style>
  <w:style w:type="paragraph" w:customStyle="1" w:styleId="TableBodyTextRight">
    <w:name w:val="Table Body Text Right"/>
    <w:basedOn w:val="TableBodyText"/>
    <w:rsid w:val="007B72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72A6"/>
    <w:rPr>
      <w:sz w:val="18"/>
    </w:rPr>
  </w:style>
  <w:style w:type="paragraph" w:customStyle="1" w:styleId="BodySmallRight">
    <w:name w:val="Body Small Right"/>
    <w:basedOn w:val="BodyTextRight"/>
    <w:rsid w:val="007B72A6"/>
    <w:rPr>
      <w:sz w:val="18"/>
      <w:szCs w:val="18"/>
    </w:rPr>
  </w:style>
  <w:style w:type="paragraph" w:customStyle="1" w:styleId="MarginEdition">
    <w:name w:val="Margin Edition"/>
    <w:basedOn w:val="MarginNote"/>
    <w:rsid w:val="007B72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72A6"/>
    <w:rPr>
      <w:sz w:val="2"/>
      <w:szCs w:val="2"/>
    </w:rPr>
  </w:style>
  <w:style w:type="character" w:customStyle="1" w:styleId="Small">
    <w:name w:val="Small"/>
    <w:basedOn w:val="DefaultParagraphFont"/>
    <w:rsid w:val="007B72A6"/>
    <w:rPr>
      <w:sz w:val="16"/>
    </w:rPr>
  </w:style>
  <w:style w:type="paragraph" w:customStyle="1" w:styleId="WideTable">
    <w:name w:val="Wide Table"/>
    <w:basedOn w:val="Normal"/>
    <w:rsid w:val="007B72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72A6"/>
  </w:style>
  <w:style w:type="paragraph" w:styleId="Quote">
    <w:name w:val="Quote"/>
    <w:basedOn w:val="Heading1"/>
    <w:link w:val="QuoteChar"/>
    <w:qFormat/>
    <w:rsid w:val="007B72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72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72A6"/>
    <w:pPr>
      <w:pageBreakBefore/>
    </w:pPr>
  </w:style>
  <w:style w:type="paragraph" w:customStyle="1" w:styleId="Border">
    <w:name w:val="Border"/>
    <w:basedOn w:val="Normal"/>
    <w:qFormat/>
    <w:rsid w:val="007B72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72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2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2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72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72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72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72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72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72A6"/>
    <w:rPr>
      <w:u w:val="single"/>
    </w:rPr>
  </w:style>
  <w:style w:type="character" w:customStyle="1" w:styleId="BoldandItalics">
    <w:name w:val="Bold and Italics"/>
    <w:qFormat/>
    <w:rsid w:val="007B72A6"/>
    <w:rPr>
      <w:b/>
      <w:i/>
      <w:u w:val="none"/>
    </w:rPr>
  </w:style>
  <w:style w:type="paragraph" w:styleId="BalloonText">
    <w:name w:val="Balloon Text"/>
    <w:basedOn w:val="Normal"/>
    <w:link w:val="BalloonTextChar"/>
    <w:rsid w:val="007B72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72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72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72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72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72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72A6"/>
    <w:pPr>
      <w:spacing w:before="0" w:after="0"/>
    </w:pPr>
  </w:style>
  <w:style w:type="paragraph" w:customStyle="1" w:styleId="BodyTextBold">
    <w:name w:val="Body Text Bold"/>
    <w:basedOn w:val="BodyText"/>
    <w:qFormat/>
    <w:rsid w:val="007B72A6"/>
    <w:rPr>
      <w:b/>
    </w:rPr>
  </w:style>
  <w:style w:type="character" w:styleId="Hyperlink">
    <w:name w:val="Hyperlink"/>
    <w:basedOn w:val="DefaultParagraphFont"/>
    <w:uiPriority w:val="99"/>
    <w:unhideWhenUsed/>
    <w:rsid w:val="00F663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435</Words>
  <Characters>2850</Characters>
  <Application>Microsoft Office Word</Application>
  <DocSecurity>0</DocSecurity>
  <Lines>89</Lines>
  <Paragraphs>49</Paragraphs>
  <ScaleCrop>false</ScaleCrop>
  <Company>Author-it Software Corporation Ltd.</Company>
  <LinksUpToDate>false</LinksUpToDate>
  <CharactersWithSpaces>3236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CHCCDE004 Implement participation and engagement strategies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2023-07-02T02:39:00Z</dcterms:created>
  <dcterms:modified xsi:type="dcterms:W3CDTF">2023-07-02T02:39:00Z</dcterms:modified>
</cp:coreProperties>
</file>