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147" w:rsidP="005C0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CHCCCS026 Transport individuals</w:t>
      </w:r>
      <w:r>
        <w:fldChar w:fldCharType="end"/>
      </w:r>
    </w:p>
    <w:p w:rsidR="005C0147" w:rsidP="005C0147">
      <w:pPr>
        <w:pStyle w:val="Version"/>
        <w:sectPr w:rsidSect="00753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0D9" w:rsidP="007530D9">
      <w:pPr>
        <w:pStyle w:val="SuperHeading"/>
      </w:pPr>
      <w:r w:rsidRPr="007530D9">
        <w:t>Assessment Requirements for CHCCCS026 Transport individuals</w:t>
      </w:r>
    </w:p>
    <w:p w:rsidR="00000000" w:rsidRPr="007530D9" w:rsidP="007530D9">
      <w:pPr>
        <w:pStyle w:val="Heading1"/>
      </w:pPr>
      <w:bookmarkStart w:id="1" w:name="O_652753"/>
      <w:bookmarkEnd w:id="1"/>
      <w:r w:rsidRPr="00753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5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9" w:rsidP="007530D9">
            <w:pPr>
              <w:pStyle w:val="BodyText"/>
            </w:pPr>
            <w:r w:rsidRPr="007530D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9">
            <w:pPr>
              <w:pStyle w:val="BodyText"/>
              <w:rPr>
                <w:lang w:val="en-NZ"/>
              </w:rPr>
            </w:pPr>
            <w:r w:rsidRPr="007530D9">
              <w:rPr>
                <w:rStyle w:val="SpecialBold"/>
              </w:rPr>
              <w:t>Comments</w:t>
            </w:r>
          </w:p>
        </w:tc>
      </w:tr>
      <w:tr w:rsidTr="0075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9">
            <w:pPr>
              <w:pStyle w:val="BodyText"/>
              <w:rPr>
                <w:lang w:val="en-NZ"/>
              </w:rPr>
            </w:pPr>
            <w:r w:rsidRPr="007530D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9" w:rsidP="007530D9">
            <w:pPr>
              <w:pStyle w:val="BodyText"/>
            </w:pPr>
            <w:r w:rsidRPr="007530D9">
              <w:t xml:space="preserve">This version was released in </w:t>
            </w:r>
            <w:r w:rsidRPr="007530D9">
              <w:rPr>
                <w:rStyle w:val="Emphasis"/>
              </w:rPr>
              <w:t>CHC Community Services Training Package release 2.0</w:t>
            </w:r>
            <w:r w:rsidRPr="007530D9">
              <w:t xml:space="preserve"> and meets the requirements of the 2012 Standards for Training Packages.</w:t>
            </w:r>
          </w:p>
          <w:p w:rsidR="00000000" w:rsidRPr="007530D9" w:rsidP="007530D9">
            <w:pPr>
              <w:pStyle w:val="BodyText"/>
            </w:pPr>
            <w:r w:rsidRPr="007530D9">
              <w:t>Minimal change to the elements and per</w:t>
            </w:r>
            <w:r w:rsidRPr="007530D9">
              <w:t>formance criteria. New evidence requirements for assessment including volume and frequency requirements. Significant changes to knowledge evidence.</w:t>
            </w:r>
          </w:p>
        </w:tc>
      </w:tr>
    </w:tbl>
    <w:p w:rsidR="00000000" w:rsidRPr="007530D9" w:rsidP="007530D9">
      <w:pPr>
        <w:pStyle w:val="BodyText"/>
      </w:pPr>
    </w:p>
    <w:p w:rsidR="00000000" w:rsidRPr="007530D9" w:rsidP="007530D9">
      <w:pPr>
        <w:pStyle w:val="AllowPageBreak"/>
      </w:pPr>
    </w:p>
    <w:p w:rsidR="00000000" w:rsidRPr="007530D9" w:rsidP="007530D9">
      <w:pPr>
        <w:pStyle w:val="Heading1"/>
      </w:pPr>
      <w:bookmarkStart w:id="2" w:name="O_652754"/>
      <w:bookmarkEnd w:id="2"/>
      <w:r w:rsidRPr="007530D9">
        <w:t>Performance Evidence</w:t>
      </w:r>
    </w:p>
    <w:p w:rsidR="00000000" w:rsidRPr="007530D9" w:rsidP="005C0147">
      <w:pPr>
        <w:pStyle w:val="BodyText"/>
      </w:pPr>
      <w:r w:rsidRPr="007530D9">
        <w:t>The candidate must show evidence of the ability to complete tasks ou</w:t>
      </w:r>
      <w:r w:rsidRPr="007530D9">
        <w:t>tlined in elements and performance criteria of this unit, manage tasks and manage contingencies in the context of the job role. There must be evidence that the candidate has:</w:t>
      </w:r>
    </w:p>
    <w:p w:rsidR="00000000" w:rsidRPr="007530D9" w:rsidP="007530D9">
      <w:pPr>
        <w:pStyle w:val="ListBullet"/>
      </w:pPr>
      <w:r w:rsidRPr="007530D9">
        <w:t>transported 3 people with different transportation requirements to correct desti</w:t>
      </w:r>
      <w:r w:rsidRPr="007530D9">
        <w:t>nation according to safe working practices</w:t>
      </w:r>
    </w:p>
    <w:p w:rsidR="00000000" w:rsidRPr="007530D9" w:rsidP="007530D9">
      <w:pPr>
        <w:pStyle w:val="AllowPageBreak"/>
      </w:pPr>
    </w:p>
    <w:p w:rsidR="00000000" w:rsidRPr="007530D9" w:rsidP="007530D9">
      <w:pPr>
        <w:pStyle w:val="Heading1"/>
      </w:pPr>
      <w:bookmarkStart w:id="3" w:name="O_652755"/>
      <w:bookmarkEnd w:id="3"/>
      <w:r w:rsidRPr="007530D9">
        <w:t>Knowledge Evidence</w:t>
      </w:r>
    </w:p>
    <w:p w:rsidR="00000000" w:rsidRPr="007530D9" w:rsidP="005C0147">
      <w:pPr>
        <w:pStyle w:val="BodyText"/>
      </w:pPr>
      <w:r w:rsidRPr="007530D9">
        <w:t xml:space="preserve">The candidate must be able to demonstrate essential knowledge required to effectively complete tasks outlined in elements and performance criteria of </w:t>
      </w:r>
      <w:r w:rsidRPr="007530D9">
        <w:t>this unit, manage tasks and manage contingencies in the context of the work role. This includes knowledge of:</w:t>
      </w:r>
    </w:p>
    <w:p w:rsidR="00000000" w:rsidRPr="007530D9" w:rsidP="007530D9">
      <w:pPr>
        <w:pStyle w:val="ListBullet"/>
      </w:pPr>
      <w:r w:rsidRPr="007530D9">
        <w:t xml:space="preserve">organisation policies and procedures, including: </w:t>
      </w:r>
    </w:p>
    <w:p w:rsidR="00000000" w:rsidRPr="007530D9" w:rsidP="007530D9">
      <w:pPr>
        <w:pStyle w:val="ListBullet2"/>
      </w:pPr>
      <w:r w:rsidRPr="007530D9">
        <w:t>infection control</w:t>
      </w:r>
    </w:p>
    <w:p w:rsidR="00000000" w:rsidRPr="007530D9" w:rsidP="007530D9">
      <w:pPr>
        <w:pStyle w:val="ListBullet2"/>
      </w:pPr>
      <w:r w:rsidRPr="007530D9">
        <w:t>for securing a person, including a wheelchair</w:t>
      </w:r>
    </w:p>
    <w:p w:rsidR="00000000" w:rsidRPr="007530D9" w:rsidP="007530D9">
      <w:pPr>
        <w:pStyle w:val="ListBullet"/>
      </w:pPr>
      <w:r w:rsidRPr="007530D9">
        <w:t>legal and ethical considerati</w:t>
      </w:r>
      <w:r w:rsidRPr="007530D9">
        <w:t>ons for transporting individuals and how these are applied in an organisation and individual practice, including:</w:t>
      </w:r>
    </w:p>
    <w:p w:rsidR="00000000" w:rsidRPr="007530D9" w:rsidP="007530D9">
      <w:pPr>
        <w:pStyle w:val="ListBullet2"/>
      </w:pPr>
      <w:r w:rsidRPr="007530D9">
        <w:t>duty of care</w:t>
      </w:r>
    </w:p>
    <w:p w:rsidR="00000000" w:rsidRPr="007530D9" w:rsidP="007530D9">
      <w:pPr>
        <w:pStyle w:val="ListBullet2"/>
      </w:pPr>
      <w:r w:rsidRPr="007530D9">
        <w:t>human rights</w:t>
      </w:r>
    </w:p>
    <w:p w:rsidR="00000000" w:rsidRPr="007530D9" w:rsidP="007530D9">
      <w:pPr>
        <w:pStyle w:val="ListBullet2"/>
      </w:pPr>
      <w:r w:rsidRPr="007530D9">
        <w:t>privacy, confidentiality and disclosure</w:t>
      </w:r>
    </w:p>
    <w:p w:rsidR="00000000" w:rsidRPr="007530D9" w:rsidP="007530D9">
      <w:pPr>
        <w:pStyle w:val="ListBullet2"/>
      </w:pPr>
      <w:r w:rsidRPr="007530D9">
        <w:t>work role boundaries – responsibilities and limitations</w:t>
      </w:r>
    </w:p>
    <w:p w:rsidR="00000000" w:rsidRPr="007530D9" w:rsidP="007530D9">
      <w:pPr>
        <w:pStyle w:val="ListBullet2"/>
      </w:pPr>
      <w:r w:rsidRPr="007530D9">
        <w:t>work health and saf</w:t>
      </w:r>
      <w:r w:rsidRPr="007530D9">
        <w:t>ety, including manual handling</w:t>
      </w:r>
    </w:p>
    <w:p w:rsidR="00000000" w:rsidRPr="007530D9" w:rsidP="007530D9">
      <w:pPr>
        <w:pStyle w:val="ListBullet"/>
      </w:pPr>
      <w:r w:rsidRPr="007530D9">
        <w:t>issues that need to be referred to an appropriate health professional</w:t>
      </w:r>
    </w:p>
    <w:p w:rsidR="00000000" w:rsidRPr="007530D9" w:rsidP="007530D9">
      <w:pPr>
        <w:pStyle w:val="ListBullet"/>
      </w:pPr>
      <w:r w:rsidRPr="007530D9">
        <w:t>correct transportation of equipment, including:</w:t>
      </w:r>
    </w:p>
    <w:p w:rsidR="00000000" w:rsidRPr="007530D9" w:rsidP="007530D9">
      <w:pPr>
        <w:pStyle w:val="ListBullet2"/>
      </w:pPr>
      <w:r w:rsidRPr="007530D9">
        <w:t>wheelchair</w:t>
      </w:r>
    </w:p>
    <w:p w:rsidR="00000000" w:rsidRPr="007530D9" w:rsidP="007530D9">
      <w:pPr>
        <w:pStyle w:val="ListBullet2"/>
      </w:pPr>
      <w:r w:rsidRPr="007530D9">
        <w:t>stretcher</w:t>
      </w:r>
    </w:p>
    <w:p w:rsidR="00000000" w:rsidRPr="007530D9" w:rsidP="007530D9">
      <w:pPr>
        <w:pStyle w:val="ListBullet2"/>
      </w:pPr>
      <w:r w:rsidRPr="007530D9">
        <w:t>trolley</w:t>
      </w:r>
    </w:p>
    <w:p w:rsidR="00000000" w:rsidRPr="007530D9" w:rsidP="007530D9">
      <w:pPr>
        <w:pStyle w:val="ListBullet2"/>
      </w:pPr>
      <w:r w:rsidRPr="007530D9">
        <w:t>bed</w:t>
      </w:r>
    </w:p>
    <w:p w:rsidR="00000000" w:rsidRPr="007530D9" w:rsidP="007530D9">
      <w:pPr>
        <w:pStyle w:val="ListBullet2"/>
      </w:pPr>
      <w:r w:rsidRPr="007530D9">
        <w:t>intra-venous (IV) stands</w:t>
      </w:r>
    </w:p>
    <w:p w:rsidR="00000000" w:rsidRPr="007530D9" w:rsidP="007530D9">
      <w:pPr>
        <w:pStyle w:val="ListBullet2"/>
      </w:pPr>
      <w:r w:rsidRPr="007530D9">
        <w:t>oxygen</w:t>
      </w:r>
    </w:p>
    <w:p w:rsidR="00000000" w:rsidRPr="007530D9" w:rsidP="007530D9">
      <w:pPr>
        <w:pStyle w:val="AllowPageBreak"/>
      </w:pPr>
    </w:p>
    <w:p w:rsidR="00000000" w:rsidRPr="007530D9" w:rsidP="007530D9">
      <w:pPr>
        <w:pStyle w:val="Heading1"/>
      </w:pPr>
      <w:bookmarkStart w:id="4" w:name="O_652756"/>
      <w:bookmarkEnd w:id="4"/>
      <w:r w:rsidRPr="007530D9">
        <w:t>Assessment Conditions</w:t>
      </w:r>
    </w:p>
    <w:p w:rsidR="00000000" w:rsidRPr="007530D9" w:rsidP="005C0147">
      <w:pPr>
        <w:pStyle w:val="BodyText"/>
      </w:pPr>
      <w:r w:rsidRPr="007530D9">
        <w:t xml:space="preserve">Skills must be demonstrated in the workplace or in a simulated environment that reflects workplace conditions. The following conditions must be met for this unit: </w:t>
      </w:r>
    </w:p>
    <w:p w:rsidR="00000000" w:rsidRPr="007530D9" w:rsidP="007530D9">
      <w:pPr>
        <w:pStyle w:val="ListBullet"/>
      </w:pPr>
      <w:r w:rsidRPr="007530D9">
        <w:t>use of suitable facilities, equipment and resources, including vehicle or equipment used fo</w:t>
      </w:r>
      <w:r w:rsidRPr="007530D9">
        <w:t>r transporting people</w:t>
      </w:r>
    </w:p>
    <w:p w:rsidR="00000000" w:rsidRPr="007530D9" w:rsidP="007530D9">
      <w:pPr>
        <w:pStyle w:val="ListBullet"/>
      </w:pPr>
      <w:r w:rsidRPr="007530D9">
        <w:t xml:space="preserve">equipment to be transferred with the person modelling typical workplace conditions and contingencies, including: </w:t>
      </w:r>
    </w:p>
    <w:p w:rsidR="00000000" w:rsidRPr="007530D9" w:rsidP="007530D9">
      <w:pPr>
        <w:pStyle w:val="ListBullet2"/>
      </w:pPr>
      <w:r w:rsidRPr="007530D9">
        <w:t>physical and/or behavioural contingency scenarios involving duty of care</w:t>
      </w:r>
    </w:p>
    <w:p w:rsidR="00000000" w:rsidRPr="007530D9" w:rsidP="007530D9">
      <w:pPr>
        <w:pStyle w:val="ListBullet2"/>
      </w:pPr>
      <w:r w:rsidRPr="007530D9">
        <w:t>personal belongings of person being transporte</w:t>
      </w:r>
      <w:r w:rsidRPr="007530D9">
        <w:t>d</w:t>
      </w:r>
    </w:p>
    <w:p w:rsidR="00000000" w:rsidRPr="007530D9" w:rsidP="007530D9">
      <w:pPr>
        <w:pStyle w:val="ListBullet2"/>
      </w:pPr>
      <w:r w:rsidRPr="007530D9">
        <w:t xml:space="preserve">involvement of real people and equipment when transporting </w:t>
      </w:r>
    </w:p>
    <w:p w:rsidR="00000000" w:rsidRPr="007530D9" w:rsidP="007530D9">
      <w:pPr>
        <w:pStyle w:val="BodyText"/>
      </w:pPr>
    </w:p>
    <w:p w:rsidR="00000000" w:rsidRPr="007530D9" w:rsidP="005C0147">
      <w:pPr>
        <w:pStyle w:val="BodyText"/>
      </w:pPr>
      <w:r w:rsidRPr="007530D9">
        <w:t>Assessors must satisfy the Standards for Registered Training Organisations (RTOs) 2015 /AQTF mandatory competency requirements for assessors.</w:t>
      </w:r>
    </w:p>
    <w:p w:rsidR="00000000" w:rsidRPr="007530D9" w:rsidP="007530D9">
      <w:pPr>
        <w:pStyle w:val="Heading1"/>
      </w:pPr>
      <w:bookmarkStart w:id="5" w:name="O_652759"/>
      <w:bookmarkEnd w:id="5"/>
      <w:r w:rsidRPr="007530D9">
        <w:t>Links</w:t>
      </w:r>
    </w:p>
    <w:p w:rsidR="00000000" w:rsidRPr="007530D9" w:rsidP="005C0147">
      <w:pPr>
        <w:pStyle w:val="BodyText"/>
      </w:pPr>
      <w:r w:rsidRPr="00753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B7EF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530D9" w:rsidP="007530D9"/>
    <w:sectPr w:rsidSect="00753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9" w:rsidRPr="005C0147" w:rsidP="005C0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47" w:rsidP="0075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147" w:rsidP="0075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0147" w:rsidP="00753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0D9" w:rsidRPr="005C0147" w:rsidP="005C0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47" w:rsidRPr="002D2AF8" w:rsidP="0075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CHCCCS026 Transport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C0147" w:rsidP="00753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04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49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A3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0D9"/>
  </w:style>
  <w:style w:type="character" w:customStyle="1" w:styleId="Heading1Char">
    <w:name w:val="Heading 1 Char"/>
    <w:basedOn w:val="DefaultParagraphFont"/>
    <w:link w:val="Heading1"/>
    <w:rsid w:val="00753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0D9"/>
    <w:rPr>
      <w:b/>
      <w:spacing w:val="0"/>
    </w:rPr>
  </w:style>
  <w:style w:type="paragraph" w:styleId="ListBullet2">
    <w:name w:val="List Bullet 2"/>
    <w:basedOn w:val="List2"/>
    <w:rsid w:val="007530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30D9"/>
    <w:rPr>
      <w:i/>
    </w:rPr>
  </w:style>
  <w:style w:type="paragraph" w:customStyle="1" w:styleId="SuperHeading">
    <w:name w:val="SuperHeading"/>
    <w:basedOn w:val="Normal"/>
    <w:rsid w:val="00753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0D9"/>
  </w:style>
  <w:style w:type="paragraph" w:styleId="TableofFigures">
    <w:name w:val="table of figures"/>
    <w:basedOn w:val="Normal"/>
    <w:next w:val="Normal"/>
    <w:semiHidden/>
    <w:rsid w:val="00753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0D9"/>
    <w:rPr>
      <w:rFonts w:ascii="Wingdings" w:hAnsi="Wingdings"/>
    </w:rPr>
  </w:style>
  <w:style w:type="paragraph" w:customStyle="1" w:styleId="TableHeading">
    <w:name w:val="Table Heading"/>
    <w:basedOn w:val="HeadingBase"/>
    <w:rsid w:val="00753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0D9"/>
    <w:rPr>
      <w:color w:val="0033CC"/>
      <w:u w:val="none"/>
    </w:rPr>
  </w:style>
  <w:style w:type="paragraph" w:customStyle="1" w:styleId="BodyTextRight">
    <w:name w:val="Body Text Right"/>
    <w:basedOn w:val="BodyText"/>
    <w:rsid w:val="00753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0D9"/>
    <w:rPr>
      <w:sz w:val="32"/>
    </w:rPr>
  </w:style>
  <w:style w:type="paragraph" w:customStyle="1" w:styleId="HeadingProcedure">
    <w:name w:val="Heading Procedure"/>
    <w:basedOn w:val="HeadingBase"/>
    <w:next w:val="Normal"/>
    <w:rsid w:val="00753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0D9"/>
    <w:pPr>
      <w:spacing w:before="60" w:after="60"/>
    </w:pPr>
  </w:style>
  <w:style w:type="paragraph" w:styleId="ListContinue">
    <w:name w:val="List Continue"/>
    <w:basedOn w:val="List"/>
    <w:rsid w:val="007530D9"/>
    <w:pPr>
      <w:ind w:firstLine="0"/>
    </w:pPr>
  </w:style>
  <w:style w:type="paragraph" w:customStyle="1" w:styleId="ListNote">
    <w:name w:val="List Note"/>
    <w:basedOn w:val="List"/>
    <w:rsid w:val="00753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0D9"/>
    <w:rPr>
      <w:rFonts w:ascii="Courier New" w:hAnsi="Courier New"/>
    </w:rPr>
  </w:style>
  <w:style w:type="paragraph" w:customStyle="1" w:styleId="NoteBullet">
    <w:name w:val="Note Bullet"/>
    <w:basedOn w:val="Note"/>
    <w:rsid w:val="00753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0D9"/>
    <w:rPr>
      <w:b/>
      <w:smallCaps/>
    </w:rPr>
  </w:style>
  <w:style w:type="paragraph" w:customStyle="1" w:styleId="TableListNumber">
    <w:name w:val="Table List Number"/>
    <w:basedOn w:val="ListNumber"/>
    <w:rsid w:val="00753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0D9"/>
    <w:pPr>
      <w:numPr>
        <w:numId w:val="9"/>
      </w:numPr>
    </w:pPr>
  </w:style>
  <w:style w:type="paragraph" w:customStyle="1" w:styleId="ListAlpha2">
    <w:name w:val="List Alpha 2"/>
    <w:basedOn w:val="List2"/>
    <w:rsid w:val="007530D9"/>
    <w:pPr>
      <w:numPr>
        <w:numId w:val="8"/>
      </w:numPr>
    </w:pPr>
  </w:style>
  <w:style w:type="paragraph" w:styleId="List2">
    <w:name w:val="List 2"/>
    <w:basedOn w:val="BodyText"/>
    <w:rsid w:val="00753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0D9"/>
    <w:pPr>
      <w:numPr>
        <w:numId w:val="4"/>
      </w:numPr>
    </w:pPr>
  </w:style>
  <w:style w:type="paragraph" w:styleId="ListContinue2">
    <w:name w:val="List Continue 2"/>
    <w:basedOn w:val="List2"/>
    <w:rsid w:val="007530D9"/>
    <w:pPr>
      <w:ind w:firstLine="0"/>
    </w:pPr>
  </w:style>
  <w:style w:type="paragraph" w:styleId="ListContinue3">
    <w:name w:val="List Continue 3"/>
    <w:basedOn w:val="List3"/>
    <w:rsid w:val="007530D9"/>
    <w:pPr>
      <w:ind w:left="1021" w:firstLine="0"/>
    </w:pPr>
  </w:style>
  <w:style w:type="paragraph" w:styleId="ListContinue4">
    <w:name w:val="List Continue 4"/>
    <w:basedOn w:val="List4"/>
    <w:rsid w:val="007530D9"/>
    <w:pPr>
      <w:ind w:firstLine="0"/>
    </w:pPr>
  </w:style>
  <w:style w:type="paragraph" w:styleId="ListContinue5">
    <w:name w:val="List Continue 5"/>
    <w:basedOn w:val="List5"/>
    <w:rsid w:val="007530D9"/>
    <w:pPr>
      <w:ind w:firstLine="0"/>
    </w:pPr>
  </w:style>
  <w:style w:type="paragraph" w:styleId="ListNumber3">
    <w:name w:val="List Number 3"/>
    <w:basedOn w:val="List3"/>
    <w:rsid w:val="007530D9"/>
    <w:pPr>
      <w:numPr>
        <w:numId w:val="5"/>
      </w:numPr>
    </w:pPr>
  </w:style>
  <w:style w:type="paragraph" w:styleId="ListNumber4">
    <w:name w:val="List Number 4"/>
    <w:basedOn w:val="List4"/>
    <w:rsid w:val="007530D9"/>
    <w:pPr>
      <w:numPr>
        <w:numId w:val="6"/>
      </w:numPr>
    </w:pPr>
  </w:style>
  <w:style w:type="paragraph" w:styleId="ListNumber5">
    <w:name w:val="List Number 5"/>
    <w:basedOn w:val="List5"/>
    <w:rsid w:val="007530D9"/>
    <w:pPr>
      <w:numPr>
        <w:numId w:val="7"/>
      </w:numPr>
    </w:pPr>
  </w:style>
  <w:style w:type="paragraph" w:styleId="BlockText">
    <w:name w:val="Block Text"/>
    <w:basedOn w:val="Normal"/>
    <w:rsid w:val="00753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0D9"/>
    <w:rPr>
      <w:sz w:val="16"/>
      <w:vertAlign w:val="superscript"/>
    </w:rPr>
  </w:style>
  <w:style w:type="character" w:customStyle="1" w:styleId="Symbols">
    <w:name w:val="Symbols"/>
    <w:basedOn w:val="DefaultParagraphFont"/>
    <w:rsid w:val="007530D9"/>
    <w:rPr>
      <w:rFonts w:ascii="Symbol" w:hAnsi="Symbol"/>
    </w:rPr>
  </w:style>
  <w:style w:type="character" w:customStyle="1" w:styleId="MenuOptions">
    <w:name w:val="Menu Options"/>
    <w:basedOn w:val="DefaultParagraphFont"/>
    <w:rsid w:val="00753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0D9"/>
    <w:rPr>
      <w:b/>
    </w:rPr>
  </w:style>
  <w:style w:type="character" w:customStyle="1" w:styleId="Underlined">
    <w:name w:val="Underlined"/>
    <w:basedOn w:val="DefaultParagraphFont"/>
    <w:rsid w:val="007530D9"/>
    <w:rPr>
      <w:u w:val="single"/>
    </w:rPr>
  </w:style>
  <w:style w:type="paragraph" w:customStyle="1" w:styleId="TableBodyTextRight">
    <w:name w:val="Table Body Text Right"/>
    <w:basedOn w:val="TableBodyText"/>
    <w:rsid w:val="00753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0D9"/>
    <w:rPr>
      <w:sz w:val="18"/>
    </w:rPr>
  </w:style>
  <w:style w:type="paragraph" w:customStyle="1" w:styleId="BodySmallRight">
    <w:name w:val="Body Small Right"/>
    <w:basedOn w:val="BodyTextRight"/>
    <w:rsid w:val="007530D9"/>
    <w:rPr>
      <w:sz w:val="18"/>
      <w:szCs w:val="18"/>
    </w:rPr>
  </w:style>
  <w:style w:type="paragraph" w:customStyle="1" w:styleId="MarginEdition">
    <w:name w:val="Margin Edition"/>
    <w:basedOn w:val="MarginNote"/>
    <w:rsid w:val="00753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0D9"/>
    <w:rPr>
      <w:sz w:val="2"/>
      <w:szCs w:val="2"/>
    </w:rPr>
  </w:style>
  <w:style w:type="character" w:customStyle="1" w:styleId="Small">
    <w:name w:val="Small"/>
    <w:basedOn w:val="DefaultParagraphFont"/>
    <w:rsid w:val="007530D9"/>
    <w:rPr>
      <w:sz w:val="16"/>
    </w:rPr>
  </w:style>
  <w:style w:type="paragraph" w:customStyle="1" w:styleId="WideTable">
    <w:name w:val="Wide Table"/>
    <w:basedOn w:val="Normal"/>
    <w:rsid w:val="00753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0D9"/>
  </w:style>
  <w:style w:type="paragraph" w:styleId="Quote">
    <w:name w:val="Quote"/>
    <w:basedOn w:val="Heading1"/>
    <w:link w:val="QuoteChar"/>
    <w:qFormat/>
    <w:rsid w:val="00753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0D9"/>
    <w:pPr>
      <w:pageBreakBefore/>
    </w:pPr>
  </w:style>
  <w:style w:type="paragraph" w:customStyle="1" w:styleId="Border">
    <w:name w:val="Border"/>
    <w:basedOn w:val="Normal"/>
    <w:qFormat/>
    <w:rsid w:val="00753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0D9"/>
    <w:rPr>
      <w:u w:val="single"/>
    </w:rPr>
  </w:style>
  <w:style w:type="character" w:customStyle="1" w:styleId="BoldandItalics">
    <w:name w:val="Bold and Italics"/>
    <w:qFormat/>
    <w:rsid w:val="007530D9"/>
    <w:rPr>
      <w:b/>
      <w:i/>
      <w:u w:val="none"/>
    </w:rPr>
  </w:style>
  <w:style w:type="paragraph" w:styleId="BalloonText">
    <w:name w:val="Balloon Text"/>
    <w:basedOn w:val="Normal"/>
    <w:link w:val="BalloonTextChar"/>
    <w:rsid w:val="0075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0D9"/>
    <w:pPr>
      <w:spacing w:before="0" w:after="0"/>
    </w:pPr>
  </w:style>
  <w:style w:type="paragraph" w:customStyle="1" w:styleId="BodyTextBold">
    <w:name w:val="Body Text Bold"/>
    <w:basedOn w:val="BodyText"/>
    <w:qFormat/>
    <w:rsid w:val="007530D9"/>
    <w:rPr>
      <w:b/>
    </w:rPr>
  </w:style>
  <w:style w:type="character" w:styleId="Hyperlink">
    <w:name w:val="Hyperlink"/>
    <w:basedOn w:val="DefaultParagraphFont"/>
    <w:uiPriority w:val="99"/>
    <w:unhideWhenUsed/>
    <w:rsid w:val="005C0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2492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CHCCCS026 Transport individuals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