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E4E" w:rsidP="00496E4E">
      <w:pPr>
        <w:pStyle w:val="Title"/>
      </w:pPr>
      <w:r>
        <w:fldChar w:fldCharType="begin"/>
      </w:r>
      <w:r>
        <w:instrText xml:space="preserve"> TITLE   \* MERGEFORMAT </w:instrText>
      </w:r>
      <w:r>
        <w:fldChar w:fldCharType="separate"/>
      </w:r>
      <w:r>
        <w:t>CHCAOD003 Provide needle and syringe services</w:t>
      </w:r>
      <w:r>
        <w:fldChar w:fldCharType="end"/>
      </w:r>
    </w:p>
    <w:p w:rsidR="00496E4E" w:rsidP="00496E4E">
      <w:pPr>
        <w:pStyle w:val="Version"/>
        <w:sectPr w:rsidSect="00696C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6CDE" w:rsidP="00696CDE">
      <w:pPr>
        <w:pStyle w:val="SuperHeading"/>
      </w:pPr>
      <w:r w:rsidRPr="00696CDE">
        <w:t>CHCAOD003 Provide needle and syringe services</w:t>
      </w:r>
    </w:p>
    <w:p w:rsidR="00000000" w:rsidRPr="00696CDE" w:rsidP="00696CDE">
      <w:pPr>
        <w:pStyle w:val="Heading1"/>
      </w:pPr>
      <w:bookmarkStart w:id="1" w:name="O_744824"/>
      <w:bookmarkEnd w:id="1"/>
      <w:r w:rsidRPr="00696CDE">
        <w:t>Modification History</w:t>
      </w:r>
    </w:p>
    <w:tbl>
      <w:tblPr>
        <w:tblW w:w="0" w:type="auto"/>
        <w:tblLayout w:type="fixed"/>
        <w:tblCellMar>
          <w:left w:w="62" w:type="dxa"/>
          <w:right w:w="62" w:type="dxa"/>
        </w:tblCellMar>
        <w:tblLook w:val="0000"/>
      </w:tblPr>
      <w:tblGrid>
        <w:gridCol w:w="2790"/>
        <w:gridCol w:w="6344"/>
      </w:tblGrid>
      <w:tr w:rsidTr="00696CD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CDE" w:rsidP="00696CDE">
            <w:pPr>
              <w:pStyle w:val="BodyText"/>
            </w:pPr>
            <w:r w:rsidRPr="00696CD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CDE">
            <w:pPr>
              <w:pStyle w:val="BodyText"/>
              <w:rPr>
                <w:lang w:val="en-NZ"/>
              </w:rPr>
            </w:pPr>
            <w:r w:rsidRPr="00696CDE">
              <w:rPr>
                <w:rStyle w:val="SpecialBold"/>
              </w:rPr>
              <w:t>Comments</w:t>
            </w:r>
          </w:p>
        </w:tc>
      </w:tr>
      <w:tr w:rsidTr="00696CD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CDE">
            <w:pPr>
              <w:pStyle w:val="BodyText"/>
              <w:rPr>
                <w:lang w:val="en-NZ"/>
              </w:rPr>
            </w:pPr>
            <w:r w:rsidRPr="00696CD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CDE" w:rsidP="00696CDE">
            <w:pPr>
              <w:pStyle w:val="BodyText"/>
            </w:pPr>
            <w:r w:rsidRPr="00696CDE">
              <w:t xml:space="preserve">This version was released in </w:t>
            </w:r>
            <w:r w:rsidRPr="00696CDE">
              <w:rPr>
                <w:rStyle w:val="Emphasis"/>
              </w:rPr>
              <w:t>CHC Community Services Training Package release 2.0</w:t>
            </w:r>
            <w:r w:rsidRPr="00696CDE">
              <w:t xml:space="preserve"> and meets the requirements of the 2012 Standards for Training Packages.</w:t>
            </w:r>
          </w:p>
          <w:p w:rsidR="00000000" w:rsidRPr="00696CDE" w:rsidP="00696CDE">
            <w:pPr>
              <w:pStyle w:val="BodyText"/>
            </w:pPr>
            <w:r w:rsidRPr="00696CDE">
              <w:t>Significant changes to elements and performanc</w:t>
            </w:r>
            <w:r w:rsidRPr="00696CDE">
              <w:t>e criteria. New evidence requirements for assessment, including volume and frequency requirements. Significant change to knowledge evidence.</w:t>
            </w:r>
          </w:p>
        </w:tc>
      </w:tr>
    </w:tbl>
    <w:p w:rsidR="00000000" w:rsidRPr="00696CDE" w:rsidP="00696CDE">
      <w:pPr>
        <w:pStyle w:val="BodyText"/>
      </w:pPr>
    </w:p>
    <w:p w:rsidR="00000000" w:rsidRPr="00696CDE" w:rsidP="00696CDE">
      <w:pPr>
        <w:pStyle w:val="AllowPageBreak"/>
      </w:pPr>
    </w:p>
    <w:p w:rsidR="00000000" w:rsidRPr="00696CDE" w:rsidP="00696CDE">
      <w:pPr>
        <w:pStyle w:val="Heading1"/>
      </w:pPr>
      <w:bookmarkStart w:id="2" w:name="O_744825"/>
      <w:bookmarkEnd w:id="2"/>
      <w:r w:rsidRPr="00696CDE">
        <w:t>Application</w:t>
      </w:r>
    </w:p>
    <w:p w:rsidR="00000000" w:rsidRPr="00696CDE" w:rsidP="00496E4E">
      <w:pPr>
        <w:pStyle w:val="BodyText"/>
      </w:pPr>
      <w:r w:rsidRPr="00696CDE">
        <w:t>This unit describes the skills knowledge required to determine client needs, provide</w:t>
      </w:r>
      <w:r w:rsidRPr="00696CDE">
        <w:t xml:space="preserve"> clean needle and syringe services and offer education on safer drug use to clients. </w:t>
      </w:r>
    </w:p>
    <w:p w:rsidR="00000000" w:rsidRPr="00696CDE" w:rsidP="00496E4E">
      <w:pPr>
        <w:pStyle w:val="BodyText"/>
      </w:pPr>
      <w:r w:rsidRPr="00696CDE">
        <w:t>This unit applies to people working with drug injecting clients in needle and syringe services.</w:t>
      </w:r>
    </w:p>
    <w:p w:rsidR="00000000" w:rsidRPr="00496E4E" w:rsidP="00496E4E">
      <w:pPr>
        <w:pStyle w:val="BodyText"/>
        <w:rPr>
          <w:i/>
        </w:rPr>
      </w:pPr>
      <w:r w:rsidRPr="00496E4E">
        <w:rPr>
          <w:rStyle w:val="Emphasis"/>
        </w:rPr>
        <w:t xml:space="preserve">The skills in this unit must be applied in accordance with Commonwealth </w:t>
      </w:r>
      <w:r w:rsidRPr="00496E4E">
        <w:rPr>
          <w:rStyle w:val="Emphasis"/>
        </w:rPr>
        <w:t>and State/Territory legislation, Australian/New Zealand standards and industry codes of practice.</w:t>
      </w:r>
    </w:p>
    <w:p w:rsidR="00000000" w:rsidRPr="00696CDE" w:rsidP="00696CDE">
      <w:pPr>
        <w:pStyle w:val="Heading1"/>
      </w:pPr>
      <w:bookmarkStart w:id="3" w:name="O_744829"/>
      <w:bookmarkEnd w:id="3"/>
      <w:r w:rsidRPr="00696CDE">
        <w:t>Elements and Performance Criteria</w:t>
      </w:r>
    </w:p>
    <w:tbl>
      <w:tblPr>
        <w:tblW w:w="0" w:type="auto"/>
        <w:tblLayout w:type="fixed"/>
        <w:tblCellMar>
          <w:left w:w="62" w:type="dxa"/>
          <w:right w:w="62" w:type="dxa"/>
        </w:tblCellMar>
        <w:tblLook w:val="0000"/>
      </w:tblPr>
      <w:tblGrid>
        <w:gridCol w:w="3261"/>
        <w:gridCol w:w="5703"/>
      </w:tblGrid>
      <w:tr w:rsidTr="00696CD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96CDE" w:rsidP="00696CDE">
            <w:pPr>
              <w:pStyle w:val="BodyText"/>
            </w:pPr>
            <w:r w:rsidRPr="00696CDE">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696CDE">
            <w:pPr>
              <w:pStyle w:val="BodyText"/>
              <w:rPr>
                <w:lang w:val="en-NZ"/>
              </w:rPr>
            </w:pPr>
            <w:r w:rsidRPr="00696CDE">
              <w:rPr>
                <w:rStyle w:val="SpecialBold"/>
              </w:rPr>
              <w:t>PERFORMANCE CRITERIA</w:t>
            </w:r>
          </w:p>
        </w:tc>
      </w:tr>
      <w:tr w:rsidTr="00696CD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96CDE" w:rsidP="00696CDE">
            <w:pPr>
              <w:pStyle w:val="BodyText"/>
            </w:pPr>
            <w:r w:rsidRPr="00696CDE">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696CDE">
            <w:pPr>
              <w:pStyle w:val="BodyText"/>
              <w:rPr>
                <w:lang w:val="en-NZ"/>
              </w:rPr>
            </w:pPr>
            <w:r w:rsidRPr="00696CDE">
              <w:rPr>
                <w:rStyle w:val="Emphasis"/>
              </w:rPr>
              <w:t>Performance criteria describe the performance needed to demonstrate achievement of the element</w:t>
            </w:r>
          </w:p>
        </w:tc>
      </w:tr>
      <w:tr w:rsidTr="00696C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96CDE">
            <w:pPr>
              <w:pStyle w:val="BodyText"/>
              <w:rPr>
                <w:lang w:val="en-NZ"/>
              </w:rPr>
            </w:pPr>
            <w:r w:rsidRPr="00696CDE">
              <w:t>1. Determine client needs</w:t>
            </w:r>
          </w:p>
        </w:tc>
        <w:tc>
          <w:tcPr>
            <w:tcW w:w="5703" w:type="dxa"/>
            <w:tcBorders>
              <w:top w:val="nil"/>
              <w:left w:val="nil"/>
              <w:bottom w:val="nil"/>
              <w:right w:val="nil"/>
            </w:tcBorders>
            <w:tcMar>
              <w:top w:w="0" w:type="dxa"/>
              <w:left w:w="62" w:type="dxa"/>
              <w:bottom w:w="0" w:type="dxa"/>
              <w:right w:w="62" w:type="dxa"/>
            </w:tcMar>
          </w:tcPr>
          <w:p w:rsidR="00000000" w:rsidRPr="00696CDE" w:rsidP="00696CDE">
            <w:pPr>
              <w:pStyle w:val="BodyText"/>
            </w:pPr>
            <w:r w:rsidRPr="00696CDE">
              <w:t>1.1 Follow organisation procedures to identify scope of client needs</w:t>
            </w:r>
          </w:p>
          <w:p w:rsidR="00000000" w:rsidRPr="00696CDE" w:rsidP="00696CDE">
            <w:pPr>
              <w:pStyle w:val="BodyText"/>
            </w:pPr>
            <w:r w:rsidRPr="00696CDE">
              <w:t>1.2 Maintain client confidentiality in line with organisation and</w:t>
            </w:r>
            <w:r w:rsidRPr="00696CDE">
              <w:t xml:space="preserve"> legislative guidelines</w:t>
            </w:r>
          </w:p>
          <w:p w:rsidR="00000000" w:rsidRPr="00696CDE" w:rsidP="00696CDE">
            <w:pPr>
              <w:pStyle w:val="BodyText"/>
            </w:pPr>
            <w:r w:rsidRPr="00696CDE">
              <w:t xml:space="preserve">1.3 Assess and respond to any risks to the safety of client, self and others </w:t>
            </w:r>
          </w:p>
          <w:p w:rsidR="00000000" w:rsidP="00696CDE">
            <w:pPr>
              <w:pStyle w:val="BodyText"/>
              <w:rPr>
                <w:lang w:val="en-NZ"/>
              </w:rPr>
            </w:pPr>
            <w:r w:rsidRPr="00696CDE">
              <w:t>1.4 Identify and respond to the need for emergency assistance as required</w:t>
            </w:r>
          </w:p>
        </w:tc>
      </w:tr>
      <w:tr w:rsidTr="00696C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96CDE">
            <w:pPr>
              <w:pStyle w:val="BodyText"/>
              <w:rPr>
                <w:lang w:val="en-NZ"/>
              </w:rPr>
            </w:pPr>
          </w:p>
        </w:tc>
      </w:tr>
      <w:tr w:rsidTr="00696C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96CDE">
            <w:pPr>
              <w:pStyle w:val="BodyText"/>
              <w:rPr>
                <w:lang w:val="en-NZ"/>
              </w:rPr>
            </w:pPr>
            <w:r w:rsidRPr="00696CDE">
              <w:t>2. Provide clean needles and syringes</w:t>
            </w:r>
          </w:p>
        </w:tc>
        <w:tc>
          <w:tcPr>
            <w:tcW w:w="5703" w:type="dxa"/>
            <w:tcBorders>
              <w:top w:val="nil"/>
              <w:left w:val="nil"/>
              <w:bottom w:val="nil"/>
              <w:right w:val="nil"/>
            </w:tcBorders>
            <w:tcMar>
              <w:top w:w="0" w:type="dxa"/>
              <w:left w:w="62" w:type="dxa"/>
              <w:bottom w:w="0" w:type="dxa"/>
              <w:right w:w="62" w:type="dxa"/>
            </w:tcMar>
          </w:tcPr>
          <w:p w:rsidR="00000000" w:rsidRPr="00696CDE" w:rsidP="00696CDE">
            <w:pPr>
              <w:pStyle w:val="BodyText"/>
            </w:pPr>
            <w:r w:rsidRPr="00696CDE">
              <w:t>2.1 Follow organisation infection cont</w:t>
            </w:r>
            <w:r w:rsidRPr="00696CDE">
              <w:t>rol procedures</w:t>
            </w:r>
          </w:p>
          <w:p w:rsidR="00000000" w:rsidRPr="00696CDE" w:rsidP="00696CDE">
            <w:pPr>
              <w:pStyle w:val="BodyText"/>
            </w:pPr>
            <w:r w:rsidRPr="00696CDE">
              <w:t>2.2 Organise and provide equipment based on client needs and organisation procedures</w:t>
            </w:r>
          </w:p>
          <w:p w:rsidR="00000000" w:rsidRPr="00696CDE" w:rsidP="00696CDE">
            <w:pPr>
              <w:pStyle w:val="BodyText"/>
            </w:pPr>
            <w:r w:rsidRPr="00696CDE">
              <w:t>2.3 Monitor client according organisation procedures</w:t>
            </w:r>
          </w:p>
          <w:p w:rsidR="00000000" w:rsidP="00696CDE">
            <w:pPr>
              <w:pStyle w:val="BodyText"/>
              <w:rPr>
                <w:lang w:val="en-NZ"/>
              </w:rPr>
            </w:pPr>
            <w:r w:rsidRPr="00696CDE">
              <w:t>2.4 Accurately document details of clean needle and syringe services provided</w:t>
            </w:r>
          </w:p>
        </w:tc>
      </w:tr>
      <w:tr w:rsidTr="00696C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96CDE">
            <w:pPr>
              <w:pStyle w:val="BodyText"/>
              <w:rPr>
                <w:lang w:val="en-NZ"/>
              </w:rPr>
            </w:pPr>
          </w:p>
        </w:tc>
      </w:tr>
      <w:tr w:rsidTr="00696C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96CDE">
            <w:pPr>
              <w:pStyle w:val="BodyText"/>
              <w:rPr>
                <w:lang w:val="en-NZ"/>
              </w:rPr>
            </w:pPr>
            <w:r w:rsidRPr="00696CDE">
              <w:t>3. Provide education on safer drug use</w:t>
            </w:r>
          </w:p>
        </w:tc>
        <w:tc>
          <w:tcPr>
            <w:tcW w:w="5703" w:type="dxa"/>
            <w:tcBorders>
              <w:top w:val="nil"/>
              <w:left w:val="nil"/>
              <w:bottom w:val="nil"/>
              <w:right w:val="nil"/>
            </w:tcBorders>
            <w:tcMar>
              <w:top w:w="0" w:type="dxa"/>
              <w:left w:w="62" w:type="dxa"/>
              <w:bottom w:w="0" w:type="dxa"/>
              <w:right w:w="62" w:type="dxa"/>
            </w:tcMar>
          </w:tcPr>
          <w:p w:rsidR="00000000" w:rsidRPr="00696CDE" w:rsidP="00696CDE">
            <w:pPr>
              <w:pStyle w:val="BodyText"/>
            </w:pPr>
            <w:r w:rsidRPr="00696CDE">
              <w:t xml:space="preserve">3.1 Provide information on safe needle and syringe handling and drug use to users of the service </w:t>
            </w:r>
          </w:p>
          <w:p w:rsidR="00000000" w:rsidRPr="00696CDE" w:rsidP="00696CDE">
            <w:pPr>
              <w:pStyle w:val="BodyText"/>
            </w:pPr>
            <w:r w:rsidRPr="00696CDE">
              <w:t>3.2 Provide clients with relevant and current information on alcohol and other drugs (AOD) and related issues and discu</w:t>
            </w:r>
            <w:r w:rsidRPr="00696CDE">
              <w:t>ss the issues with them</w:t>
            </w:r>
          </w:p>
          <w:p w:rsidR="00000000" w:rsidRPr="00696CDE" w:rsidP="00696CDE">
            <w:pPr>
              <w:pStyle w:val="BodyText"/>
            </w:pPr>
            <w:r w:rsidRPr="00696CDE">
              <w:t xml:space="preserve">3.3 Discuss risks and relevant harm minimisation strategies for alcohol and/or other drug use with clients </w:t>
            </w:r>
          </w:p>
          <w:p w:rsidR="00000000" w:rsidP="00696CDE">
            <w:pPr>
              <w:pStyle w:val="BodyText"/>
              <w:rPr>
                <w:lang w:val="en-NZ"/>
              </w:rPr>
            </w:pPr>
            <w:r w:rsidRPr="00696CDE">
              <w:t>3.4 Assist clients to contact and use other support services as required</w:t>
            </w:r>
          </w:p>
        </w:tc>
      </w:tr>
      <w:tr w:rsidTr="00696C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696CDE" w:rsidP="00696CDE">
            <w:pPr>
              <w:pStyle w:val="BodyText"/>
            </w:pPr>
          </w:p>
        </w:tc>
      </w:tr>
    </w:tbl>
    <w:p w:rsidR="00000000" w:rsidRPr="00696CDE" w:rsidP="00696CDE">
      <w:pPr>
        <w:pStyle w:val="BodyText"/>
      </w:pPr>
    </w:p>
    <w:p w:rsidR="00000000" w:rsidRPr="00696CDE" w:rsidP="00696CDE">
      <w:pPr>
        <w:pStyle w:val="AllowPageBreak"/>
      </w:pPr>
    </w:p>
    <w:p w:rsidR="00000000" w:rsidRPr="00696CDE" w:rsidP="00696CDE">
      <w:pPr>
        <w:pStyle w:val="Heading1"/>
      </w:pPr>
      <w:bookmarkStart w:id="4" w:name="O_744830"/>
      <w:bookmarkEnd w:id="4"/>
      <w:r w:rsidRPr="00696CDE">
        <w:t>Foundation Skills</w:t>
      </w:r>
    </w:p>
    <w:tbl>
      <w:tblPr>
        <w:tblW w:w="0" w:type="auto"/>
        <w:tblLayout w:type="fixed"/>
        <w:tblCellMar>
          <w:left w:w="62" w:type="dxa"/>
          <w:right w:w="62" w:type="dxa"/>
        </w:tblCellMar>
        <w:tblLook w:val="0000"/>
      </w:tblPr>
      <w:tblGrid>
        <w:gridCol w:w="8964"/>
      </w:tblGrid>
      <w:tr w:rsidTr="00696CD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96CDE">
            <w:pPr>
              <w:pStyle w:val="BodyText"/>
              <w:rPr>
                <w:lang w:val="en-NZ"/>
              </w:rPr>
            </w:pPr>
            <w:r w:rsidRPr="00696CDE">
              <w:rPr>
                <w:rStyle w:val="Emphasis"/>
              </w:rPr>
              <w:t>The Foundat</w:t>
            </w:r>
            <w:r w:rsidRPr="00696CDE">
              <w:rPr>
                <w:rStyle w:val="Emphasis"/>
              </w:rPr>
              <w:t>ion Skills describe those required skills (language, literacy, numeracy and employment skills) that are essential to performance.</w:t>
            </w:r>
          </w:p>
        </w:tc>
      </w:tr>
      <w:tr w:rsidTr="00696CD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96CDE" w:rsidP="00696CDE">
            <w:pPr>
              <w:pStyle w:val="BodyText"/>
            </w:pPr>
            <w:r w:rsidRPr="00696CDE">
              <w:t>Foundation skills essential to performance are explicit in the performance criteria of this unit of competency.</w:t>
            </w:r>
          </w:p>
        </w:tc>
      </w:tr>
    </w:tbl>
    <w:p w:rsidR="00000000" w:rsidRPr="00696CDE" w:rsidP="00696CDE">
      <w:pPr>
        <w:pStyle w:val="BodyText"/>
      </w:pPr>
    </w:p>
    <w:p w:rsidR="00000000" w:rsidRPr="00696CDE" w:rsidP="00696CDE">
      <w:pPr>
        <w:pStyle w:val="AllowPageBreak"/>
      </w:pPr>
    </w:p>
    <w:p w:rsidR="00000000" w:rsidRPr="00696CDE" w:rsidP="00696CDE">
      <w:pPr>
        <w:pStyle w:val="Heading1"/>
      </w:pPr>
      <w:bookmarkStart w:id="5" w:name="O_744832"/>
      <w:bookmarkEnd w:id="5"/>
      <w:r w:rsidRPr="00696CDE">
        <w:t>Unit Mapping Information</w:t>
      </w:r>
    </w:p>
    <w:p w:rsidR="00000000" w:rsidRPr="00696CDE" w:rsidP="00696CDE">
      <w:pPr>
        <w:pStyle w:val="Heading1"/>
      </w:pPr>
      <w:bookmarkStart w:id="6" w:name="O_744839"/>
      <w:bookmarkEnd w:id="6"/>
      <w:r w:rsidRPr="00696CDE">
        <w:t>Links</w:t>
      </w:r>
    </w:p>
    <w:p w:rsidR="00000000" w:rsidRPr="00696CDE" w:rsidP="00496E4E">
      <w:pPr>
        <w:pStyle w:val="BodyText"/>
      </w:pPr>
      <w:r w:rsidRPr="00696CD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043F2">
        <w:rPr>
          <w:rStyle w:val="Hyperlink"/>
        </w:rPr>
        <w:t>https://vetnet.gov.au/Pages/TrainingDocs.aspx?q=5e0c25cc-3d9d-4b43-80d3-bd22cc4f1e53</w:t>
      </w:r>
      <w:r>
        <w:fldChar w:fldCharType="end"/>
      </w:r>
    </w:p>
    <w:p w:rsidR="00000000" w:rsidRPr="00696CDE" w:rsidP="00496E4E">
      <w:pPr>
        <w:pStyle w:val="BodyText"/>
        <w:sectPr w:rsidSect="00696CDE">
          <w:headerReference w:type="default" r:id="rId10"/>
          <w:footerReference w:type="default" r:id="rId11"/>
          <w:pgSz w:w="11908" w:h="16833"/>
          <w:pgMar w:top="1702" w:right="1418" w:bottom="1702" w:left="1418" w:header="992" w:footer="992" w:gutter="0"/>
          <w:cols w:space="720"/>
          <w:noEndnote/>
          <w:docGrid w:linePitch="299"/>
        </w:sectPr>
      </w:pPr>
    </w:p>
    <w:p w:rsidR="00000000" w:rsidRPr="00696CDE" w:rsidP="00696CDE">
      <w:pPr>
        <w:pStyle w:val="SuperHeading"/>
      </w:pPr>
      <w:r w:rsidRPr="00696CDE">
        <w:t>Assessme</w:t>
      </w:r>
      <w:r w:rsidRPr="00696CDE">
        <w:t>nt Requirements for CHCAOD003 Provide needle and syringe services</w:t>
      </w:r>
    </w:p>
    <w:p w:rsidR="00000000" w:rsidRPr="00696CDE" w:rsidP="00696CDE">
      <w:pPr>
        <w:pStyle w:val="Heading1"/>
      </w:pPr>
      <w:bookmarkStart w:id="7" w:name="O_744834"/>
      <w:bookmarkEnd w:id="7"/>
      <w:r w:rsidRPr="00696CDE">
        <w:t>Modification History</w:t>
      </w:r>
    </w:p>
    <w:tbl>
      <w:tblPr>
        <w:tblW w:w="0" w:type="auto"/>
        <w:tblLayout w:type="fixed"/>
        <w:tblCellMar>
          <w:left w:w="62" w:type="dxa"/>
          <w:right w:w="62" w:type="dxa"/>
        </w:tblCellMar>
        <w:tblLook w:val="0000"/>
      </w:tblPr>
      <w:tblGrid>
        <w:gridCol w:w="2790"/>
        <w:gridCol w:w="6344"/>
      </w:tblGrid>
      <w:tr w:rsidTr="00696CD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CDE" w:rsidP="00696CDE">
            <w:pPr>
              <w:pStyle w:val="BodyText"/>
            </w:pPr>
            <w:r w:rsidRPr="00696CD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CDE">
            <w:pPr>
              <w:pStyle w:val="BodyText"/>
              <w:rPr>
                <w:lang w:val="en-NZ"/>
              </w:rPr>
            </w:pPr>
            <w:r w:rsidRPr="00696CDE">
              <w:rPr>
                <w:rStyle w:val="SpecialBold"/>
              </w:rPr>
              <w:t>Comments</w:t>
            </w:r>
          </w:p>
        </w:tc>
      </w:tr>
      <w:tr w:rsidTr="00696CD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CDE">
            <w:pPr>
              <w:pStyle w:val="BodyText"/>
              <w:rPr>
                <w:lang w:val="en-NZ"/>
              </w:rPr>
            </w:pPr>
            <w:r w:rsidRPr="00696CD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CDE" w:rsidP="00696CDE">
            <w:pPr>
              <w:pStyle w:val="BodyText"/>
            </w:pPr>
            <w:r w:rsidRPr="00696CDE">
              <w:t xml:space="preserve">This version was released in </w:t>
            </w:r>
            <w:r w:rsidRPr="00696CDE">
              <w:rPr>
                <w:rStyle w:val="Emphasis"/>
              </w:rPr>
              <w:t>CHC Community Services Training Package release 2.0</w:t>
            </w:r>
            <w:r w:rsidRPr="00696CDE">
              <w:t xml:space="preserve"> and meets the requirements of the 2012 Standards for Training Packages.</w:t>
            </w:r>
          </w:p>
          <w:p w:rsidR="00000000" w:rsidRPr="00696CDE" w:rsidP="00696CDE">
            <w:pPr>
              <w:pStyle w:val="BodyText"/>
            </w:pPr>
            <w:r w:rsidRPr="00696CDE">
              <w:t>Significant changes to elements and performance criteria. New evidence requirements for assessment, including volume and frequency requirements. Significant change to knowledge eviden</w:t>
            </w:r>
            <w:r w:rsidRPr="00696CDE">
              <w:t>ce.</w:t>
            </w:r>
          </w:p>
        </w:tc>
      </w:tr>
    </w:tbl>
    <w:p w:rsidR="00000000" w:rsidRPr="00696CDE" w:rsidP="00696CDE">
      <w:pPr>
        <w:pStyle w:val="BodyText"/>
      </w:pPr>
    </w:p>
    <w:p w:rsidR="00000000" w:rsidRPr="00696CDE" w:rsidP="00696CDE">
      <w:pPr>
        <w:pStyle w:val="AllowPageBreak"/>
      </w:pPr>
    </w:p>
    <w:p w:rsidR="00000000" w:rsidRPr="00696CDE" w:rsidP="00696CDE">
      <w:pPr>
        <w:pStyle w:val="Heading1"/>
      </w:pPr>
      <w:bookmarkStart w:id="8" w:name="O_744835"/>
      <w:bookmarkEnd w:id="8"/>
      <w:r w:rsidRPr="00696CDE">
        <w:t>Performance Evidence</w:t>
      </w:r>
    </w:p>
    <w:p w:rsidR="00000000" w:rsidRPr="00696CDE" w:rsidP="00496E4E">
      <w:pPr>
        <w:pStyle w:val="BodyText"/>
      </w:pPr>
      <w:r w:rsidRPr="00696CDE">
        <w:t>The candidate must show evidence of the ability to complete tasks outlined in elements and performance criteria of this unit, manage tasks and manage contingencies in the context of the job role. There must be de</w:t>
      </w:r>
      <w:r w:rsidRPr="00696CDE">
        <w:t>monstrated evidence that the candidate has:</w:t>
      </w:r>
    </w:p>
    <w:p w:rsidR="00000000" w:rsidRPr="00696CDE" w:rsidP="00696CDE">
      <w:pPr>
        <w:pStyle w:val="ListBullet"/>
      </w:pPr>
      <w:r w:rsidRPr="00696CDE">
        <w:t>provided clean needle and syringe services and education on safer drug use to at least 2 clients, including information on:</w:t>
      </w:r>
    </w:p>
    <w:p w:rsidR="00000000" w:rsidRPr="00696CDE" w:rsidP="00696CDE">
      <w:pPr>
        <w:pStyle w:val="ListBullet2"/>
      </w:pPr>
      <w:r w:rsidRPr="00696CDE">
        <w:t>safer injecting</w:t>
      </w:r>
    </w:p>
    <w:p w:rsidR="00000000" w:rsidRPr="00696CDE" w:rsidP="00696CDE">
      <w:pPr>
        <w:pStyle w:val="ListBullet2"/>
      </w:pPr>
      <w:r w:rsidRPr="00696CDE">
        <w:t>vein care</w:t>
      </w:r>
    </w:p>
    <w:p w:rsidR="00000000" w:rsidRPr="00696CDE" w:rsidP="00696CDE">
      <w:pPr>
        <w:pStyle w:val="ListBullet2"/>
      </w:pPr>
      <w:r w:rsidRPr="00696CDE">
        <w:t xml:space="preserve">viral hepatitis </w:t>
      </w:r>
    </w:p>
    <w:p w:rsidR="00000000" w:rsidRPr="00696CDE" w:rsidP="00696CDE">
      <w:pPr>
        <w:pStyle w:val="ListBullet2"/>
      </w:pPr>
      <w:r w:rsidRPr="00696CDE">
        <w:t>other blood borne virus transmission risks</w:t>
      </w:r>
    </w:p>
    <w:p w:rsidR="00000000" w:rsidRPr="00696CDE" w:rsidP="00696CDE">
      <w:pPr>
        <w:pStyle w:val="ListBullet2"/>
      </w:pPr>
      <w:r w:rsidRPr="00696CDE">
        <w:t>testing</w:t>
      </w:r>
    </w:p>
    <w:p w:rsidR="00000000" w:rsidRPr="00696CDE" w:rsidP="00696CDE">
      <w:pPr>
        <w:pStyle w:val="ListBullet2"/>
      </w:pPr>
      <w:r w:rsidRPr="00696CDE">
        <w:t>treatment and support information services</w:t>
      </w:r>
    </w:p>
    <w:p w:rsidR="00000000" w:rsidRPr="00696CDE" w:rsidP="00696CDE">
      <w:pPr>
        <w:pStyle w:val="AllowPageBreak"/>
      </w:pPr>
    </w:p>
    <w:p w:rsidR="00000000" w:rsidRPr="00696CDE" w:rsidP="00696CDE">
      <w:pPr>
        <w:pStyle w:val="Heading1"/>
      </w:pPr>
      <w:bookmarkStart w:id="9" w:name="O_744836"/>
      <w:bookmarkEnd w:id="9"/>
      <w:r w:rsidRPr="00696CDE">
        <w:t>Knowledge Evidence</w:t>
      </w:r>
    </w:p>
    <w:p w:rsidR="00000000" w:rsidRPr="00696CDE" w:rsidP="00496E4E">
      <w:pPr>
        <w:pStyle w:val="BodyText"/>
      </w:pPr>
      <w:r w:rsidRPr="00696CDE">
        <w:t xml:space="preserve">The candidate must be able to demonstrate essential knowledge required to effectively do the task outlined in elements and performance criteria of this unit, manage the </w:t>
      </w:r>
      <w:r w:rsidRPr="00696CDE">
        <w:t>task and manage contingencies in the context of the work role. This includes knowledge of:</w:t>
      </w:r>
    </w:p>
    <w:p w:rsidR="00000000" w:rsidRPr="00696CDE" w:rsidP="00696CDE">
      <w:pPr>
        <w:pStyle w:val="ListBullet"/>
      </w:pPr>
      <w:r w:rsidRPr="00696CDE">
        <w:t>legal and ethical considerations (international, national, state/territory, local) in AOD work and how they are applied in organisations and individual practice:</w:t>
      </w:r>
    </w:p>
    <w:p w:rsidR="00000000" w:rsidRPr="00696CDE" w:rsidP="00696CDE">
      <w:pPr>
        <w:pStyle w:val="ListBullet2"/>
      </w:pPr>
      <w:r w:rsidRPr="00696CDE">
        <w:t>c</w:t>
      </w:r>
      <w:r w:rsidRPr="00696CDE">
        <w:t>hildren in the workplace</w:t>
      </w:r>
    </w:p>
    <w:p w:rsidR="00000000" w:rsidRPr="00696CDE" w:rsidP="00696CDE">
      <w:pPr>
        <w:pStyle w:val="ListBullet2"/>
      </w:pPr>
      <w:r w:rsidRPr="00696CDE">
        <w:t xml:space="preserve">codes of conduct </w:t>
      </w:r>
    </w:p>
    <w:p w:rsidR="00000000" w:rsidRPr="00696CDE" w:rsidP="00696CDE">
      <w:pPr>
        <w:pStyle w:val="ListBullet2"/>
      </w:pPr>
      <w:r w:rsidRPr="00696CDE">
        <w:t>codes of practice</w:t>
      </w:r>
    </w:p>
    <w:p w:rsidR="00000000" w:rsidRPr="00696CDE" w:rsidP="00696CDE">
      <w:pPr>
        <w:pStyle w:val="ListBullet2"/>
      </w:pPr>
      <w:r w:rsidRPr="00696CDE">
        <w:t>discrimination</w:t>
      </w:r>
    </w:p>
    <w:p w:rsidR="00000000" w:rsidRPr="00696CDE" w:rsidP="00696CDE">
      <w:pPr>
        <w:pStyle w:val="ListBullet2"/>
      </w:pPr>
      <w:r w:rsidRPr="00696CDE">
        <w:t xml:space="preserve">dignity of risk </w:t>
      </w:r>
    </w:p>
    <w:p w:rsidR="00000000" w:rsidRPr="00696CDE" w:rsidP="00696CDE">
      <w:pPr>
        <w:pStyle w:val="ListBullet2"/>
      </w:pPr>
      <w:r w:rsidRPr="00696CDE">
        <w:t xml:space="preserve">duty of care </w:t>
      </w:r>
    </w:p>
    <w:p w:rsidR="00000000" w:rsidRPr="00696CDE" w:rsidP="00696CDE">
      <w:pPr>
        <w:pStyle w:val="ListBullet2"/>
      </w:pPr>
      <w:r w:rsidRPr="00696CDE">
        <w:t xml:space="preserve">human rights </w:t>
      </w:r>
    </w:p>
    <w:p w:rsidR="00000000" w:rsidRPr="00696CDE" w:rsidP="00696CDE">
      <w:pPr>
        <w:pStyle w:val="ListBullet2"/>
      </w:pPr>
      <w:r w:rsidRPr="00696CDE">
        <w:t xml:space="preserve">informed consent </w:t>
      </w:r>
    </w:p>
    <w:p w:rsidR="00000000" w:rsidRPr="00696CDE" w:rsidP="00696CDE">
      <w:pPr>
        <w:pStyle w:val="ListBullet2"/>
      </w:pPr>
      <w:r w:rsidRPr="00696CDE">
        <w:t xml:space="preserve">mandatory reporting </w:t>
      </w:r>
    </w:p>
    <w:p w:rsidR="00000000" w:rsidRPr="00696CDE" w:rsidP="00696CDE">
      <w:pPr>
        <w:pStyle w:val="ListBullet2"/>
      </w:pPr>
      <w:r w:rsidRPr="00696CDE">
        <w:t xml:space="preserve">practice standards </w:t>
      </w:r>
    </w:p>
    <w:p w:rsidR="00000000" w:rsidRPr="00696CDE" w:rsidP="00696CDE">
      <w:pPr>
        <w:pStyle w:val="ListBullet2"/>
      </w:pPr>
      <w:r w:rsidRPr="00696CDE">
        <w:t>privacy, confidentiality and disclosure, including limitations</w:t>
      </w:r>
    </w:p>
    <w:p w:rsidR="00000000" w:rsidRPr="00696CDE" w:rsidP="00696CDE">
      <w:pPr>
        <w:pStyle w:val="ListBullet2"/>
      </w:pPr>
      <w:r w:rsidRPr="00696CDE">
        <w:t xml:space="preserve">policy frameworks </w:t>
      </w:r>
    </w:p>
    <w:p w:rsidR="00000000" w:rsidRPr="00696CDE" w:rsidP="00696CDE">
      <w:pPr>
        <w:pStyle w:val="ListBullet2"/>
      </w:pPr>
      <w:r w:rsidRPr="00696CDE">
        <w:t xml:space="preserve">records management </w:t>
      </w:r>
    </w:p>
    <w:p w:rsidR="00000000" w:rsidRPr="00696CDE" w:rsidP="00696CDE">
      <w:pPr>
        <w:pStyle w:val="ListBullet2"/>
      </w:pPr>
      <w:r w:rsidRPr="00696CDE">
        <w:t>rights and responsibilities of workers, employers and clients</w:t>
      </w:r>
    </w:p>
    <w:p w:rsidR="00000000" w:rsidRPr="00696CDE" w:rsidP="00696CDE">
      <w:pPr>
        <w:pStyle w:val="ListBullet2"/>
      </w:pPr>
      <w:r w:rsidRPr="00696CDE">
        <w:t>specific AOD legislation</w:t>
      </w:r>
    </w:p>
    <w:p w:rsidR="00000000" w:rsidRPr="00696CDE" w:rsidP="00696CDE">
      <w:pPr>
        <w:pStyle w:val="ListBullet2"/>
      </w:pPr>
      <w:r w:rsidRPr="00696CDE">
        <w:t>work role boundaries – responsibilities and limitations</w:t>
      </w:r>
    </w:p>
    <w:p w:rsidR="00000000" w:rsidRPr="00696CDE" w:rsidP="00696CDE">
      <w:pPr>
        <w:pStyle w:val="ListBullet2"/>
      </w:pPr>
      <w:r w:rsidRPr="00696CDE">
        <w:t>work health and safety</w:t>
      </w:r>
    </w:p>
    <w:p w:rsidR="00000000" w:rsidRPr="00696CDE" w:rsidP="00696CDE">
      <w:pPr>
        <w:pStyle w:val="ListBullet"/>
      </w:pPr>
      <w:r w:rsidRPr="00696CDE">
        <w:t xml:space="preserve">World Health Organisation’s </w:t>
      </w:r>
      <w:r w:rsidRPr="00696CDE">
        <w:rPr>
          <w:rStyle w:val="Emphasis"/>
        </w:rPr>
        <w:t>Standard precautions</w:t>
      </w:r>
      <w:r w:rsidRPr="00696CDE">
        <w:t xml:space="preserve"> for health care, including: </w:t>
      </w:r>
    </w:p>
    <w:p w:rsidR="00000000" w:rsidRPr="00696CDE" w:rsidP="00696CDE">
      <w:pPr>
        <w:pStyle w:val="ListBullet2"/>
      </w:pPr>
      <w:r w:rsidRPr="00696CDE">
        <w:t>personal and hand hygiene</w:t>
      </w:r>
    </w:p>
    <w:p w:rsidR="00000000" w:rsidRPr="00696CDE" w:rsidP="00696CDE">
      <w:pPr>
        <w:pStyle w:val="ListBullet2"/>
      </w:pPr>
      <w:r w:rsidRPr="00696CDE">
        <w:t xml:space="preserve">use and scope of personal protective equipment guidelines </w:t>
      </w:r>
    </w:p>
    <w:p w:rsidR="00000000" w:rsidRPr="00696CDE" w:rsidP="00696CDE">
      <w:pPr>
        <w:pStyle w:val="ListBullet2"/>
      </w:pPr>
      <w:r w:rsidRPr="00696CDE">
        <w:t>surface cleaning</w:t>
      </w:r>
    </w:p>
    <w:p w:rsidR="00000000" w:rsidRPr="00696CDE" w:rsidP="00696CDE">
      <w:pPr>
        <w:pStyle w:val="ListBullet2"/>
      </w:pPr>
      <w:r w:rsidRPr="00696CDE">
        <w:t>sharps handling and disposal techniques</w:t>
      </w:r>
    </w:p>
    <w:p w:rsidR="00000000" w:rsidRPr="00696CDE" w:rsidP="00696CDE">
      <w:pPr>
        <w:pStyle w:val="ListBullet2"/>
      </w:pPr>
      <w:r w:rsidRPr="00696CDE">
        <w:t xml:space="preserve">cleaning and sterilisation procedures for equipment </w:t>
      </w:r>
    </w:p>
    <w:p w:rsidR="00000000" w:rsidRPr="00696CDE" w:rsidP="00696CDE">
      <w:pPr>
        <w:pStyle w:val="ListBullet"/>
      </w:pPr>
      <w:r w:rsidRPr="00696CDE">
        <w:t>public health benefits of needle and syringe programs</w:t>
      </w:r>
    </w:p>
    <w:p w:rsidR="00000000" w:rsidRPr="00696CDE" w:rsidP="00696CDE">
      <w:pPr>
        <w:pStyle w:val="ListBullet"/>
      </w:pPr>
      <w:r w:rsidRPr="00696CDE">
        <w:t>features and safe use of injecting equipment</w:t>
      </w:r>
    </w:p>
    <w:p w:rsidR="00000000" w:rsidRPr="00696CDE" w:rsidP="00696CDE">
      <w:pPr>
        <w:pStyle w:val="ListBullet"/>
      </w:pPr>
      <w:r w:rsidRPr="00696CDE">
        <w:t>needle stick injury procedures</w:t>
      </w:r>
    </w:p>
    <w:p w:rsidR="00000000" w:rsidRPr="00696CDE" w:rsidP="00696CDE">
      <w:pPr>
        <w:pStyle w:val="ListBullet"/>
      </w:pPr>
      <w:r w:rsidRPr="00696CDE">
        <w:t>self-care procedures</w:t>
      </w:r>
    </w:p>
    <w:p w:rsidR="00000000" w:rsidRPr="00696CDE" w:rsidP="00696CDE">
      <w:pPr>
        <w:pStyle w:val="ListBullet"/>
      </w:pPr>
      <w:r w:rsidRPr="00696CDE">
        <w:t>risks associated with injected drugs:</w:t>
      </w:r>
    </w:p>
    <w:p w:rsidR="00000000" w:rsidRPr="00696CDE" w:rsidP="00696CDE">
      <w:pPr>
        <w:pStyle w:val="ListBullet2"/>
      </w:pPr>
      <w:r w:rsidRPr="00696CDE">
        <w:t xml:space="preserve">blood-borne viruses (BBV’s) </w:t>
      </w:r>
    </w:p>
    <w:p w:rsidR="00000000" w:rsidRPr="00696CDE" w:rsidP="00696CDE">
      <w:pPr>
        <w:pStyle w:val="ListBullet2"/>
      </w:pPr>
      <w:r w:rsidRPr="00696CDE">
        <w:t>sexually transmitted infections (STI’</w:t>
      </w:r>
      <w:r w:rsidRPr="00696CDE">
        <w:t>s)</w:t>
      </w:r>
    </w:p>
    <w:p w:rsidR="00000000" w:rsidRPr="00696CDE" w:rsidP="00696CDE">
      <w:pPr>
        <w:pStyle w:val="ListBullet2"/>
      </w:pPr>
      <w:r w:rsidRPr="00696CDE">
        <w:t>hepatitis C including transmission risks, testing, treatment and support information and services</w:t>
      </w:r>
    </w:p>
    <w:p w:rsidR="00000000" w:rsidRPr="00696CDE" w:rsidP="00696CDE">
      <w:pPr>
        <w:pStyle w:val="ListBullet2"/>
      </w:pPr>
      <w:r w:rsidRPr="00696CDE">
        <w:t>strategies for self-protection including universal precautions</w:t>
      </w:r>
    </w:p>
    <w:p w:rsidR="00000000" w:rsidRPr="00696CDE" w:rsidP="00696CDE">
      <w:pPr>
        <w:pStyle w:val="ListBullet"/>
      </w:pPr>
      <w:r w:rsidRPr="00696CDE">
        <w:t>current information on AOD issues, including:</w:t>
      </w:r>
    </w:p>
    <w:p w:rsidR="00000000" w:rsidRPr="00696CDE" w:rsidP="00696CDE">
      <w:pPr>
        <w:pStyle w:val="ListBullet2"/>
      </w:pPr>
      <w:r w:rsidRPr="00696CDE">
        <w:t>drugs prevalence in the local community</w:t>
      </w:r>
    </w:p>
    <w:p w:rsidR="00000000" w:rsidRPr="00696CDE" w:rsidP="00696CDE">
      <w:pPr>
        <w:pStyle w:val="ListBullet2"/>
      </w:pPr>
      <w:r w:rsidRPr="00696CDE">
        <w:t>information on meeting physical, emotional, financial and social needs</w:t>
      </w:r>
    </w:p>
    <w:p w:rsidR="00000000" w:rsidRPr="00696CDE" w:rsidP="00696CDE">
      <w:pPr>
        <w:pStyle w:val="ListBullet2"/>
      </w:pPr>
      <w:r w:rsidRPr="00696CDE">
        <w:t>mental health, suicide and self-harm</w:t>
      </w:r>
    </w:p>
    <w:p w:rsidR="00000000" w:rsidRPr="00696CDE" w:rsidP="00696CDE">
      <w:pPr>
        <w:pStyle w:val="ListBullet2"/>
      </w:pPr>
      <w:r w:rsidRPr="00696CDE">
        <w:t>harm minimisation strategies</w:t>
      </w:r>
    </w:p>
    <w:p w:rsidR="00000000" w:rsidRPr="00696CDE" w:rsidP="00696CDE">
      <w:pPr>
        <w:pStyle w:val="ListBullet"/>
      </w:pPr>
      <w:r w:rsidRPr="00696CDE">
        <w:t>available support services and resources:</w:t>
      </w:r>
    </w:p>
    <w:p w:rsidR="00000000" w:rsidRPr="00696CDE" w:rsidP="00696CDE">
      <w:pPr>
        <w:pStyle w:val="ListBullet2"/>
      </w:pPr>
      <w:r w:rsidRPr="00696CDE">
        <w:t>crisis and emergency contacts</w:t>
      </w:r>
    </w:p>
    <w:p w:rsidR="00000000" w:rsidRPr="00696CDE" w:rsidP="00696CDE">
      <w:pPr>
        <w:pStyle w:val="ListBullet2"/>
      </w:pPr>
      <w:r w:rsidRPr="00696CDE">
        <w:t>available agencies and their scope of service</w:t>
      </w:r>
      <w:r w:rsidRPr="00696CDE">
        <w:t xml:space="preserve">, including: </w:t>
      </w:r>
    </w:p>
    <w:p w:rsidR="00000000" w:rsidRPr="00696CDE" w:rsidP="00696CDE">
      <w:pPr>
        <w:pStyle w:val="ListBullet3"/>
      </w:pPr>
      <w:r w:rsidRPr="00696CDE">
        <w:t>self help groups</w:t>
      </w:r>
    </w:p>
    <w:p w:rsidR="00000000" w:rsidRPr="00696CDE" w:rsidP="00696CDE">
      <w:pPr>
        <w:pStyle w:val="ListBullet3"/>
      </w:pPr>
      <w:r w:rsidRPr="00696CDE">
        <w:t>advocacy groups</w:t>
      </w:r>
    </w:p>
    <w:p w:rsidR="00000000" w:rsidRPr="00696CDE" w:rsidP="00696CDE">
      <w:pPr>
        <w:pStyle w:val="ListBullet2"/>
      </w:pPr>
      <w:r w:rsidRPr="00696CDE">
        <w:t>resources on:</w:t>
      </w:r>
    </w:p>
    <w:p w:rsidR="00000000" w:rsidRPr="00696CDE" w:rsidP="00696CDE">
      <w:pPr>
        <w:pStyle w:val="ListBullet3"/>
      </w:pPr>
      <w:r w:rsidRPr="00696CDE">
        <w:t>dependency</w:t>
      </w:r>
    </w:p>
    <w:p w:rsidR="00000000" w:rsidRPr="00696CDE" w:rsidP="00696CDE">
      <w:pPr>
        <w:pStyle w:val="ListBullet3"/>
      </w:pPr>
      <w:r w:rsidRPr="00696CDE">
        <w:t>AOD issues for families or personal network</w:t>
      </w:r>
    </w:p>
    <w:p w:rsidR="00000000" w:rsidRPr="00696CDE" w:rsidP="00696CDE">
      <w:pPr>
        <w:pStyle w:val="AllowPageBreak"/>
      </w:pPr>
    </w:p>
    <w:p w:rsidR="00000000" w:rsidRPr="00696CDE" w:rsidP="00696CDE">
      <w:pPr>
        <w:pStyle w:val="Heading1"/>
      </w:pPr>
      <w:bookmarkStart w:id="10" w:name="O_744837"/>
      <w:bookmarkEnd w:id="10"/>
      <w:r w:rsidRPr="00696CDE">
        <w:t>Assessment Conditions</w:t>
      </w:r>
    </w:p>
    <w:p w:rsidR="00000000" w:rsidRPr="00696CDE" w:rsidP="00496E4E">
      <w:pPr>
        <w:pStyle w:val="BodyText"/>
      </w:pPr>
      <w:r w:rsidRPr="00696CDE">
        <w:t>Skills must have been demonstrated in the workplace or in a simulated environment th</w:t>
      </w:r>
      <w:r w:rsidRPr="00696CDE">
        <w:t xml:space="preserve">at reflects workplace conditions. The following conditions must be met for this unit: </w:t>
      </w:r>
    </w:p>
    <w:p w:rsidR="00000000" w:rsidRPr="00696CDE" w:rsidP="00696CDE">
      <w:pPr>
        <w:pStyle w:val="ListBullet"/>
      </w:pPr>
      <w:r w:rsidRPr="00696CDE">
        <w:t xml:space="preserve">use of suitable facilities, equipment and resources, including: </w:t>
      </w:r>
    </w:p>
    <w:p w:rsidR="00000000" w:rsidRPr="00696CDE" w:rsidP="00696CDE">
      <w:pPr>
        <w:pStyle w:val="ListBullet2"/>
      </w:pPr>
      <w:r w:rsidRPr="00696CDE">
        <w:t>needles</w:t>
      </w:r>
    </w:p>
    <w:p w:rsidR="00000000" w:rsidRPr="00696CDE" w:rsidP="00696CDE">
      <w:pPr>
        <w:pStyle w:val="ListBullet2"/>
      </w:pPr>
      <w:r w:rsidRPr="00696CDE">
        <w:t>syringes</w:t>
      </w:r>
    </w:p>
    <w:p w:rsidR="00000000" w:rsidRPr="00696CDE" w:rsidP="00696CDE">
      <w:pPr>
        <w:pStyle w:val="ListBullet2"/>
      </w:pPr>
      <w:r w:rsidRPr="00696CDE">
        <w:t>disposable containers</w:t>
      </w:r>
    </w:p>
    <w:p w:rsidR="00000000" w:rsidRPr="00696CDE" w:rsidP="00696CDE">
      <w:pPr>
        <w:pStyle w:val="ListBullet2"/>
      </w:pPr>
      <w:r w:rsidRPr="00696CDE">
        <w:t>water</w:t>
      </w:r>
    </w:p>
    <w:p w:rsidR="00000000" w:rsidRPr="00696CDE" w:rsidP="00696CDE">
      <w:pPr>
        <w:pStyle w:val="ListBullet2"/>
      </w:pPr>
      <w:r w:rsidRPr="00696CDE">
        <w:t>single use tray</w:t>
      </w:r>
    </w:p>
    <w:p w:rsidR="00000000" w:rsidRPr="00696CDE" w:rsidP="00696CDE">
      <w:pPr>
        <w:pStyle w:val="ListBullet2"/>
      </w:pPr>
      <w:r w:rsidRPr="00696CDE">
        <w:t>plastic gloves</w:t>
      </w:r>
    </w:p>
    <w:p w:rsidR="00000000" w:rsidRPr="00696CDE" w:rsidP="00696CDE">
      <w:pPr>
        <w:pStyle w:val="ListBullet2"/>
      </w:pPr>
      <w:r w:rsidRPr="00696CDE">
        <w:t>body fluids clean up kit</w:t>
      </w:r>
    </w:p>
    <w:p w:rsidR="00000000" w:rsidRPr="00696CDE" w:rsidP="00696CDE">
      <w:pPr>
        <w:pStyle w:val="ListBullet2"/>
      </w:pPr>
      <w:r w:rsidRPr="00696CDE">
        <w:t>safe disposal facilities</w:t>
      </w:r>
    </w:p>
    <w:p w:rsidR="00000000" w:rsidRPr="00696CDE" w:rsidP="00696CDE">
      <w:pPr>
        <w:pStyle w:val="ListBullet2"/>
      </w:pPr>
      <w:r w:rsidRPr="00696CDE">
        <w:t>organisation policies and procedures</w:t>
      </w:r>
    </w:p>
    <w:p w:rsidR="00000000" w:rsidRPr="00696CDE" w:rsidP="00696CDE">
      <w:pPr>
        <w:pStyle w:val="ListBullet"/>
      </w:pPr>
      <w:r w:rsidRPr="00696CDE">
        <w:t>modelling of industry operating conditions, including</w:t>
      </w:r>
    </w:p>
    <w:p w:rsidR="00000000" w:rsidRPr="00696CDE" w:rsidP="00696CDE">
      <w:pPr>
        <w:pStyle w:val="ListBullet2"/>
      </w:pPr>
      <w:r w:rsidRPr="00696CDE">
        <w:t>involvement of people with whom the candidate can interact</w:t>
      </w:r>
    </w:p>
    <w:p w:rsidR="00000000" w:rsidRPr="00696CDE" w:rsidP="00696CDE">
      <w:pPr>
        <w:pStyle w:val="ListBullet2"/>
      </w:pPr>
      <w:r w:rsidRPr="00696CDE">
        <w:t>scenarios that cater to a range of settings, including crisis situations</w:t>
      </w:r>
    </w:p>
    <w:p w:rsidR="00000000" w:rsidRPr="00696CDE" w:rsidP="00696CDE">
      <w:pPr>
        <w:pStyle w:val="BodyText"/>
      </w:pPr>
    </w:p>
    <w:p w:rsidR="00000000" w:rsidRPr="00696CDE" w:rsidP="00496E4E">
      <w:pPr>
        <w:pStyle w:val="BodyText"/>
      </w:pPr>
      <w:r w:rsidRPr="00696CDE">
        <w:t>Assessors must satisfy the Standards for Registered Training Organisations (RTOs) 2015/AQTF mandatory competency requirements for assessors.</w:t>
      </w:r>
    </w:p>
    <w:p w:rsidR="00000000" w:rsidRPr="00696CDE" w:rsidP="00696CDE">
      <w:pPr>
        <w:pStyle w:val="Heading1"/>
      </w:pPr>
      <w:bookmarkStart w:id="11" w:name="O_744840"/>
      <w:bookmarkEnd w:id="11"/>
      <w:r w:rsidRPr="00696CDE">
        <w:t>Links</w:t>
      </w:r>
    </w:p>
    <w:p w:rsidR="00000000" w:rsidRPr="00696CDE" w:rsidP="00496E4E">
      <w:pPr>
        <w:pStyle w:val="BodyText"/>
      </w:pPr>
      <w:r w:rsidRPr="00696CD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043F2">
        <w:rPr>
          <w:rStyle w:val="Hyperlink"/>
        </w:rPr>
        <w:t>https://vetnet.gov.au/Pages/TrainingDocs.aspx?q=5e0c25cc-3d9d-4b43-80d3-bd22cc4f1e53</w:t>
      </w:r>
      <w:r>
        <w:fldChar w:fldCharType="end"/>
      </w:r>
    </w:p>
    <w:p w:rsidR="00000000" w:rsidRPr="00696CDE" w:rsidP="00696CDE"/>
    <w:sectPr w:rsidSect="00696C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DE" w:rsidRPr="00496E4E" w:rsidP="00496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E4E" w:rsidP="00696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6E4E" w:rsidP="00696C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96E4E" w:rsidP="00696C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DE" w:rsidP="00696CDE">
    <w:pPr>
      <w:pStyle w:val="Footer"/>
      <w:framePr w:wrap="around"/>
    </w:pPr>
    <w:r>
      <w:fldChar w:fldCharType="begin"/>
    </w:r>
    <w:r>
      <w:instrText xml:space="preserve"> DOCPROPERTY  Subject  \* MERGEFORMAT </w:instrText>
    </w:r>
    <w:r>
      <w:fldChar w:fldCharType="separate"/>
    </w:r>
    <w:r w:rsidR="00496E4E">
      <w:t>Approved</w:t>
    </w:r>
    <w:r w:rsidR="00496E4E">
      <w:fldChar w:fldCharType="end"/>
    </w:r>
    <w:r>
      <w:tab/>
      <w:t xml:space="preserve">Page </w:t>
    </w:r>
    <w:r>
      <w:fldChar w:fldCharType="begin"/>
    </w:r>
    <w:r>
      <w:instrText xml:space="preserve"> PAGE  \* Arabic  \* MERGEFORMAT </w:instrText>
    </w:r>
    <w:r>
      <w:fldChar w:fldCharType="separate"/>
    </w:r>
    <w:r w:rsidR="00496E4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6E4E">
      <w:rPr>
        <w:noProof/>
      </w:rPr>
      <w:t>5</w:t>
    </w:r>
    <w:r>
      <w:rPr>
        <w:noProof/>
      </w:rPr>
      <w:fldChar w:fldCharType="end"/>
    </w:r>
  </w:p>
  <w:p w:rsidR="00696CDE" w:rsidP="00696CDE">
    <w:pPr>
      <w:pStyle w:val="Footer"/>
      <w:framePr w:wrap="around"/>
    </w:pPr>
    <w:r>
      <w:t xml:space="preserve">© Commonwealth of Australia, </w:t>
    </w:r>
    <w:r>
      <w:fldChar w:fldCharType="begin"/>
    </w:r>
    <w:r>
      <w:instrText xml:space="preserve"> DATE  \@ "yyyy"  \* MERGEFORMAT </w:instrText>
    </w:r>
    <w:r>
      <w:fldChar w:fldCharType="separate"/>
    </w:r>
    <w:r w:rsidR="00496E4E">
      <w:rPr>
        <w:noProof/>
      </w:rPr>
      <w:t>2025</w:t>
    </w:r>
    <w:r>
      <w:fldChar w:fldCharType="end"/>
    </w:r>
    <w:r>
      <w:tab/>
    </w:r>
    <w:r>
      <w:fldChar w:fldCharType="begin"/>
    </w:r>
    <w:r>
      <w:instrText xml:space="preserve"> DOCPROPERTY  Author  \* MERGEFORMAT </w:instrText>
    </w:r>
    <w:r>
      <w:fldChar w:fldCharType="separate"/>
    </w:r>
    <w:r w:rsidR="00496E4E">
      <w:t>HumanAbility</w:t>
    </w:r>
    <w:r w:rsidR="00496E4E">
      <w:fldChar w:fldCharType="end"/>
    </w:r>
  </w:p>
  <w:p w:rsidR="00696CDE" w:rsidP="00696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E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6CDE" w:rsidRPr="00496E4E" w:rsidP="00496E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E4E" w:rsidRPr="002D2AF8" w:rsidP="00696CDE">
    <w:pPr>
      <w:pStyle w:val="Header"/>
      <w:framePr w:wrap="around"/>
    </w:pPr>
    <w:r>
      <w:fldChar w:fldCharType="begin"/>
    </w:r>
    <w:r>
      <w:instrText xml:space="preserve"> TITLE   \* MERGEFORMAT </w:instrText>
    </w:r>
    <w:r>
      <w:fldChar w:fldCharType="separate"/>
    </w:r>
    <w:r>
      <w:t>CHCAOD003 Provide needle and syringe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6E4E" w:rsidP="00696C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DE" w:rsidRPr="002D2AF8" w:rsidP="00696CDE">
    <w:pPr>
      <w:pStyle w:val="Header"/>
      <w:framePr w:wrap="around"/>
    </w:pPr>
    <w:r>
      <w:fldChar w:fldCharType="begin"/>
    </w:r>
    <w:r>
      <w:instrText xml:space="preserve"> TITLE   \* MERGEFORMAT </w:instrText>
    </w:r>
    <w:r>
      <w:fldChar w:fldCharType="separate"/>
    </w:r>
    <w:r w:rsidR="00496E4E">
      <w:t>CHCAOD003 Provide needle and syringe services</w:t>
    </w:r>
    <w:r w:rsidR="00496E4E">
      <w:fldChar w:fldCharType="end"/>
    </w:r>
    <w:r>
      <w:tab/>
      <w:t xml:space="preserve">Date this document was generated: </w:t>
    </w:r>
    <w:r>
      <w:fldChar w:fldCharType="begin"/>
    </w:r>
    <w:r>
      <w:instrText xml:space="preserve"> CREATEDATE  \@ "d MMMM yyyy"  \* MERGEFORMAT </w:instrText>
    </w:r>
    <w:r>
      <w:fldChar w:fldCharType="separate"/>
    </w:r>
    <w:r w:rsidR="00496E4E">
      <w:rPr>
        <w:noProof/>
      </w:rPr>
      <w:t>2 March 2025</w:t>
    </w:r>
    <w:r>
      <w:fldChar w:fldCharType="end"/>
    </w:r>
  </w:p>
  <w:p w:rsidR="00696CDE" w:rsidP="00696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6C2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F03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FC5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6CDE"/>
    <w:pPr>
      <w:spacing w:before="360" w:after="60"/>
      <w:outlineLvl w:val="0"/>
    </w:pPr>
    <w:rPr>
      <w:sz w:val="32"/>
    </w:rPr>
  </w:style>
  <w:style w:type="paragraph" w:styleId="Heading2">
    <w:name w:val="heading 2"/>
    <w:basedOn w:val="HeadingBase"/>
    <w:next w:val="BodyText"/>
    <w:link w:val="Heading2Char"/>
    <w:qFormat/>
    <w:rsid w:val="00696CDE"/>
    <w:pPr>
      <w:keepLines/>
      <w:spacing w:before="240" w:after="120"/>
      <w:outlineLvl w:val="1"/>
    </w:pPr>
    <w:rPr>
      <w:sz w:val="28"/>
      <w:szCs w:val="40"/>
    </w:rPr>
  </w:style>
  <w:style w:type="paragraph" w:styleId="Heading3">
    <w:name w:val="heading 3"/>
    <w:basedOn w:val="HeadingBase"/>
    <w:next w:val="BodyText"/>
    <w:link w:val="Heading3Char"/>
    <w:qFormat/>
    <w:rsid w:val="00696CDE"/>
    <w:pPr>
      <w:spacing w:before="180" w:after="120"/>
      <w:outlineLvl w:val="2"/>
    </w:pPr>
    <w:rPr>
      <w:spacing w:val="-10"/>
      <w:kern w:val="32"/>
    </w:rPr>
  </w:style>
  <w:style w:type="paragraph" w:styleId="Heading4">
    <w:name w:val="heading 4"/>
    <w:basedOn w:val="HeadingBase"/>
    <w:next w:val="BodyText"/>
    <w:link w:val="Heading4Char"/>
    <w:qFormat/>
    <w:rsid w:val="00696CDE"/>
    <w:pPr>
      <w:spacing w:before="160" w:after="120"/>
      <w:outlineLvl w:val="3"/>
    </w:pPr>
    <w:rPr>
      <w:sz w:val="22"/>
    </w:rPr>
  </w:style>
  <w:style w:type="paragraph" w:styleId="Heading5">
    <w:name w:val="heading 5"/>
    <w:basedOn w:val="HeadingBase"/>
    <w:next w:val="Normal"/>
    <w:link w:val="Heading5Char"/>
    <w:qFormat/>
    <w:rsid w:val="00696CDE"/>
    <w:pPr>
      <w:spacing w:before="80"/>
      <w:outlineLvl w:val="4"/>
    </w:pPr>
    <w:rPr>
      <w:color w:val="918585"/>
      <w:sz w:val="20"/>
    </w:rPr>
  </w:style>
  <w:style w:type="paragraph" w:styleId="Heading6">
    <w:name w:val="heading 6"/>
    <w:basedOn w:val="HeadingBase"/>
    <w:next w:val="Normal"/>
    <w:link w:val="Heading6Char"/>
    <w:qFormat/>
    <w:rsid w:val="00696CDE"/>
    <w:pPr>
      <w:spacing w:before="60"/>
      <w:outlineLvl w:val="5"/>
    </w:pPr>
    <w:rPr>
      <w:color w:val="918585"/>
      <w:sz w:val="20"/>
    </w:rPr>
  </w:style>
  <w:style w:type="paragraph" w:styleId="Heading7">
    <w:name w:val="heading 7"/>
    <w:basedOn w:val="Normal"/>
    <w:next w:val="Normal"/>
    <w:link w:val="Heading7Char"/>
    <w:qFormat/>
    <w:rsid w:val="00696CDE"/>
    <w:pPr>
      <w:ind w:left="720"/>
      <w:outlineLvl w:val="6"/>
    </w:pPr>
    <w:rPr>
      <w:i/>
    </w:rPr>
  </w:style>
  <w:style w:type="paragraph" w:styleId="Heading8">
    <w:name w:val="heading 8"/>
    <w:basedOn w:val="Normal"/>
    <w:next w:val="Normal"/>
    <w:link w:val="Heading8Char"/>
    <w:qFormat/>
    <w:rsid w:val="00696CDE"/>
    <w:pPr>
      <w:ind w:left="720"/>
      <w:outlineLvl w:val="7"/>
    </w:pPr>
    <w:rPr>
      <w:i/>
    </w:rPr>
  </w:style>
  <w:style w:type="paragraph" w:styleId="Heading9">
    <w:name w:val="heading 9"/>
    <w:basedOn w:val="Normal"/>
    <w:next w:val="Normal"/>
    <w:link w:val="Heading9Char"/>
    <w:qFormat/>
    <w:rsid w:val="00696CDE"/>
    <w:pPr>
      <w:ind w:left="720"/>
      <w:outlineLvl w:val="8"/>
    </w:pPr>
    <w:rPr>
      <w:i/>
    </w:rPr>
  </w:style>
  <w:style w:type="character" w:default="1" w:styleId="DefaultParagraphFont">
    <w:name w:val="Default Paragraph Font"/>
    <w:uiPriority w:val="1"/>
    <w:unhideWhenUsed/>
    <w:rsid w:val="00696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CDE"/>
  </w:style>
  <w:style w:type="character" w:customStyle="1" w:styleId="Heading1Char">
    <w:name w:val="Heading 1 Char"/>
    <w:basedOn w:val="DefaultParagraphFont"/>
    <w:link w:val="Heading1"/>
    <w:rsid w:val="00696CDE"/>
    <w:rPr>
      <w:rFonts w:ascii="Times New Roman" w:eastAsia="Times New Roman" w:hAnsi="Times New Roman" w:cs="Times New Roman"/>
      <w:b/>
      <w:sz w:val="32"/>
      <w:szCs w:val="20"/>
      <w:lang w:eastAsia="en-US"/>
    </w:rPr>
  </w:style>
  <w:style w:type="paragraph" w:styleId="BodyText">
    <w:name w:val="Body Text"/>
    <w:basedOn w:val="Normal"/>
    <w:link w:val="BodyTextChar"/>
    <w:rsid w:val="00696C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6CDE"/>
    <w:rPr>
      <w:rFonts w:ascii="Times New Roman" w:eastAsia="Times New Roman" w:hAnsi="Times New Roman" w:cs="Times New Roman"/>
      <w:sz w:val="24"/>
      <w:lang w:eastAsia="en-US"/>
    </w:rPr>
  </w:style>
  <w:style w:type="paragraph" w:styleId="ListBullet">
    <w:name w:val="List Bullet"/>
    <w:basedOn w:val="List"/>
    <w:rsid w:val="00696CDE"/>
    <w:pPr>
      <w:numPr>
        <w:numId w:val="13"/>
      </w:numPr>
      <w:tabs>
        <w:tab w:val="clear" w:pos="340"/>
      </w:tabs>
      <w:spacing w:before="40" w:after="40"/>
    </w:pPr>
  </w:style>
  <w:style w:type="character" w:customStyle="1" w:styleId="SpecialBold">
    <w:name w:val="Special Bold"/>
    <w:basedOn w:val="DefaultParagraphFont"/>
    <w:rsid w:val="00696CDE"/>
    <w:rPr>
      <w:b/>
      <w:spacing w:val="0"/>
    </w:rPr>
  </w:style>
  <w:style w:type="paragraph" w:styleId="ListBullet2">
    <w:name w:val="List Bullet 2"/>
    <w:basedOn w:val="List2"/>
    <w:rsid w:val="00696CDE"/>
    <w:pPr>
      <w:numPr>
        <w:numId w:val="14"/>
      </w:numPr>
      <w:tabs>
        <w:tab w:val="clear" w:pos="680"/>
      </w:tabs>
    </w:pPr>
  </w:style>
  <w:style w:type="character" w:styleId="Emphasis">
    <w:name w:val="Emphasis"/>
    <w:basedOn w:val="DefaultParagraphFont"/>
    <w:qFormat/>
    <w:rsid w:val="00696CDE"/>
    <w:rPr>
      <w:i/>
    </w:rPr>
  </w:style>
  <w:style w:type="paragraph" w:customStyle="1" w:styleId="SuperHeading">
    <w:name w:val="SuperHeading"/>
    <w:basedOn w:val="Normal"/>
    <w:rsid w:val="00696CDE"/>
    <w:pPr>
      <w:spacing w:before="240" w:after="120"/>
      <w:outlineLvl w:val="0"/>
    </w:pPr>
    <w:rPr>
      <w:rFonts w:ascii="Times New Roman" w:hAnsi="Times New Roman"/>
      <w:b/>
      <w:sz w:val="32"/>
    </w:rPr>
  </w:style>
  <w:style w:type="paragraph" w:customStyle="1" w:styleId="AllowPageBreak">
    <w:name w:val="AllowPageBreak"/>
    <w:rsid w:val="00696C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6CDE"/>
    <w:pPr>
      <w:numPr>
        <w:numId w:val="3"/>
      </w:numPr>
      <w:tabs>
        <w:tab w:val="clear" w:pos="1021"/>
      </w:tabs>
      <w:ind w:left="1037" w:hanging="357"/>
    </w:pPr>
  </w:style>
  <w:style w:type="character" w:customStyle="1" w:styleId="Heading2Char">
    <w:name w:val="Heading 2 Char"/>
    <w:basedOn w:val="DefaultParagraphFont"/>
    <w:link w:val="Heading2"/>
    <w:rsid w:val="00696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6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6CDE"/>
    <w:rPr>
      <w:rFonts w:ascii="Courier New" w:eastAsia="Times New Roman" w:hAnsi="Courier New" w:cs="Times New Roman"/>
      <w:i/>
      <w:szCs w:val="20"/>
      <w:lang w:eastAsia="en-US"/>
    </w:rPr>
  </w:style>
  <w:style w:type="paragraph" w:customStyle="1" w:styleId="HeadingBase">
    <w:name w:val="Heading Base"/>
    <w:rsid w:val="00696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CDE"/>
    <w:pPr>
      <w:tabs>
        <w:tab w:val="right" w:leader="dot" w:pos="9072"/>
      </w:tabs>
      <w:ind w:left="567"/>
    </w:pPr>
    <w:rPr>
      <w:szCs w:val="22"/>
    </w:rPr>
  </w:style>
  <w:style w:type="paragraph" w:customStyle="1" w:styleId="TOCBase">
    <w:name w:val="TOC Base"/>
    <w:rsid w:val="00696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CDE"/>
    <w:pPr>
      <w:tabs>
        <w:tab w:val="right" w:leader="dot" w:pos="9072"/>
      </w:tabs>
      <w:spacing w:before="40" w:after="40"/>
      <w:ind w:left="284"/>
    </w:pPr>
    <w:rPr>
      <w:rFonts w:ascii="Times New Roman" w:hAnsi="Times New Roman"/>
    </w:rPr>
  </w:style>
  <w:style w:type="paragraph" w:styleId="TOC1">
    <w:name w:val="toc 1"/>
    <w:basedOn w:val="TOCBase"/>
    <w:next w:val="Normal"/>
    <w:rsid w:val="00696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6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CDE"/>
    <w:rPr>
      <w:rFonts w:ascii="Times New Roman" w:eastAsia="Times New Roman" w:hAnsi="Times New Roman" w:cs="Times New Roman"/>
      <w:sz w:val="16"/>
      <w:lang w:eastAsia="en-US"/>
    </w:rPr>
  </w:style>
  <w:style w:type="paragraph" w:styleId="Title">
    <w:name w:val="Title"/>
    <w:basedOn w:val="HeadingBase"/>
    <w:link w:val="TitleChar"/>
    <w:qFormat/>
    <w:rsid w:val="00696CDE"/>
    <w:pPr>
      <w:spacing w:before="5040"/>
      <w:jc w:val="center"/>
    </w:pPr>
    <w:rPr>
      <w:sz w:val="48"/>
      <w:szCs w:val="72"/>
      <w:lang w:val="en-US"/>
    </w:rPr>
  </w:style>
  <w:style w:type="character" w:customStyle="1" w:styleId="TitleChar">
    <w:name w:val="Title Char"/>
    <w:basedOn w:val="DefaultParagraphFont"/>
    <w:link w:val="Title"/>
    <w:rsid w:val="00696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CDE"/>
    <w:pPr>
      <w:tabs>
        <w:tab w:val="left" w:pos="3600"/>
        <w:tab w:val="left" w:pos="3958"/>
      </w:tabs>
    </w:pPr>
  </w:style>
  <w:style w:type="paragraph" w:styleId="List">
    <w:name w:val="List"/>
    <w:basedOn w:val="BodyText"/>
    <w:next w:val="BodyText"/>
    <w:rsid w:val="00696CDE"/>
    <w:pPr>
      <w:tabs>
        <w:tab w:val="left" w:pos="340"/>
      </w:tabs>
      <w:spacing w:before="60" w:after="60"/>
      <w:ind w:left="340" w:hanging="340"/>
    </w:pPr>
  </w:style>
  <w:style w:type="paragraph" w:customStyle="1" w:styleId="Note">
    <w:name w:val="Note"/>
    <w:basedOn w:val="BodyText"/>
    <w:rsid w:val="00696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CDE"/>
    <w:pPr>
      <w:framePr w:wrap="auto" w:hAnchor="text" w:y="6049"/>
    </w:pPr>
    <w:rPr>
      <w:color w:val="000000"/>
      <w:sz w:val="40"/>
    </w:rPr>
  </w:style>
  <w:style w:type="paragraph" w:customStyle="1" w:styleId="TOCTitle">
    <w:name w:val="TOCTitle"/>
    <w:basedOn w:val="Heading1"/>
    <w:rsid w:val="00696CDE"/>
    <w:pPr>
      <w:spacing w:after="240"/>
      <w:jc w:val="center"/>
      <w:outlineLvl w:val="9"/>
    </w:pPr>
    <w:rPr>
      <w:caps/>
    </w:rPr>
  </w:style>
  <w:style w:type="paragraph" w:customStyle="1" w:styleId="Version">
    <w:name w:val="Version"/>
    <w:rsid w:val="00696C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6CDE"/>
    <w:pPr>
      <w:keepNext w:val="0"/>
      <w:tabs>
        <w:tab w:val="right" w:pos="4176"/>
      </w:tabs>
      <w:ind w:left="198" w:hanging="198"/>
    </w:pPr>
    <w:rPr>
      <w:rFonts w:ascii="Garamond" w:hAnsi="Garamond"/>
    </w:rPr>
  </w:style>
  <w:style w:type="paragraph" w:styleId="IndexHeading">
    <w:name w:val="index heading"/>
    <w:basedOn w:val="Normal"/>
    <w:next w:val="Index1"/>
    <w:semiHidden/>
    <w:rsid w:val="00696CDE"/>
    <w:pPr>
      <w:spacing w:before="120" w:after="120"/>
    </w:pPr>
    <w:rPr>
      <w:rFonts w:ascii="Arial" w:hAnsi="Arial"/>
      <w:b/>
      <w:color w:val="918585"/>
      <w:sz w:val="24"/>
    </w:rPr>
  </w:style>
  <w:style w:type="paragraph" w:styleId="Header">
    <w:name w:val="header"/>
    <w:basedOn w:val="Normal"/>
    <w:link w:val="HeaderChar"/>
    <w:rsid w:val="00696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CDE"/>
    <w:rPr>
      <w:rFonts w:ascii="Times New Roman" w:eastAsia="Times New Roman" w:hAnsi="Times New Roman" w:cs="Times New Roman"/>
      <w:sz w:val="16"/>
      <w:szCs w:val="20"/>
      <w:lang w:val="en-GB" w:eastAsia="en-US"/>
    </w:rPr>
  </w:style>
  <w:style w:type="paragraph" w:customStyle="1" w:styleId="Chapter">
    <w:name w:val="Chapter"/>
    <w:basedOn w:val="Normal"/>
    <w:rsid w:val="00696CDE"/>
    <w:pPr>
      <w:spacing w:before="240"/>
    </w:pPr>
    <w:rPr>
      <w:rFonts w:ascii="Times New Roman" w:hAnsi="Times New Roman"/>
      <w:smallCaps/>
      <w:spacing w:val="80"/>
      <w:sz w:val="28"/>
    </w:rPr>
  </w:style>
  <w:style w:type="paragraph" w:customStyle="1" w:styleId="InChapter">
    <w:name w:val="InChapter"/>
    <w:basedOn w:val="Heading3"/>
    <w:rsid w:val="00696CDE"/>
    <w:pPr>
      <w:spacing w:after="240"/>
      <w:outlineLvl w:val="9"/>
    </w:pPr>
    <w:rPr>
      <w:noProof/>
    </w:rPr>
  </w:style>
  <w:style w:type="paragraph" w:styleId="Index2">
    <w:name w:val="index 2"/>
    <w:basedOn w:val="Normal"/>
    <w:next w:val="Normal"/>
    <w:semiHidden/>
    <w:rsid w:val="00696CDE"/>
    <w:pPr>
      <w:tabs>
        <w:tab w:val="right" w:pos="4176"/>
      </w:tabs>
      <w:ind w:left="568" w:hanging="284"/>
    </w:pPr>
    <w:rPr>
      <w:rFonts w:ascii="Garamond" w:hAnsi="Garamond"/>
    </w:rPr>
  </w:style>
  <w:style w:type="paragraph" w:customStyle="1" w:styleId="Byline">
    <w:name w:val="Byline"/>
    <w:rsid w:val="00696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CDE"/>
    <w:pPr>
      <w:tabs>
        <w:tab w:val="clear" w:pos="3600"/>
        <w:tab w:val="clear" w:pos="3958"/>
      </w:tabs>
      <w:jc w:val="right"/>
    </w:pPr>
  </w:style>
  <w:style w:type="paragraph" w:styleId="Caption">
    <w:name w:val="caption"/>
    <w:basedOn w:val="BodyText"/>
    <w:next w:val="Normal"/>
    <w:qFormat/>
    <w:rsid w:val="00696CDE"/>
    <w:pPr>
      <w:framePr w:w="2268" w:hSpace="181" w:vSpace="181" w:wrap="around" w:vAnchor="text" w:hAnchor="page" w:x="1135" w:y="285" w:anchorLock="1"/>
    </w:pPr>
    <w:rPr>
      <w:i/>
    </w:rPr>
  </w:style>
  <w:style w:type="paragraph" w:customStyle="1" w:styleId="MiniTOCTitle">
    <w:name w:val="MiniTOCTitle"/>
    <w:basedOn w:val="Heading4"/>
    <w:rsid w:val="00696CDE"/>
    <w:pPr>
      <w:spacing w:before="240"/>
      <w:outlineLvl w:val="9"/>
    </w:pPr>
    <w:rPr>
      <w:noProof/>
      <w:sz w:val="24"/>
    </w:rPr>
  </w:style>
  <w:style w:type="paragraph" w:customStyle="1" w:styleId="MiniTOCItem">
    <w:name w:val="MiniTOCItem"/>
    <w:basedOn w:val="ListBullet"/>
    <w:rsid w:val="00696CDE"/>
    <w:pPr>
      <w:numPr>
        <w:numId w:val="0"/>
      </w:numPr>
      <w:tabs>
        <w:tab w:val="right" w:leader="dot" w:pos="6521"/>
      </w:tabs>
      <w:spacing w:before="0" w:after="0"/>
    </w:pPr>
  </w:style>
  <w:style w:type="paragraph" w:customStyle="1" w:styleId="TOFTitle">
    <w:name w:val="TOFTitle"/>
    <w:basedOn w:val="TOCTitle"/>
    <w:rsid w:val="00696CDE"/>
  </w:style>
  <w:style w:type="paragraph" w:styleId="TableofFigures">
    <w:name w:val="table of figures"/>
    <w:basedOn w:val="Normal"/>
    <w:next w:val="Normal"/>
    <w:semiHidden/>
    <w:rsid w:val="00696CDE"/>
    <w:pPr>
      <w:tabs>
        <w:tab w:val="right" w:leader="dot" w:pos="9072"/>
      </w:tabs>
      <w:ind w:left="970" w:hanging="403"/>
    </w:pPr>
    <w:rPr>
      <w:rFonts w:ascii="Times New Roman" w:hAnsi="Times New Roman"/>
      <w:b/>
    </w:rPr>
  </w:style>
  <w:style w:type="paragraph" w:styleId="ListNumber">
    <w:name w:val="List Number"/>
    <w:basedOn w:val="List"/>
    <w:rsid w:val="00696CDE"/>
    <w:pPr>
      <w:numPr>
        <w:numId w:val="16"/>
      </w:numPr>
      <w:tabs>
        <w:tab w:val="clear" w:pos="340"/>
      </w:tabs>
    </w:pPr>
  </w:style>
  <w:style w:type="character" w:customStyle="1" w:styleId="WingdingSymbols">
    <w:name w:val="Wingding Symbols"/>
    <w:rsid w:val="00696CDE"/>
    <w:rPr>
      <w:rFonts w:ascii="Wingdings" w:hAnsi="Wingdings"/>
    </w:rPr>
  </w:style>
  <w:style w:type="paragraph" w:customStyle="1" w:styleId="TableHeading">
    <w:name w:val="Table Heading"/>
    <w:basedOn w:val="HeadingBase"/>
    <w:rsid w:val="00696CDE"/>
    <w:pPr>
      <w:keepLines/>
      <w:pBdr>
        <w:bottom w:val="single" w:sz="6" w:space="1" w:color="918585"/>
      </w:pBdr>
      <w:spacing w:before="240"/>
    </w:pPr>
  </w:style>
  <w:style w:type="character" w:customStyle="1" w:styleId="HotSpot">
    <w:name w:val="HotSpot"/>
    <w:rsid w:val="00696CDE"/>
    <w:rPr>
      <w:color w:val="0033CC"/>
      <w:u w:val="none"/>
    </w:rPr>
  </w:style>
  <w:style w:type="paragraph" w:customStyle="1" w:styleId="BodyTextRight">
    <w:name w:val="Body Text Right"/>
    <w:basedOn w:val="BodyText"/>
    <w:rsid w:val="00696CDE"/>
    <w:pPr>
      <w:spacing w:before="0" w:after="0"/>
      <w:jc w:val="right"/>
    </w:pPr>
  </w:style>
  <w:style w:type="paragraph" w:styleId="Index3">
    <w:name w:val="index 3"/>
    <w:basedOn w:val="ListNumber2"/>
    <w:next w:val="Normal"/>
    <w:semiHidden/>
    <w:rsid w:val="00696CDE"/>
    <w:pPr>
      <w:numPr>
        <w:numId w:val="0"/>
      </w:numPr>
      <w:tabs>
        <w:tab w:val="right" w:leader="dot" w:pos="4176"/>
      </w:tabs>
    </w:pPr>
  </w:style>
  <w:style w:type="paragraph" w:styleId="ListNumber2">
    <w:name w:val="List Number 2"/>
    <w:basedOn w:val="List2"/>
    <w:rsid w:val="00696CDE"/>
    <w:pPr>
      <w:numPr>
        <w:numId w:val="11"/>
      </w:numPr>
      <w:tabs>
        <w:tab w:val="clear" w:pos="1060"/>
      </w:tabs>
    </w:pPr>
  </w:style>
  <w:style w:type="paragraph" w:customStyle="1" w:styleId="MarginNote">
    <w:name w:val="Margin Note"/>
    <w:basedOn w:val="BodyText"/>
    <w:rsid w:val="00696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6CDE"/>
    <w:rPr>
      <w:sz w:val="32"/>
    </w:rPr>
  </w:style>
  <w:style w:type="paragraph" w:customStyle="1" w:styleId="HeadingProcedure">
    <w:name w:val="Heading Procedure"/>
    <w:basedOn w:val="HeadingBase"/>
    <w:next w:val="Normal"/>
    <w:rsid w:val="00696CDE"/>
    <w:pPr>
      <w:tabs>
        <w:tab w:val="left" w:pos="0"/>
      </w:tabs>
      <w:spacing w:before="120" w:after="60"/>
    </w:pPr>
    <w:rPr>
      <w:i/>
      <w:color w:val="918585"/>
      <w:sz w:val="22"/>
    </w:rPr>
  </w:style>
  <w:style w:type="paragraph" w:customStyle="1" w:styleId="TableBodyText">
    <w:name w:val="Table Body Text"/>
    <w:basedOn w:val="BodyText"/>
    <w:rsid w:val="00696CDE"/>
    <w:pPr>
      <w:spacing w:before="60" w:after="60"/>
    </w:pPr>
  </w:style>
  <w:style w:type="paragraph" w:styleId="ListContinue">
    <w:name w:val="List Continue"/>
    <w:basedOn w:val="List"/>
    <w:rsid w:val="00696CDE"/>
    <w:pPr>
      <w:ind w:firstLine="0"/>
    </w:pPr>
  </w:style>
  <w:style w:type="paragraph" w:customStyle="1" w:styleId="ListNote">
    <w:name w:val="List Note"/>
    <w:basedOn w:val="List"/>
    <w:rsid w:val="00696CDE"/>
    <w:pPr>
      <w:pBdr>
        <w:top w:val="single" w:sz="6" w:space="2" w:color="918585"/>
        <w:bottom w:val="single" w:sz="6" w:space="2" w:color="918585"/>
      </w:pBdr>
      <w:tabs>
        <w:tab w:val="left" w:pos="1021"/>
      </w:tabs>
      <w:ind w:firstLine="0"/>
    </w:pPr>
  </w:style>
  <w:style w:type="paragraph" w:customStyle="1" w:styleId="Warning">
    <w:name w:val="Warning"/>
    <w:basedOn w:val="BodyText"/>
    <w:rsid w:val="00696CDE"/>
    <w:pPr>
      <w:shd w:val="clear" w:color="auto" w:fill="D9D9D9"/>
      <w:tabs>
        <w:tab w:val="left" w:pos="992"/>
      </w:tabs>
      <w:ind w:left="119" w:right="119"/>
    </w:pPr>
    <w:rPr>
      <w:sz w:val="20"/>
    </w:rPr>
  </w:style>
  <w:style w:type="paragraph" w:customStyle="1" w:styleId="MarginIcons">
    <w:name w:val="Margin Icons"/>
    <w:basedOn w:val="BodyText"/>
    <w:rsid w:val="00696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CDE"/>
    <w:rPr>
      <w:rFonts w:ascii="Courier New" w:hAnsi="Courier New"/>
    </w:rPr>
  </w:style>
  <w:style w:type="paragraph" w:customStyle="1" w:styleId="NoteBullet">
    <w:name w:val="Note Bullet"/>
    <w:basedOn w:val="Note"/>
    <w:rsid w:val="00696CDE"/>
    <w:pPr>
      <w:tabs>
        <w:tab w:val="clear" w:pos="680"/>
      </w:tabs>
      <w:spacing w:before="60" w:after="60"/>
    </w:pPr>
  </w:style>
  <w:style w:type="paragraph" w:customStyle="1" w:styleId="SubHeading2">
    <w:name w:val="SubHeading2"/>
    <w:basedOn w:val="HeadingBase"/>
    <w:rsid w:val="00696CDE"/>
    <w:pPr>
      <w:spacing w:before="240" w:after="60"/>
    </w:pPr>
    <w:rPr>
      <w:sz w:val="20"/>
    </w:rPr>
  </w:style>
  <w:style w:type="paragraph" w:customStyle="1" w:styleId="SubHeading1">
    <w:name w:val="SubHeading1"/>
    <w:basedOn w:val="HeadingBase"/>
    <w:rsid w:val="00696CDE"/>
    <w:pPr>
      <w:spacing w:before="240" w:after="60"/>
    </w:pPr>
    <w:rPr>
      <w:color w:val="918585"/>
      <w:sz w:val="22"/>
    </w:rPr>
  </w:style>
  <w:style w:type="paragraph" w:customStyle="1" w:styleId="SideHeading">
    <w:name w:val="Side Heading"/>
    <w:basedOn w:val="HeadingBase"/>
    <w:rsid w:val="00696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CDE"/>
    <w:pPr>
      <w:numPr>
        <w:numId w:val="12"/>
      </w:numPr>
    </w:pPr>
  </w:style>
  <w:style w:type="paragraph" w:styleId="PlainText">
    <w:name w:val="Plain Text"/>
    <w:basedOn w:val="Normal"/>
    <w:link w:val="PlainTextChar"/>
    <w:rsid w:val="00696CDE"/>
    <w:rPr>
      <w:sz w:val="20"/>
    </w:rPr>
  </w:style>
  <w:style w:type="character" w:customStyle="1" w:styleId="PlainTextChar">
    <w:name w:val="Plain Text Char"/>
    <w:basedOn w:val="DefaultParagraphFont"/>
    <w:link w:val="PlainText"/>
    <w:rsid w:val="00696CDE"/>
    <w:rPr>
      <w:rFonts w:ascii="Courier New" w:eastAsia="Times New Roman" w:hAnsi="Courier New" w:cs="Times New Roman"/>
      <w:sz w:val="20"/>
      <w:szCs w:val="20"/>
      <w:lang w:eastAsia="en-US"/>
    </w:rPr>
  </w:style>
  <w:style w:type="character" w:customStyle="1" w:styleId="MenuOption">
    <w:name w:val="Menu Option"/>
    <w:basedOn w:val="DefaultParagraphFont"/>
    <w:rsid w:val="00696CDE"/>
    <w:rPr>
      <w:b/>
      <w:smallCaps/>
    </w:rPr>
  </w:style>
  <w:style w:type="paragraph" w:customStyle="1" w:styleId="TableListNumber">
    <w:name w:val="Table List Number"/>
    <w:basedOn w:val="ListNumber"/>
    <w:rsid w:val="00696CDE"/>
    <w:pPr>
      <w:numPr>
        <w:numId w:val="0"/>
      </w:numPr>
    </w:pPr>
  </w:style>
  <w:style w:type="paragraph" w:styleId="TOC4">
    <w:name w:val="toc 4"/>
    <w:basedOn w:val="TOCBase"/>
    <w:next w:val="Normal"/>
    <w:semiHidden/>
    <w:rsid w:val="00696CDE"/>
    <w:pPr>
      <w:tabs>
        <w:tab w:val="right" w:leader="dot" w:pos="9071"/>
      </w:tabs>
      <w:ind w:left="1701"/>
    </w:pPr>
  </w:style>
  <w:style w:type="paragraph" w:customStyle="1" w:styleId="ListAlpha">
    <w:name w:val="List Alpha"/>
    <w:basedOn w:val="List"/>
    <w:rsid w:val="00696CDE"/>
    <w:pPr>
      <w:numPr>
        <w:numId w:val="10"/>
      </w:numPr>
    </w:pPr>
  </w:style>
  <w:style w:type="paragraph" w:customStyle="1" w:styleId="ListAlpha2">
    <w:name w:val="List Alpha 2"/>
    <w:basedOn w:val="List2"/>
    <w:rsid w:val="00696CDE"/>
    <w:pPr>
      <w:numPr>
        <w:numId w:val="9"/>
      </w:numPr>
    </w:pPr>
  </w:style>
  <w:style w:type="paragraph" w:styleId="List2">
    <w:name w:val="List 2"/>
    <w:basedOn w:val="BodyText"/>
    <w:rsid w:val="00696CDE"/>
    <w:pPr>
      <w:tabs>
        <w:tab w:val="left" w:pos="680"/>
      </w:tabs>
      <w:spacing w:before="60" w:after="60"/>
      <w:ind w:left="680" w:hanging="340"/>
    </w:pPr>
  </w:style>
  <w:style w:type="paragraph" w:styleId="List3">
    <w:name w:val="List 3"/>
    <w:basedOn w:val="BodyText"/>
    <w:rsid w:val="00696CDE"/>
    <w:pPr>
      <w:tabs>
        <w:tab w:val="left" w:pos="1021"/>
      </w:tabs>
      <w:spacing w:before="60" w:after="60"/>
      <w:ind w:left="1020" w:hanging="340"/>
    </w:pPr>
  </w:style>
  <w:style w:type="paragraph" w:styleId="List4">
    <w:name w:val="List 4"/>
    <w:basedOn w:val="BodyText"/>
    <w:rsid w:val="00696CDE"/>
    <w:pPr>
      <w:tabs>
        <w:tab w:val="left" w:pos="1361"/>
      </w:tabs>
      <w:spacing w:before="60" w:after="60"/>
      <w:ind w:left="1361" w:hanging="340"/>
    </w:pPr>
  </w:style>
  <w:style w:type="paragraph" w:styleId="List5">
    <w:name w:val="List 5"/>
    <w:basedOn w:val="BodyText"/>
    <w:rsid w:val="00696CDE"/>
    <w:pPr>
      <w:tabs>
        <w:tab w:val="left" w:pos="1701"/>
      </w:tabs>
      <w:spacing w:before="60" w:after="60"/>
      <w:ind w:left="1701" w:hanging="340"/>
    </w:pPr>
  </w:style>
  <w:style w:type="paragraph" w:styleId="ListBullet4">
    <w:name w:val="List Bullet 4"/>
    <w:basedOn w:val="List4"/>
    <w:rsid w:val="00696CDE"/>
    <w:pPr>
      <w:numPr>
        <w:numId w:val="4"/>
      </w:numPr>
      <w:tabs>
        <w:tab w:val="clear" w:pos="1361"/>
      </w:tabs>
    </w:pPr>
  </w:style>
  <w:style w:type="paragraph" w:styleId="ListBullet5">
    <w:name w:val="List Bullet 5"/>
    <w:basedOn w:val="List5"/>
    <w:rsid w:val="00696CDE"/>
    <w:pPr>
      <w:numPr>
        <w:numId w:val="5"/>
      </w:numPr>
    </w:pPr>
  </w:style>
  <w:style w:type="paragraph" w:styleId="ListContinue2">
    <w:name w:val="List Continue 2"/>
    <w:basedOn w:val="List2"/>
    <w:rsid w:val="00696CDE"/>
    <w:pPr>
      <w:ind w:firstLine="0"/>
    </w:pPr>
  </w:style>
  <w:style w:type="paragraph" w:styleId="ListContinue3">
    <w:name w:val="List Continue 3"/>
    <w:basedOn w:val="List3"/>
    <w:rsid w:val="00696CDE"/>
    <w:pPr>
      <w:ind w:left="1021" w:firstLine="0"/>
    </w:pPr>
  </w:style>
  <w:style w:type="paragraph" w:styleId="ListContinue4">
    <w:name w:val="List Continue 4"/>
    <w:basedOn w:val="List4"/>
    <w:rsid w:val="00696CDE"/>
    <w:pPr>
      <w:ind w:firstLine="0"/>
    </w:pPr>
  </w:style>
  <w:style w:type="paragraph" w:styleId="ListContinue5">
    <w:name w:val="List Continue 5"/>
    <w:basedOn w:val="List5"/>
    <w:rsid w:val="00696CDE"/>
    <w:pPr>
      <w:ind w:firstLine="0"/>
    </w:pPr>
  </w:style>
  <w:style w:type="paragraph" w:styleId="ListNumber3">
    <w:name w:val="List Number 3"/>
    <w:basedOn w:val="List3"/>
    <w:rsid w:val="00696CDE"/>
    <w:pPr>
      <w:numPr>
        <w:numId w:val="6"/>
      </w:numPr>
    </w:pPr>
  </w:style>
  <w:style w:type="paragraph" w:styleId="ListNumber4">
    <w:name w:val="List Number 4"/>
    <w:basedOn w:val="List4"/>
    <w:rsid w:val="00696CDE"/>
    <w:pPr>
      <w:numPr>
        <w:numId w:val="7"/>
      </w:numPr>
    </w:pPr>
  </w:style>
  <w:style w:type="paragraph" w:styleId="ListNumber5">
    <w:name w:val="List Number 5"/>
    <w:basedOn w:val="List5"/>
    <w:rsid w:val="00696CDE"/>
    <w:pPr>
      <w:numPr>
        <w:numId w:val="8"/>
      </w:numPr>
    </w:pPr>
  </w:style>
  <w:style w:type="paragraph" w:styleId="BlockText">
    <w:name w:val="Block Text"/>
    <w:basedOn w:val="Normal"/>
    <w:rsid w:val="00696CDE"/>
    <w:pPr>
      <w:spacing w:after="120"/>
      <w:ind w:left="1440" w:right="1440"/>
    </w:pPr>
  </w:style>
  <w:style w:type="character" w:customStyle="1" w:styleId="Subscript">
    <w:name w:val="Subscript"/>
    <w:basedOn w:val="DefaultParagraphFont"/>
    <w:rsid w:val="00696CDE"/>
    <w:rPr>
      <w:sz w:val="16"/>
      <w:vertAlign w:val="subscript"/>
    </w:rPr>
  </w:style>
  <w:style w:type="character" w:customStyle="1" w:styleId="Superscript">
    <w:name w:val="Superscript"/>
    <w:basedOn w:val="DefaultParagraphFont"/>
    <w:rsid w:val="00696CDE"/>
    <w:rPr>
      <w:sz w:val="16"/>
      <w:vertAlign w:val="superscript"/>
    </w:rPr>
  </w:style>
  <w:style w:type="character" w:customStyle="1" w:styleId="Symbols">
    <w:name w:val="Symbols"/>
    <w:basedOn w:val="DefaultParagraphFont"/>
    <w:rsid w:val="00696CDE"/>
    <w:rPr>
      <w:rFonts w:ascii="Symbol" w:hAnsi="Symbol"/>
    </w:rPr>
  </w:style>
  <w:style w:type="character" w:customStyle="1" w:styleId="MenuOptions">
    <w:name w:val="Menu Options"/>
    <w:basedOn w:val="DefaultParagraphFont"/>
    <w:rsid w:val="00696CDE"/>
    <w:rPr>
      <w:rFonts w:ascii="Arial Narrow" w:hAnsi="Arial Narrow"/>
      <w:smallCaps/>
    </w:rPr>
  </w:style>
  <w:style w:type="character" w:customStyle="1" w:styleId="Buttons">
    <w:name w:val="Buttons"/>
    <w:basedOn w:val="DefaultParagraphFont"/>
    <w:rsid w:val="00696CDE"/>
    <w:rPr>
      <w:b/>
    </w:rPr>
  </w:style>
  <w:style w:type="character" w:customStyle="1" w:styleId="Underlined">
    <w:name w:val="Underlined"/>
    <w:basedOn w:val="DefaultParagraphFont"/>
    <w:rsid w:val="00696CDE"/>
    <w:rPr>
      <w:u w:val="single"/>
    </w:rPr>
  </w:style>
  <w:style w:type="paragraph" w:customStyle="1" w:styleId="TableBodyTextRight">
    <w:name w:val="Table Body Text Right"/>
    <w:basedOn w:val="TableBodyText"/>
    <w:rsid w:val="00696CDE"/>
    <w:pPr>
      <w:widowControl w:val="0"/>
      <w:autoSpaceDE w:val="0"/>
      <w:autoSpaceDN w:val="0"/>
      <w:adjustRightInd w:val="0"/>
      <w:jc w:val="right"/>
    </w:pPr>
    <w:rPr>
      <w:rFonts w:cs="Arial"/>
      <w:szCs w:val="18"/>
    </w:rPr>
  </w:style>
  <w:style w:type="paragraph" w:customStyle="1" w:styleId="CopyrightText">
    <w:name w:val="Copyright Text"/>
    <w:basedOn w:val="BodyText"/>
    <w:rsid w:val="00696CDE"/>
    <w:rPr>
      <w:sz w:val="18"/>
    </w:rPr>
  </w:style>
  <w:style w:type="paragraph" w:customStyle="1" w:styleId="BodySmallRight">
    <w:name w:val="Body Small Right"/>
    <w:basedOn w:val="BodyTextRight"/>
    <w:rsid w:val="00696CDE"/>
    <w:rPr>
      <w:sz w:val="18"/>
      <w:szCs w:val="18"/>
    </w:rPr>
  </w:style>
  <w:style w:type="paragraph" w:customStyle="1" w:styleId="MarginEdition">
    <w:name w:val="Margin Edition"/>
    <w:basedOn w:val="MarginNote"/>
    <w:rsid w:val="00696CDE"/>
    <w:pPr>
      <w:spacing w:before="0" w:after="0"/>
    </w:pPr>
    <w:rPr>
      <w:rFonts w:ascii="Times New Roman" w:hAnsi="Times New Roman"/>
      <w:color w:val="999999"/>
    </w:rPr>
  </w:style>
  <w:style w:type="paragraph" w:customStyle="1" w:styleId="Spacer">
    <w:name w:val="Spacer"/>
    <w:basedOn w:val="Normal"/>
    <w:rsid w:val="00696CDE"/>
    <w:rPr>
      <w:sz w:val="2"/>
      <w:szCs w:val="2"/>
    </w:rPr>
  </w:style>
  <w:style w:type="character" w:customStyle="1" w:styleId="Small">
    <w:name w:val="Small"/>
    <w:basedOn w:val="DefaultParagraphFont"/>
    <w:rsid w:val="00696CDE"/>
    <w:rPr>
      <w:sz w:val="16"/>
    </w:rPr>
  </w:style>
  <w:style w:type="paragraph" w:customStyle="1" w:styleId="WideTable">
    <w:name w:val="Wide Table"/>
    <w:basedOn w:val="Normal"/>
    <w:rsid w:val="00696CDE"/>
    <w:pPr>
      <w:ind w:left="-1418"/>
    </w:pPr>
    <w:rPr>
      <w:sz w:val="2"/>
      <w:szCs w:val="2"/>
    </w:rPr>
  </w:style>
  <w:style w:type="character" w:styleId="PageNumber">
    <w:name w:val="page number"/>
    <w:basedOn w:val="DefaultParagraphFont"/>
    <w:rsid w:val="00696CDE"/>
  </w:style>
  <w:style w:type="paragraph" w:styleId="Quote">
    <w:name w:val="Quote"/>
    <w:basedOn w:val="Heading1"/>
    <w:link w:val="QuoteChar"/>
    <w:qFormat/>
    <w:rsid w:val="00696CDE"/>
    <w:rPr>
      <w:b w:val="0"/>
      <w:sz w:val="72"/>
      <w:szCs w:val="72"/>
      <w:lang w:val="en-NZ"/>
    </w:rPr>
  </w:style>
  <w:style w:type="character" w:customStyle="1" w:styleId="QuoteChar">
    <w:name w:val="Quote Char"/>
    <w:basedOn w:val="DefaultParagraphFont"/>
    <w:link w:val="Quote"/>
    <w:rsid w:val="00696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CDE"/>
    <w:pPr>
      <w:pageBreakBefore/>
    </w:pPr>
  </w:style>
  <w:style w:type="paragraph" w:customStyle="1" w:styleId="Border">
    <w:name w:val="Border"/>
    <w:basedOn w:val="Normal"/>
    <w:qFormat/>
    <w:rsid w:val="00696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CDE"/>
    <w:rPr>
      <w:b/>
      <w:bCs/>
      <w:i/>
      <w:iCs/>
      <w:color w:val="auto"/>
    </w:rPr>
  </w:style>
  <w:style w:type="paragraph" w:styleId="IntenseQuote">
    <w:name w:val="Intense Quote"/>
    <w:basedOn w:val="Normal"/>
    <w:next w:val="Normal"/>
    <w:link w:val="IntenseQuoteChar"/>
    <w:uiPriority w:val="30"/>
    <w:qFormat/>
    <w:rsid w:val="00696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6CDE"/>
    <w:rPr>
      <w:smallCaps/>
      <w:color w:val="auto"/>
      <w:u w:val="single"/>
    </w:rPr>
  </w:style>
  <w:style w:type="character" w:styleId="IntenseReference">
    <w:name w:val="Intense Reference"/>
    <w:basedOn w:val="DefaultParagraphFont"/>
    <w:uiPriority w:val="32"/>
    <w:qFormat/>
    <w:rsid w:val="00696CDE"/>
    <w:rPr>
      <w:b/>
      <w:bCs/>
      <w:smallCaps/>
      <w:color w:val="auto"/>
      <w:spacing w:val="5"/>
      <w:u w:val="single"/>
    </w:rPr>
  </w:style>
  <w:style w:type="paragraph" w:customStyle="1" w:styleId="2ColumnHeading">
    <w:name w:val="2Column Heading"/>
    <w:basedOn w:val="BodyText"/>
    <w:qFormat/>
    <w:rsid w:val="00696CDE"/>
    <w:pPr>
      <w:spacing w:after="60"/>
      <w:ind w:left="-2268"/>
    </w:pPr>
    <w:rPr>
      <w:b/>
    </w:rPr>
  </w:style>
  <w:style w:type="paragraph" w:customStyle="1" w:styleId="Heading1TOC">
    <w:name w:val="Heading1 TOC"/>
    <w:basedOn w:val="Normal"/>
    <w:qFormat/>
    <w:rsid w:val="00696CDE"/>
    <w:pPr>
      <w:spacing w:before="240" w:after="120"/>
    </w:pPr>
    <w:rPr>
      <w:rFonts w:ascii="Times New Roman" w:hAnsi="Times New Roman"/>
      <w:b/>
      <w:sz w:val="32"/>
    </w:rPr>
  </w:style>
  <w:style w:type="paragraph" w:customStyle="1" w:styleId="Heading2TOC">
    <w:name w:val="Heading2 TOC"/>
    <w:basedOn w:val="Normal"/>
    <w:qFormat/>
    <w:rsid w:val="00696CDE"/>
    <w:pPr>
      <w:spacing w:before="240" w:after="60"/>
    </w:pPr>
    <w:rPr>
      <w:rFonts w:ascii="Times New Roman" w:hAnsi="Times New Roman"/>
      <w:b/>
      <w:sz w:val="28"/>
    </w:rPr>
  </w:style>
  <w:style w:type="character" w:customStyle="1" w:styleId="Underline">
    <w:name w:val="Underline"/>
    <w:basedOn w:val="DefaultParagraphFont"/>
    <w:qFormat/>
    <w:rsid w:val="00696CDE"/>
    <w:rPr>
      <w:u w:val="single"/>
    </w:rPr>
  </w:style>
  <w:style w:type="character" w:customStyle="1" w:styleId="BoldandItalics">
    <w:name w:val="Bold and Italics"/>
    <w:qFormat/>
    <w:rsid w:val="00696CDE"/>
    <w:rPr>
      <w:b/>
      <w:i/>
      <w:u w:val="none"/>
    </w:rPr>
  </w:style>
  <w:style w:type="paragraph" w:styleId="BalloonText">
    <w:name w:val="Balloon Text"/>
    <w:basedOn w:val="Normal"/>
    <w:link w:val="BalloonTextChar"/>
    <w:rsid w:val="00696CDE"/>
    <w:rPr>
      <w:rFonts w:ascii="Tahoma" w:hAnsi="Tahoma" w:cs="Tahoma"/>
      <w:sz w:val="16"/>
      <w:szCs w:val="16"/>
    </w:rPr>
  </w:style>
  <w:style w:type="character" w:customStyle="1" w:styleId="BalloonTextChar">
    <w:name w:val="Balloon Text Char"/>
    <w:basedOn w:val="DefaultParagraphFont"/>
    <w:link w:val="BalloonText"/>
    <w:rsid w:val="00696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6C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6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6CDE"/>
    <w:rPr>
      <w:b/>
      <w:color w:val="660033"/>
      <w:spacing w:val="0"/>
    </w:rPr>
  </w:style>
  <w:style w:type="paragraph" w:customStyle="1" w:styleId="Nameditemlist">
    <w:name w:val="Named item list"/>
    <w:basedOn w:val="BodyText"/>
    <w:qFormat/>
    <w:rsid w:val="00696CDE"/>
    <w:pPr>
      <w:tabs>
        <w:tab w:val="left" w:pos="2835"/>
      </w:tabs>
      <w:ind w:left="2835" w:hanging="2835"/>
    </w:pPr>
  </w:style>
  <w:style w:type="paragraph" w:customStyle="1" w:styleId="BodyTextnopadding">
    <w:name w:val="Body Text no padding"/>
    <w:basedOn w:val="BodyText"/>
    <w:qFormat/>
    <w:rsid w:val="00696CDE"/>
    <w:pPr>
      <w:spacing w:before="0" w:after="0"/>
    </w:pPr>
  </w:style>
  <w:style w:type="paragraph" w:customStyle="1" w:styleId="BodyTextBold">
    <w:name w:val="Body Text Bold"/>
    <w:basedOn w:val="BodyText"/>
    <w:qFormat/>
    <w:rsid w:val="00696CDE"/>
    <w:rPr>
      <w:b/>
    </w:rPr>
  </w:style>
  <w:style w:type="character" w:styleId="Hyperlink">
    <w:name w:val="Hyperlink"/>
    <w:basedOn w:val="DefaultParagraphFont"/>
    <w:uiPriority w:val="99"/>
    <w:unhideWhenUsed/>
    <w:rsid w:val="00496E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925</Words>
  <Characters>6005</Characters>
  <Application>Microsoft Office Word</Application>
  <DocSecurity>0</DocSecurity>
  <Lines>200</Lines>
  <Paragraphs>144</Paragraphs>
  <ScaleCrop>false</ScaleCrop>
  <Company>Author-it Software Corporation Ltd.</Company>
  <LinksUpToDate>false</LinksUpToDate>
  <CharactersWithSpaces>6786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CHCAOD003 Provide needle and syringe services</dc:title>
  <dc:subject>Approved</dc:subject>
  <dc:creator>HumanAbility</dc:creator>
  <cp:keywords>Release: 1</cp:keywords>
  <dc:description>Review Date: 12 April 2008</dc:description>
  <cp:lastModifiedBy>HSD_TPCMSd.prod</cp:lastModifiedBy>
  <cp:revision>3</cp:revision>
  <dcterms:created xsi:type="dcterms:W3CDTF">2025-03-01T22:42:00Z</dcterms:created>
  <dcterms:modified xsi:type="dcterms:W3CDTF">2025-03-01T22:42:00Z</dcterms:modified>
</cp:coreProperties>
</file>