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E36" w:rsidP="009A7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CHCAGE011 Provide support to people living with dementia</w:t>
      </w:r>
      <w:r>
        <w:fldChar w:fldCharType="end"/>
      </w:r>
    </w:p>
    <w:p w:rsidR="009A7E36" w:rsidP="009A7E36">
      <w:pPr>
        <w:pStyle w:val="Version"/>
        <w:sectPr w:rsidSect="00F07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AAA" w:rsidP="00F07AAA">
      <w:pPr>
        <w:pStyle w:val="SuperHeading"/>
      </w:pPr>
      <w:r w:rsidRPr="00F07AAA">
        <w:t>CHCAGE011 Provide support to people living with dementia</w:t>
      </w:r>
    </w:p>
    <w:p w:rsidR="00000000" w:rsidRPr="00F07AAA" w:rsidP="00F07AAA">
      <w:pPr>
        <w:pStyle w:val="Heading1"/>
      </w:pPr>
      <w:bookmarkStart w:id="1" w:name="O_1223832"/>
      <w:bookmarkEnd w:id="1"/>
      <w:r w:rsidRPr="00F07AAA">
        <w:t>Modification History</w:t>
      </w:r>
    </w:p>
    <w:p w:rsidR="00000000" w:rsidRPr="00F07AAA" w:rsidP="009A7E36">
      <w:pPr>
        <w:pStyle w:val="BodyText"/>
      </w:pPr>
      <w:r w:rsidRPr="00F07AAA">
        <w:t>Not applicable.</w:t>
      </w:r>
    </w:p>
    <w:p w:rsidR="00000000" w:rsidRPr="00F07AAA" w:rsidP="00F07AAA">
      <w:pPr>
        <w:pStyle w:val="Heading1"/>
      </w:pPr>
      <w:bookmarkStart w:id="2" w:name="O_1223836"/>
      <w:bookmarkEnd w:id="2"/>
      <w:r w:rsidRPr="00F07AAA">
        <w:t>Application</w:t>
      </w:r>
    </w:p>
    <w:p w:rsidR="00000000" w:rsidRPr="00F07AAA" w:rsidP="009A7E36">
      <w:pPr>
        <w:pStyle w:val="BodyText"/>
      </w:pPr>
      <w:r w:rsidRPr="00F07AAA">
        <w:t>This unit describes the performance outcomes, skills and knowledge required to provide person-centred care and support to people living with dementia. It involves followi</w:t>
      </w:r>
      <w:r w:rsidRPr="00F07AAA">
        <w:t>ng an established individualised plan.</w:t>
      </w:r>
    </w:p>
    <w:p w:rsidR="00000000" w:rsidRPr="00F07AAA" w:rsidP="009A7E36">
      <w:pPr>
        <w:pStyle w:val="BodyText"/>
      </w:pPr>
      <w:r w:rsidRPr="00F07AAA">
        <w:t>This unit applies to workers in a residential or community context, including family homes. Work performed requires some discretion and judgement and may be carried out under direct, indirect or remote supervision.</w:t>
      </w:r>
    </w:p>
    <w:p w:rsidR="00000000" w:rsidRPr="00F07AAA" w:rsidP="009A7E36">
      <w:pPr>
        <w:pStyle w:val="BodyText"/>
      </w:pPr>
      <w:r w:rsidRPr="00F07AAA">
        <w:t>Th</w:t>
      </w:r>
      <w:r w:rsidRPr="00F07AAA">
        <w:t>e skills in this unit must be applied in accordance with Commonwealth and State/Territory legislation, Australian standards and industry codes of practice.</w:t>
      </w:r>
    </w:p>
    <w:p w:rsidR="00000000" w:rsidRPr="00F07AAA" w:rsidP="009A7E36">
      <w:pPr>
        <w:pStyle w:val="BodyText"/>
      </w:pPr>
      <w:r w:rsidRPr="00F07AAA">
        <w:t xml:space="preserve">No occupational licensing, certification or specific legislative requirements apply to this unit at </w:t>
      </w:r>
      <w:r w:rsidRPr="00F07AAA">
        <w:t>the time of publication.</w:t>
      </w:r>
    </w:p>
    <w:p w:rsidR="00000000" w:rsidRPr="00F07AAA" w:rsidP="00F07AAA">
      <w:pPr>
        <w:pStyle w:val="Heading1"/>
      </w:pPr>
      <w:bookmarkStart w:id="3" w:name="O_1226338"/>
      <w:bookmarkEnd w:id="3"/>
      <w:r w:rsidRPr="00F07AAA">
        <w:t>Pre-requisite Unit</w:t>
      </w:r>
    </w:p>
    <w:p w:rsidR="00000000" w:rsidRPr="00F07AAA" w:rsidP="009A7E36">
      <w:pPr>
        <w:pStyle w:val="BodyText"/>
      </w:pPr>
      <w:r w:rsidRPr="00F07AAA">
        <w:t>Nil</w:t>
      </w:r>
    </w:p>
    <w:p w:rsidR="00000000" w:rsidRPr="00F07AAA" w:rsidP="00F07AAA">
      <w:pPr>
        <w:pStyle w:val="Heading1"/>
      </w:pPr>
      <w:bookmarkStart w:id="4" w:name="O_1224537"/>
      <w:bookmarkEnd w:id="4"/>
      <w:r w:rsidRPr="00F07AAA">
        <w:t>Unit Sector</w:t>
      </w:r>
    </w:p>
    <w:p w:rsidR="00000000" w:rsidRPr="00F07AAA" w:rsidP="009A7E36">
      <w:pPr>
        <w:pStyle w:val="BodyText"/>
      </w:pPr>
      <w:r w:rsidRPr="00F07AAA">
        <w:t>Aged Care</w:t>
      </w:r>
    </w:p>
    <w:p w:rsidR="00000000" w:rsidRPr="00F07AAA" w:rsidP="00F07AAA">
      <w:pPr>
        <w:pStyle w:val="Heading1"/>
      </w:pPr>
      <w:bookmarkStart w:id="5" w:name="O_1223835"/>
      <w:bookmarkEnd w:id="5"/>
      <w:r w:rsidRPr="00F07A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07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AAA" w:rsidP="00F07AAA">
            <w:pPr>
              <w:pStyle w:val="BodyText"/>
            </w:pPr>
            <w:r w:rsidRPr="00F07AA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AA">
            <w:pPr>
              <w:pStyle w:val="BodyText"/>
              <w:rPr>
                <w:lang w:val="en-NZ"/>
              </w:rPr>
            </w:pPr>
            <w:r w:rsidRPr="00F07AAA">
              <w:rPr>
                <w:rStyle w:val="SpecialBold"/>
              </w:rPr>
              <w:t>PERFORMANCE</w:t>
            </w:r>
            <w:r w:rsidRPr="00F07AAA">
              <w:t xml:space="preserve"> </w:t>
            </w:r>
            <w:r w:rsidRPr="00F07AAA">
              <w:rPr>
                <w:rStyle w:val="SpecialBold"/>
              </w:rPr>
              <w:t>CRITERIA</w:t>
            </w:r>
          </w:p>
        </w:tc>
      </w:tr>
      <w:tr w:rsidTr="00F07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AAA" w:rsidP="00F07AAA">
            <w:pPr>
              <w:pStyle w:val="BodyText"/>
            </w:pPr>
            <w:r w:rsidRPr="00F07AA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AA">
            <w:pPr>
              <w:pStyle w:val="BodyText"/>
              <w:rPr>
                <w:lang w:val="en-NZ"/>
              </w:rPr>
            </w:pPr>
            <w:r w:rsidRPr="00F07A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7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AA">
            <w:pPr>
              <w:pStyle w:val="List"/>
              <w:rPr>
                <w:lang w:val="en-NZ"/>
              </w:rPr>
            </w:pPr>
            <w:r w:rsidRPr="00F07AAA">
              <w:t>1.  Prepare to provide support to people living with dementia.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AAA" w:rsidP="00F07AAA">
            <w:pPr>
              <w:pStyle w:val="List"/>
            </w:pPr>
            <w:r w:rsidRPr="00F07AAA">
              <w:t>1.1. Read individualised plan and familiarise self with the specific needs and preferences of th</w:t>
            </w:r>
            <w:r w:rsidRPr="00F07AAA">
              <w:t>e person living with dementia.</w:t>
            </w:r>
          </w:p>
          <w:p w:rsidR="00000000" w:rsidRPr="00F07AAA" w:rsidP="00F07AAA">
            <w:pPr>
              <w:pStyle w:val="List"/>
            </w:pPr>
            <w:r w:rsidRPr="00F07AAA">
              <w:t>1.2. Apply person-centred care approaches to all interactions with the person living with dementia.</w:t>
            </w:r>
          </w:p>
          <w:p w:rsidR="00000000" w:rsidRPr="00F07AAA" w:rsidP="00F07AAA">
            <w:pPr>
              <w:pStyle w:val="List"/>
            </w:pPr>
            <w:r w:rsidRPr="00F07AAA">
              <w:t>1.3. Communicate with the person, their family, carer or others identified by the person, to provide and maintain a stable an</w:t>
            </w:r>
            <w:r w:rsidRPr="00F07AAA">
              <w:t>d familiar environment that supports the person’s wellbeing.</w:t>
            </w:r>
          </w:p>
          <w:p w:rsidR="00000000" w:rsidRPr="00F07AAA" w:rsidP="00F07AAA">
            <w:pPr>
              <w:pStyle w:val="List"/>
            </w:pPr>
            <w:r w:rsidRPr="00F07AAA">
              <w:t xml:space="preserve">1.4. Recognise and refer situations outside scope of own role to </w:t>
            </w:r>
            <w:r w:rsidRPr="00F07AAA">
              <w:t>supervisor or health professional.</w:t>
            </w:r>
          </w:p>
          <w:p w:rsidR="00000000" w:rsidP="00F07AAA">
            <w:pPr>
              <w:pStyle w:val="List"/>
              <w:rPr>
                <w:lang w:val="en-NZ"/>
              </w:rPr>
            </w:pPr>
            <w:r w:rsidRPr="00F07AAA">
              <w:t>1.5 Recognise signs consistent with abuse or neglect of the person and report according to legi</w:t>
            </w:r>
            <w:r w:rsidRPr="00F07AAA">
              <w:t>slative requirements and organisational policies and procedures.</w:t>
            </w:r>
          </w:p>
        </w:tc>
      </w:tr>
      <w:tr w:rsidTr="00F07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AA">
            <w:pPr>
              <w:pStyle w:val="List"/>
              <w:rPr>
                <w:lang w:val="en-NZ"/>
              </w:rPr>
            </w:pPr>
            <w:r w:rsidRPr="00F07AAA">
              <w:t>2.  Use effective communication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AAA" w:rsidP="00F07AAA">
            <w:pPr>
              <w:pStyle w:val="List"/>
            </w:pPr>
            <w:r w:rsidRPr="00F07AAA">
              <w:t>2.1. Communicate in a supportive manner that respects the person’s needs, rights and preferences and upholds their dignity.</w:t>
            </w:r>
          </w:p>
          <w:p w:rsidR="00000000" w:rsidRPr="00F07AAA" w:rsidP="00F07AAA">
            <w:pPr>
              <w:pStyle w:val="List"/>
            </w:pPr>
            <w:r w:rsidRPr="00F07AAA">
              <w:t>2.2. Support engagemen</w:t>
            </w:r>
            <w:r w:rsidRPr="00F07AAA">
              <w:t>t of the person living with dementia using verbal and non-verbal communication strategies.</w:t>
            </w:r>
          </w:p>
          <w:p w:rsidR="00000000" w:rsidRPr="00F07AAA" w:rsidP="00F07AAA">
            <w:pPr>
              <w:pStyle w:val="List"/>
            </w:pPr>
            <w:r w:rsidRPr="00F07AAA">
              <w:t>2.3. Provide reassurance and use validation strategies with the person to relieve distress and agitation.</w:t>
            </w:r>
          </w:p>
          <w:p w:rsidR="00000000" w:rsidP="00F07AAA">
            <w:pPr>
              <w:pStyle w:val="List"/>
              <w:rPr>
                <w:lang w:val="en-NZ"/>
              </w:rPr>
            </w:pPr>
            <w:r w:rsidRPr="00F07AAA">
              <w:t>2.4. Communicate with families and carers in a supportive m</w:t>
            </w:r>
            <w:r w:rsidRPr="00F07AAA">
              <w:t>anner to provide care information and opportunities for discussion.</w:t>
            </w:r>
          </w:p>
        </w:tc>
      </w:tr>
      <w:tr w:rsidTr="00F07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AA">
            <w:pPr>
              <w:pStyle w:val="List"/>
              <w:rPr>
                <w:lang w:val="en-NZ"/>
              </w:rPr>
            </w:pPr>
            <w:r w:rsidRPr="00F07AAA">
              <w:t>3.  Support the person to participate in activities according to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AAA" w:rsidP="00F07AAA">
            <w:pPr>
              <w:pStyle w:val="List"/>
            </w:pPr>
            <w:r w:rsidRPr="00F07AAA">
              <w:t>3.1. Work with the person living with dementia, their family, carer or others identified by the person to develop an understanding of the person’s likes, dislikes, strengths and interests.</w:t>
            </w:r>
          </w:p>
          <w:p w:rsidR="00000000" w:rsidRPr="00F07AAA" w:rsidP="00F07AAA">
            <w:pPr>
              <w:pStyle w:val="List"/>
            </w:pPr>
            <w:r w:rsidRPr="00F07AAA">
              <w:t>3.2. Encourage the person to engage in activities that support ongo</w:t>
            </w:r>
            <w:r w:rsidRPr="00F07AAA">
              <w:t>ing independence according to their changing needs and preferences.</w:t>
            </w:r>
          </w:p>
          <w:p w:rsidR="00000000" w:rsidRPr="00F07AAA" w:rsidP="00F07AAA">
            <w:pPr>
              <w:pStyle w:val="List"/>
            </w:pPr>
            <w:r w:rsidRPr="00F07AAA">
              <w:t>3.3. Access information about the person’s reminiscences and routines from the person, their family, carer or others identified by the person, to inform activities that reflect the person’</w:t>
            </w:r>
            <w:r w:rsidRPr="00F07AAA">
              <w:t>s preferences and provide pleasurable experiences.</w:t>
            </w:r>
          </w:p>
          <w:p w:rsidR="00000000" w:rsidRPr="00F07AAA" w:rsidP="00F07AAA">
            <w:pPr>
              <w:pStyle w:val="List"/>
            </w:pPr>
            <w:r w:rsidRPr="00F07AAA">
              <w:t>3.4. Assist the person to maintain dignity of risk, while balancing duty of care.</w:t>
            </w:r>
          </w:p>
          <w:p w:rsidR="00000000" w:rsidP="00F07AAA">
            <w:pPr>
              <w:pStyle w:val="List"/>
              <w:rPr>
                <w:lang w:val="en-NZ"/>
              </w:rPr>
            </w:pPr>
            <w:r w:rsidRPr="00F07AAA">
              <w:t>3.5. Support the person’s use of assistive technologies relevant to the activity, according to their individual needs.</w:t>
            </w:r>
          </w:p>
        </w:tc>
      </w:tr>
      <w:tr w:rsidTr="00F07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AA">
            <w:pPr>
              <w:pStyle w:val="List"/>
              <w:rPr>
                <w:lang w:val="en-NZ"/>
              </w:rPr>
            </w:pPr>
            <w:r w:rsidRPr="00F07AAA">
              <w:t xml:space="preserve">4. </w:t>
            </w:r>
            <w:r w:rsidRPr="00F07AAA">
              <w:t xml:space="preserve"> Use a strengths-based approach to meet the person’s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AAA" w:rsidP="00F07AAA">
            <w:pPr>
              <w:pStyle w:val="List"/>
            </w:pPr>
            <w:r w:rsidRPr="00F07AAA">
              <w:t>4.1. Refer to the individualised plan to gain awareness of identified behaviour and potential triggers.</w:t>
            </w:r>
          </w:p>
          <w:p w:rsidR="00000000" w:rsidRPr="00F07AAA" w:rsidP="00F07AAA">
            <w:pPr>
              <w:pStyle w:val="List"/>
            </w:pPr>
            <w:r w:rsidRPr="00F07AAA">
              <w:t>4.2. Recognise changes in behaviour of the person living with dementia that indicate stresso</w:t>
            </w:r>
            <w:r w:rsidRPr="00F07AAA">
              <w:t>rs including un-met needs.</w:t>
            </w:r>
          </w:p>
          <w:p w:rsidR="00000000" w:rsidRPr="00F07AAA" w:rsidP="00F07AAA">
            <w:pPr>
              <w:pStyle w:val="List"/>
            </w:pPr>
            <w:r w:rsidRPr="00F07AAA">
              <w:t>4.3. Use knowledge of the person to determine strategies to reduce stressors and meet their needs.</w:t>
            </w:r>
          </w:p>
          <w:p w:rsidR="00000000" w:rsidP="00F07AAA">
            <w:pPr>
              <w:pStyle w:val="List"/>
              <w:rPr>
                <w:lang w:val="en-NZ"/>
              </w:rPr>
            </w:pPr>
            <w:r w:rsidRPr="00F07AAA">
              <w:t>4.4. Implement identified strategies to reduce the likelihood of adverse outcomes for the person and others.</w:t>
            </w:r>
          </w:p>
        </w:tc>
      </w:tr>
      <w:tr w:rsidTr="00F07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AA">
            <w:pPr>
              <w:pStyle w:val="List"/>
              <w:rPr>
                <w:lang w:val="en-NZ"/>
              </w:rPr>
            </w:pPr>
            <w:r w:rsidRPr="00F07AAA">
              <w:t>5.  Complete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AAA" w:rsidP="00F07AAA">
            <w:pPr>
              <w:pStyle w:val="List"/>
            </w:pPr>
            <w:r w:rsidRPr="00F07AAA">
              <w:t>5.1. Observe and document any changes in behaviour of the person living with dementia and report to supervisor.</w:t>
            </w:r>
          </w:p>
          <w:p w:rsidR="00000000" w:rsidRPr="00F07AAA" w:rsidP="00F07AAA">
            <w:pPr>
              <w:pStyle w:val="List"/>
            </w:pPr>
            <w:r w:rsidRPr="00F07AAA">
              <w:t>5.2. Complete, maintain and store documentation according to legislative requirements and organisational policies an</w:t>
            </w:r>
            <w:r w:rsidRPr="00F07AAA">
              <w:t xml:space="preserve">d procedures. </w:t>
            </w:r>
          </w:p>
        </w:tc>
      </w:tr>
    </w:tbl>
    <w:p w:rsidR="00000000" w:rsidRPr="00F07AAA" w:rsidP="00F07AAA">
      <w:pPr>
        <w:pStyle w:val="BodyText"/>
      </w:pPr>
    </w:p>
    <w:p w:rsidR="00000000" w:rsidRPr="00F07AAA" w:rsidP="00F07AAA">
      <w:pPr>
        <w:pStyle w:val="AllowPageBreak"/>
      </w:pPr>
    </w:p>
    <w:p w:rsidR="00000000" w:rsidRPr="00F07AAA" w:rsidP="00F07AAA">
      <w:pPr>
        <w:pStyle w:val="Heading1"/>
      </w:pPr>
      <w:bookmarkStart w:id="6" w:name="O_1223834"/>
      <w:bookmarkEnd w:id="6"/>
      <w:r w:rsidRPr="00F07AAA">
        <w:t>Foundation Skills</w:t>
      </w:r>
    </w:p>
    <w:p w:rsidR="00000000" w:rsidRPr="009A7E36" w:rsidP="009A7E36">
      <w:pPr>
        <w:pStyle w:val="BodyText"/>
        <w:rPr>
          <w:i/>
        </w:rPr>
      </w:pPr>
      <w:r w:rsidRPr="009A7E36">
        <w:rPr>
          <w:rStyle w:val="Emphasis"/>
        </w:rPr>
        <w:t>Foundation skills essential to performance are explicit in the Performance Criteria of this unit of competency.</w:t>
      </w:r>
    </w:p>
    <w:p w:rsidR="00000000" w:rsidRPr="00F07AAA" w:rsidP="00F07AAA">
      <w:pPr>
        <w:pStyle w:val="Heading1"/>
      </w:pPr>
      <w:bookmarkStart w:id="7" w:name="O_1223833"/>
      <w:bookmarkEnd w:id="7"/>
      <w:r w:rsidRPr="00F07AAA">
        <w:t>Unit Mapping Information</w:t>
      </w:r>
    </w:p>
    <w:p w:rsidR="00000000" w:rsidRPr="00F07AAA" w:rsidP="009A7E36">
      <w:pPr>
        <w:pStyle w:val="BodyText"/>
      </w:pPr>
      <w:r w:rsidRPr="00F07AAA">
        <w:t xml:space="preserve">Supersedes and is not equivalent to CHCAGE005 </w:t>
      </w:r>
      <w:r w:rsidRPr="00F07AAA">
        <w:t>Provide support to people living with dementia.</w:t>
      </w:r>
    </w:p>
    <w:p w:rsidR="00000000" w:rsidRPr="00F07AAA" w:rsidP="00F07AAA">
      <w:pPr>
        <w:pStyle w:val="Heading1"/>
      </w:pPr>
      <w:bookmarkStart w:id="8" w:name="O_1223826"/>
      <w:bookmarkEnd w:id="8"/>
      <w:r w:rsidRPr="00F07AAA">
        <w:t>Links</w:t>
      </w:r>
    </w:p>
    <w:p w:rsidR="00000000" w:rsidRPr="00F07AAA" w:rsidP="009A7E36">
      <w:pPr>
        <w:pStyle w:val="BodyText"/>
      </w:pPr>
      <w:r w:rsidRPr="00F07A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C0D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07AAA" w:rsidP="009A7E36">
      <w:pPr>
        <w:pStyle w:val="BodyText"/>
        <w:sectPr w:rsidSect="00F07A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7AAA" w:rsidP="00F07AAA">
      <w:pPr>
        <w:pStyle w:val="SuperHeading"/>
      </w:pPr>
      <w:r w:rsidRPr="00F07AAA">
        <w:t>Assessment Requirements for CHCAGE011 Provide support to people living with dementia</w:t>
      </w:r>
    </w:p>
    <w:p w:rsidR="00000000" w:rsidRPr="00F07AAA" w:rsidP="00F07AAA">
      <w:pPr>
        <w:pStyle w:val="Heading1"/>
      </w:pPr>
      <w:bookmarkStart w:id="9" w:name="O_1223828"/>
      <w:bookmarkEnd w:id="9"/>
      <w:r w:rsidRPr="00F07AAA">
        <w:t>Modification History</w:t>
      </w:r>
    </w:p>
    <w:p w:rsidR="00000000" w:rsidRPr="00F07AAA" w:rsidP="009A7E36">
      <w:pPr>
        <w:pStyle w:val="BodyText"/>
      </w:pPr>
      <w:r w:rsidRPr="00F07AAA">
        <w:t>Not applicable.</w:t>
      </w:r>
    </w:p>
    <w:p w:rsidR="00000000" w:rsidRPr="00F07AAA" w:rsidP="00F07AAA">
      <w:pPr>
        <w:pStyle w:val="Heading1"/>
      </w:pPr>
      <w:bookmarkStart w:id="10" w:name="O_1223831"/>
      <w:bookmarkEnd w:id="10"/>
      <w:r w:rsidRPr="00F07AAA">
        <w:t>Performance Evidence</w:t>
      </w:r>
    </w:p>
    <w:p w:rsidR="00000000" w:rsidRPr="00F07AAA" w:rsidP="009A7E36">
      <w:pPr>
        <w:pStyle w:val="BodyText"/>
      </w:pPr>
      <w:r w:rsidRPr="00F07AAA">
        <w:t>Evidence of the ability to complete tasks outlined in elements and performance criteria of this unit in the context of the job role, and:</w:t>
      </w:r>
    </w:p>
    <w:p w:rsidR="00000000" w:rsidRPr="00F07AAA" w:rsidP="00F07AAA">
      <w:pPr>
        <w:pStyle w:val="ListBullet"/>
      </w:pPr>
      <w:r w:rsidRPr="00F07AAA">
        <w:t>provide support according to an individualised plan, to two different people living with dementia, including:</w:t>
      </w:r>
    </w:p>
    <w:p w:rsidR="00000000" w:rsidRPr="00F07AAA" w:rsidP="00F07AAA">
      <w:pPr>
        <w:pStyle w:val="ListBullet2"/>
      </w:pPr>
      <w:r w:rsidRPr="00F07AAA">
        <w:t xml:space="preserve">using </w:t>
      </w:r>
      <w:r w:rsidRPr="00F07AAA">
        <w:t>a person-centred approach to support, that upholds the rights and dignity of the person</w:t>
      </w:r>
    </w:p>
    <w:p w:rsidR="00000000" w:rsidRPr="00F07AAA" w:rsidP="00F07AAA">
      <w:pPr>
        <w:pStyle w:val="ListBullet2"/>
      </w:pPr>
      <w:r w:rsidRPr="00F07AAA">
        <w:t>using of communication strategies tailored to the needs of the person</w:t>
      </w:r>
    </w:p>
    <w:p w:rsidR="00000000" w:rsidRPr="00F07AAA" w:rsidP="00F07AAA">
      <w:pPr>
        <w:pStyle w:val="ListBullet2"/>
      </w:pPr>
      <w:r w:rsidRPr="00F07AAA">
        <w:t>supporting activities that meet the person’s needs</w:t>
      </w:r>
    </w:p>
    <w:p w:rsidR="00000000" w:rsidRPr="00F07AAA" w:rsidP="00F07AAA">
      <w:pPr>
        <w:pStyle w:val="ListBullet2"/>
      </w:pPr>
      <w:r w:rsidRPr="00F07AAA">
        <w:t>using strategies to minimise adverse outcomes a</w:t>
      </w:r>
      <w:r w:rsidRPr="00F07AAA">
        <w:t>ssociated with changed behaviour specific to the person, which may impact the person or others</w:t>
      </w:r>
    </w:p>
    <w:p w:rsidR="00000000" w:rsidRPr="00F07AAA" w:rsidP="00F07AAA">
      <w:pPr>
        <w:pStyle w:val="ListBullet2"/>
      </w:pPr>
      <w:r w:rsidRPr="00F07AAA">
        <w:t>completing reports and documentation.</w:t>
      </w:r>
    </w:p>
    <w:p w:rsidR="00000000" w:rsidRPr="00F07AAA" w:rsidP="00F07AAA">
      <w:pPr>
        <w:pStyle w:val="AllowPageBreak"/>
      </w:pPr>
    </w:p>
    <w:p w:rsidR="00000000" w:rsidRPr="00F07AAA" w:rsidP="00F07AAA">
      <w:pPr>
        <w:pStyle w:val="Heading1"/>
      </w:pPr>
      <w:bookmarkStart w:id="11" w:name="O_1223830"/>
      <w:bookmarkEnd w:id="11"/>
      <w:r w:rsidRPr="00F07AAA">
        <w:t>Knowledge Evidence</w:t>
      </w:r>
    </w:p>
    <w:p w:rsidR="00000000" w:rsidRPr="00F07AAA" w:rsidP="009A7E36">
      <w:pPr>
        <w:pStyle w:val="BodyText"/>
      </w:pPr>
      <w:r w:rsidRPr="00F07AAA">
        <w:t>Demonstrated knowledge required to complete the tasks outlined in elements and performance criteria of this unit:</w:t>
      </w:r>
    </w:p>
    <w:p w:rsidR="00000000" w:rsidRPr="00F07AAA" w:rsidP="00F07AAA">
      <w:pPr>
        <w:pStyle w:val="ListBullet"/>
      </w:pPr>
      <w:r w:rsidRPr="00F07AAA">
        <w:t>awareness of current research on dementia</w:t>
      </w:r>
    </w:p>
    <w:p w:rsidR="00000000" w:rsidRPr="00F07AAA" w:rsidP="00F07AAA">
      <w:pPr>
        <w:pStyle w:val="ListBullet"/>
      </w:pPr>
      <w:r w:rsidRPr="00F07AAA">
        <w:t>types and causes of dementia, including but not limited to:</w:t>
      </w:r>
    </w:p>
    <w:p w:rsidR="00000000" w:rsidRPr="00F07AAA" w:rsidP="00F07AAA">
      <w:pPr>
        <w:pStyle w:val="ListBullet2"/>
      </w:pPr>
      <w:r w:rsidRPr="00F07AAA">
        <w:t>Alzheimer’s disease</w:t>
      </w:r>
    </w:p>
    <w:p w:rsidR="00000000" w:rsidRPr="00F07AAA" w:rsidP="00F07AAA">
      <w:pPr>
        <w:pStyle w:val="ListBullet2"/>
      </w:pPr>
      <w:r w:rsidRPr="00F07AAA">
        <w:t>vascular dementia or multi-infarct dementia</w:t>
      </w:r>
    </w:p>
    <w:p w:rsidR="00000000" w:rsidRPr="00F07AAA" w:rsidP="00F07AAA">
      <w:pPr>
        <w:pStyle w:val="ListBullet2"/>
      </w:pPr>
      <w:r w:rsidRPr="00F07AAA">
        <w:t>Lewy bodies</w:t>
      </w:r>
    </w:p>
    <w:p w:rsidR="00000000" w:rsidRPr="00F07AAA" w:rsidP="00F07AAA">
      <w:pPr>
        <w:pStyle w:val="ListBullet2"/>
      </w:pPr>
      <w:r w:rsidRPr="00F07AAA">
        <w:t>excessive alcohol intake or Korsakoff Syndrome</w:t>
      </w:r>
    </w:p>
    <w:p w:rsidR="00000000" w:rsidRPr="00F07AAA" w:rsidP="00F07AAA">
      <w:pPr>
        <w:pStyle w:val="ListBullet2"/>
      </w:pPr>
      <w:r w:rsidRPr="00F07AAA">
        <w:t>frontotemporal lobar degeneration (FLTD)</w:t>
      </w:r>
    </w:p>
    <w:p w:rsidR="00000000" w:rsidRPr="00F07AAA" w:rsidP="00F07AAA">
      <w:pPr>
        <w:pStyle w:val="ListBullet2"/>
      </w:pPr>
      <w:r w:rsidRPr="00F07AAA">
        <w:t>Huntington’s disease</w:t>
      </w:r>
    </w:p>
    <w:p w:rsidR="00000000" w:rsidRPr="00F07AAA" w:rsidP="00F07AAA">
      <w:pPr>
        <w:pStyle w:val="ListBullet2"/>
      </w:pPr>
      <w:r w:rsidRPr="00F07AAA">
        <w:t>Parkinson’s disease</w:t>
      </w:r>
    </w:p>
    <w:p w:rsidR="00000000" w:rsidRPr="00F07AAA" w:rsidP="00F07AAA">
      <w:pPr>
        <w:pStyle w:val="ListBullet2"/>
      </w:pPr>
      <w:r w:rsidRPr="00F07AAA">
        <w:t>younger onset dementia</w:t>
      </w:r>
    </w:p>
    <w:p w:rsidR="00000000" w:rsidRPr="00F07AAA" w:rsidP="00F07AAA">
      <w:pPr>
        <w:pStyle w:val="ListBullet"/>
      </w:pPr>
      <w:r w:rsidRPr="00F07AAA">
        <w:t>dementia as a progressive neurological conditio</w:t>
      </w:r>
      <w:r w:rsidRPr="00F07AAA">
        <w:t>n, including pathological features:</w:t>
      </w:r>
    </w:p>
    <w:p w:rsidR="00000000" w:rsidRPr="00F07AAA" w:rsidP="00F07AAA">
      <w:pPr>
        <w:pStyle w:val="ListBullet2"/>
      </w:pPr>
      <w:r w:rsidRPr="00F07AAA">
        <w:t>amyloid plaques</w:t>
      </w:r>
    </w:p>
    <w:p w:rsidR="00000000" w:rsidRPr="00F07AAA" w:rsidP="00F07AAA">
      <w:pPr>
        <w:pStyle w:val="ListBullet2"/>
      </w:pPr>
      <w:r w:rsidRPr="00F07AAA">
        <w:t>neurofibrillary tangles</w:t>
      </w:r>
    </w:p>
    <w:p w:rsidR="00000000" w:rsidRPr="00F07AAA" w:rsidP="00F07AAA">
      <w:pPr>
        <w:pStyle w:val="ListBullet2"/>
      </w:pPr>
      <w:r w:rsidRPr="00F07AAA">
        <w:t>loss of connection between cells and cell death</w:t>
      </w:r>
    </w:p>
    <w:p w:rsidR="00000000" w:rsidRPr="00F07AAA" w:rsidP="00F07AAA">
      <w:pPr>
        <w:pStyle w:val="ListBullet"/>
      </w:pPr>
      <w:r w:rsidRPr="00F07AAA">
        <w:t>common indicators and symptoms of dementia</w:t>
      </w:r>
    </w:p>
    <w:p w:rsidR="00000000" w:rsidRPr="00F07AAA" w:rsidP="00F07AAA">
      <w:pPr>
        <w:pStyle w:val="ListBullet"/>
      </w:pPr>
      <w:r w:rsidRPr="00F07AAA">
        <w:t>potential interventions and proactive strategies that may be used to address identified behaviour:</w:t>
      </w:r>
    </w:p>
    <w:p w:rsidR="00000000" w:rsidRPr="00F07AAA" w:rsidP="00F07AAA">
      <w:pPr>
        <w:pStyle w:val="ListBullet2"/>
      </w:pPr>
      <w:r w:rsidRPr="00F07AAA">
        <w:t>identification of triggers</w:t>
      </w:r>
    </w:p>
    <w:p w:rsidR="00000000" w:rsidRPr="00F07AAA" w:rsidP="00F07AAA">
      <w:pPr>
        <w:pStyle w:val="ListBullet2"/>
      </w:pPr>
      <w:r w:rsidRPr="00F07AAA">
        <w:t>behaviour as an indicator of unmet needs</w:t>
      </w:r>
    </w:p>
    <w:p w:rsidR="00000000" w:rsidRPr="00F07AAA" w:rsidP="00F07AAA">
      <w:pPr>
        <w:pStyle w:val="ListBullet2"/>
      </w:pPr>
      <w:r w:rsidRPr="00F07AAA">
        <w:t>impact of environment</w:t>
      </w:r>
    </w:p>
    <w:p w:rsidR="00000000" w:rsidRPr="00F07AAA" w:rsidP="00F07AAA">
      <w:pPr>
        <w:pStyle w:val="ListBullet"/>
      </w:pPr>
      <w:r w:rsidRPr="00F07AAA">
        <w:t>restrictive practices:</w:t>
      </w:r>
    </w:p>
    <w:p w:rsidR="00000000" w:rsidRPr="00F07AAA" w:rsidP="00F07AAA">
      <w:pPr>
        <w:pStyle w:val="ListBullet2"/>
      </w:pPr>
      <w:r w:rsidRPr="00F07AAA">
        <w:t>what constitutes a restrictive practice</w:t>
      </w:r>
    </w:p>
    <w:p w:rsidR="00000000" w:rsidRPr="00F07AAA" w:rsidP="00F07AAA">
      <w:pPr>
        <w:pStyle w:val="ListBullet2"/>
      </w:pPr>
      <w:r w:rsidRPr="00F07AAA">
        <w:t>l</w:t>
      </w:r>
      <w:r w:rsidRPr="00F07AAA">
        <w:t>egislative and regulatory requirements</w:t>
      </w:r>
    </w:p>
    <w:p w:rsidR="00000000" w:rsidRPr="00F07AAA" w:rsidP="00F07AAA">
      <w:pPr>
        <w:pStyle w:val="ListBullet2"/>
      </w:pPr>
      <w:r w:rsidRPr="00F07AAA">
        <w:t>organisational policies and procedures relating to restricted practices</w:t>
      </w:r>
    </w:p>
    <w:p w:rsidR="00000000" w:rsidRPr="00F07AAA" w:rsidP="00F07AAA">
      <w:pPr>
        <w:pStyle w:val="ListBullet2"/>
      </w:pPr>
      <w:r w:rsidRPr="00F07AAA">
        <w:t>positive strategies</w:t>
      </w:r>
    </w:p>
    <w:p w:rsidR="00000000" w:rsidRPr="00F07AAA" w:rsidP="00F07AAA">
      <w:pPr>
        <w:pStyle w:val="ListBullet2"/>
      </w:pPr>
      <w:r w:rsidRPr="00F07AAA">
        <w:t>ethical considerations</w:t>
      </w:r>
    </w:p>
    <w:p w:rsidR="00000000" w:rsidRPr="00F07AAA" w:rsidP="00F07AAA">
      <w:pPr>
        <w:pStyle w:val="ListBullet2"/>
      </w:pPr>
      <w:r w:rsidRPr="00F07AAA">
        <w:t>documentation requirements</w:t>
      </w:r>
    </w:p>
    <w:p w:rsidR="00000000" w:rsidRPr="00F07AAA" w:rsidP="00F07AAA">
      <w:pPr>
        <w:pStyle w:val="ListBullet"/>
      </w:pPr>
      <w:r w:rsidRPr="00F07AAA">
        <w:t>processes for recognising and reporting indicators of injury, infection, illness and pain and the impact on the person’s behaviour</w:t>
      </w:r>
    </w:p>
    <w:p w:rsidR="00000000" w:rsidRPr="00F07AAA" w:rsidP="00F07AAA">
      <w:pPr>
        <w:pStyle w:val="ListBullet"/>
      </w:pPr>
      <w:r w:rsidRPr="00F07AAA">
        <w:t>progression of dementia and potential impact on the person living with dementia and their family and carer, including but not</w:t>
      </w:r>
      <w:r w:rsidRPr="00F07AAA">
        <w:t xml:space="preserve"> limited to:</w:t>
      </w:r>
    </w:p>
    <w:p w:rsidR="00000000" w:rsidRPr="00F07AAA" w:rsidP="00F07AAA">
      <w:pPr>
        <w:pStyle w:val="ListBullet2"/>
      </w:pPr>
      <w:r w:rsidRPr="00F07AAA">
        <w:t>depression</w:t>
      </w:r>
    </w:p>
    <w:p w:rsidR="00000000" w:rsidRPr="00F07AAA" w:rsidP="00F07AAA">
      <w:pPr>
        <w:pStyle w:val="ListBullet2"/>
      </w:pPr>
      <w:r w:rsidRPr="00F07AAA">
        <w:t>loss and grieving</w:t>
      </w:r>
    </w:p>
    <w:p w:rsidR="00000000" w:rsidRPr="00F07AAA" w:rsidP="00F07AAA">
      <w:pPr>
        <w:pStyle w:val="ListBullet2"/>
      </w:pPr>
      <w:r w:rsidRPr="00F07AAA">
        <w:t>anger or aggression toward carer, family or others</w:t>
      </w:r>
    </w:p>
    <w:p w:rsidR="00000000" w:rsidRPr="00F07AAA" w:rsidP="00F07AAA">
      <w:pPr>
        <w:pStyle w:val="ListBullet2"/>
      </w:pPr>
      <w:r w:rsidRPr="00F07AAA">
        <w:t>despair</w:t>
      </w:r>
    </w:p>
    <w:p w:rsidR="00000000" w:rsidRPr="00F07AAA" w:rsidP="00F07AAA">
      <w:pPr>
        <w:pStyle w:val="ListBullet2"/>
      </w:pPr>
      <w:r w:rsidRPr="00F07AAA">
        <w:t>delirium</w:t>
      </w:r>
    </w:p>
    <w:p w:rsidR="00000000" w:rsidRPr="00F07AAA" w:rsidP="00F07AAA">
      <w:pPr>
        <w:pStyle w:val="ListBullet2"/>
      </w:pPr>
      <w:r w:rsidRPr="00F07AAA">
        <w:t xml:space="preserve">social embarrassment </w:t>
      </w:r>
    </w:p>
    <w:p w:rsidR="00000000" w:rsidRPr="00F07AAA" w:rsidP="00F07AAA">
      <w:pPr>
        <w:pStyle w:val="ListBullet2"/>
      </w:pPr>
      <w:r w:rsidRPr="00F07AAA">
        <w:t>dysphagia</w:t>
      </w:r>
    </w:p>
    <w:p w:rsidR="00000000" w:rsidRPr="00F07AAA" w:rsidP="00F07AAA">
      <w:pPr>
        <w:pStyle w:val="ListBullet2"/>
      </w:pPr>
      <w:r w:rsidRPr="00F07AAA">
        <w:t>loss of speech and cognition</w:t>
      </w:r>
    </w:p>
    <w:p w:rsidR="00000000" w:rsidRPr="00F07AAA" w:rsidP="00F07AAA">
      <w:pPr>
        <w:pStyle w:val="ListBullet2"/>
      </w:pPr>
      <w:r w:rsidRPr="00F07AAA">
        <w:t>loss of inhibition</w:t>
      </w:r>
    </w:p>
    <w:p w:rsidR="00000000" w:rsidRPr="00F07AAA" w:rsidP="00F07AAA">
      <w:pPr>
        <w:pStyle w:val="ListBullet2"/>
      </w:pPr>
      <w:r w:rsidRPr="00F07AAA">
        <w:t>isolation</w:t>
      </w:r>
    </w:p>
    <w:p w:rsidR="00000000" w:rsidRPr="00F07AAA" w:rsidP="00F07AAA">
      <w:pPr>
        <w:pStyle w:val="ListBullet2"/>
      </w:pPr>
      <w:r w:rsidRPr="00F07AAA">
        <w:t>self-harm</w:t>
      </w:r>
    </w:p>
    <w:p w:rsidR="00000000" w:rsidRPr="00F07AAA" w:rsidP="00F07AAA">
      <w:pPr>
        <w:pStyle w:val="ListBullet2"/>
      </w:pPr>
      <w:r w:rsidRPr="00F07AAA">
        <w:t>social devaluation</w:t>
      </w:r>
    </w:p>
    <w:p w:rsidR="00000000" w:rsidRPr="00F07AAA" w:rsidP="00F07AAA">
      <w:pPr>
        <w:pStyle w:val="ListBullet2"/>
      </w:pPr>
      <w:r w:rsidRPr="00F07AAA">
        <w:t>suicidal ideation</w:t>
      </w:r>
    </w:p>
    <w:p w:rsidR="00000000" w:rsidRPr="00F07AAA" w:rsidP="00F07AAA">
      <w:pPr>
        <w:pStyle w:val="ListBullet"/>
      </w:pPr>
      <w:r w:rsidRPr="00F07AAA">
        <w:t>psychosocial implications of the progression of dementia for the person, including but not limited to:</w:t>
      </w:r>
    </w:p>
    <w:p w:rsidR="00000000" w:rsidRPr="00F07AAA" w:rsidP="00F07AAA">
      <w:pPr>
        <w:pStyle w:val="ListBullet2"/>
      </w:pPr>
      <w:r w:rsidRPr="00F07AAA">
        <w:t>accommodation</w:t>
      </w:r>
    </w:p>
    <w:p w:rsidR="00000000" w:rsidRPr="00F07AAA" w:rsidP="00F07AAA">
      <w:pPr>
        <w:pStyle w:val="ListBullet2"/>
      </w:pPr>
      <w:r w:rsidRPr="00F07AAA">
        <w:t>financial implications</w:t>
      </w:r>
    </w:p>
    <w:p w:rsidR="00000000" w:rsidRPr="00F07AAA" w:rsidP="00F07AAA">
      <w:pPr>
        <w:pStyle w:val="ListBullet2"/>
      </w:pPr>
      <w:r w:rsidRPr="00F07AAA">
        <w:t>isolation</w:t>
      </w:r>
    </w:p>
    <w:p w:rsidR="00000000" w:rsidRPr="00F07AAA" w:rsidP="00F07AAA">
      <w:pPr>
        <w:pStyle w:val="ListBullet2"/>
      </w:pPr>
      <w:r w:rsidRPr="00F07AAA">
        <w:t>heightened vulnerability to abuse and exploitation</w:t>
      </w:r>
    </w:p>
    <w:p w:rsidR="00000000" w:rsidRPr="00F07AAA" w:rsidP="00F07AAA">
      <w:pPr>
        <w:pStyle w:val="ListBullet"/>
      </w:pPr>
      <w:r w:rsidRPr="00F07AAA">
        <w:t>principles of a person-centred approach to support ac</w:t>
      </w:r>
      <w:r w:rsidRPr="00F07AAA">
        <w:t>tivities which:</w:t>
      </w:r>
    </w:p>
    <w:p w:rsidR="00000000" w:rsidRPr="00F07AAA" w:rsidP="00F07AAA">
      <w:pPr>
        <w:pStyle w:val="ListBullet2"/>
      </w:pPr>
      <w:r w:rsidRPr="00F07AAA">
        <w:t>enhance self-esteem and pleasure</w:t>
      </w:r>
    </w:p>
    <w:p w:rsidR="00000000" w:rsidRPr="00F07AAA" w:rsidP="00F07AAA">
      <w:pPr>
        <w:pStyle w:val="ListBullet2"/>
      </w:pPr>
      <w:r w:rsidRPr="00F07AAA">
        <w:t>minimise boredom</w:t>
      </w:r>
    </w:p>
    <w:p w:rsidR="00000000" w:rsidRPr="00F07AAA" w:rsidP="00F07AAA">
      <w:pPr>
        <w:pStyle w:val="ListBullet2"/>
      </w:pPr>
      <w:r w:rsidRPr="00F07AAA">
        <w:t>create a sense of personal value and self-worth</w:t>
      </w:r>
    </w:p>
    <w:p w:rsidR="00000000" w:rsidRPr="00F07AAA" w:rsidP="00F07AAA">
      <w:pPr>
        <w:pStyle w:val="ListBullet"/>
      </w:pPr>
      <w:r w:rsidRPr="00F07AAA">
        <w:t>the impact of the environment on supporting a person living with dementia to interact and engage</w:t>
      </w:r>
    </w:p>
    <w:p w:rsidR="00000000" w:rsidRPr="00F07AAA" w:rsidP="00F07AAA">
      <w:pPr>
        <w:pStyle w:val="ListBullet"/>
      </w:pPr>
      <w:r w:rsidRPr="00F07AAA">
        <w:t>forms of abuse, neglect and exploitation</w:t>
      </w:r>
    </w:p>
    <w:p w:rsidR="00000000" w:rsidRPr="00F07AAA" w:rsidP="00F07AAA">
      <w:pPr>
        <w:pStyle w:val="ListBullet"/>
      </w:pPr>
      <w:r w:rsidRPr="00F07AAA">
        <w:t>methods to engage with the person living with dementia:</w:t>
      </w:r>
    </w:p>
    <w:p w:rsidR="00000000" w:rsidRPr="00F07AAA" w:rsidP="00F07AAA">
      <w:pPr>
        <w:pStyle w:val="ListBullet2"/>
      </w:pPr>
      <w:r w:rsidRPr="00F07AAA">
        <w:t xml:space="preserve">verbal and non-verbal communication strategies </w:t>
      </w:r>
    </w:p>
    <w:p w:rsidR="00000000" w:rsidRPr="00F07AAA" w:rsidP="00F07AAA">
      <w:pPr>
        <w:pStyle w:val="ListBullet2"/>
      </w:pPr>
      <w:r w:rsidRPr="00F07AAA">
        <w:t>culturally sensitive and safe communication strategies</w:t>
      </w:r>
    </w:p>
    <w:p w:rsidR="00000000" w:rsidRPr="00F07AAA" w:rsidP="00F07AAA">
      <w:pPr>
        <w:pStyle w:val="ListBullet2"/>
      </w:pPr>
      <w:r w:rsidRPr="00F07AAA">
        <w:t>reality orientation</w:t>
      </w:r>
    </w:p>
    <w:p w:rsidR="00000000" w:rsidRPr="00F07AAA" w:rsidP="00F07AAA">
      <w:pPr>
        <w:pStyle w:val="ListBullet2"/>
      </w:pPr>
      <w:r w:rsidRPr="00F07AAA">
        <w:t>reassuring words, phrases and body language</w:t>
      </w:r>
    </w:p>
    <w:p w:rsidR="00000000" w:rsidRPr="00F07AAA" w:rsidP="00F07AAA">
      <w:pPr>
        <w:pStyle w:val="ListBullet2"/>
      </w:pPr>
      <w:r w:rsidRPr="00F07AAA">
        <w:t>validation:</w:t>
      </w:r>
    </w:p>
    <w:p w:rsidR="00000000" w:rsidRPr="00F07AAA" w:rsidP="00F07AAA">
      <w:pPr>
        <w:pStyle w:val="ListBullet3"/>
      </w:pPr>
      <w:r w:rsidRPr="00F07AAA">
        <w:t>acceptance of the p</w:t>
      </w:r>
      <w:r w:rsidRPr="00F07AAA">
        <w:t>erson’s reality</w:t>
      </w:r>
    </w:p>
    <w:p w:rsidR="00000000" w:rsidRPr="00F07AAA" w:rsidP="00F07AAA">
      <w:pPr>
        <w:pStyle w:val="ListBullet3"/>
      </w:pPr>
      <w:r w:rsidRPr="00F07AAA">
        <w:t>acknowledgement</w:t>
      </w:r>
    </w:p>
    <w:p w:rsidR="00000000" w:rsidRPr="00F07AAA" w:rsidP="00F07AAA">
      <w:pPr>
        <w:pStyle w:val="ListBullet2"/>
      </w:pPr>
      <w:r w:rsidRPr="00F07AAA">
        <w:t>accepting expressions of distress</w:t>
      </w:r>
    </w:p>
    <w:p w:rsidR="00000000" w:rsidRPr="00F07AAA" w:rsidP="00F07AAA">
      <w:pPr>
        <w:pStyle w:val="ListBullet2"/>
      </w:pPr>
      <w:r w:rsidRPr="00F07AAA">
        <w:t>reminiscence</w:t>
      </w:r>
    </w:p>
    <w:p w:rsidR="00000000" w:rsidRPr="00F07AAA" w:rsidP="00F07AAA">
      <w:pPr>
        <w:pStyle w:val="ListBullet"/>
      </w:pPr>
      <w:r w:rsidRPr="00F07AAA">
        <w:t>types of stressors and their impact, including but not limited to:</w:t>
      </w:r>
    </w:p>
    <w:p w:rsidR="00000000" w:rsidRPr="00F07AAA" w:rsidP="00F07AAA">
      <w:pPr>
        <w:pStyle w:val="ListBullet2"/>
      </w:pPr>
      <w:r w:rsidRPr="00F07AAA">
        <w:t>physical:</w:t>
      </w:r>
    </w:p>
    <w:p w:rsidR="00000000" w:rsidRPr="00F07AAA" w:rsidP="00F07AAA">
      <w:pPr>
        <w:pStyle w:val="ListBullet3"/>
      </w:pPr>
      <w:r w:rsidRPr="00F07AAA">
        <w:t>infection</w:t>
      </w:r>
    </w:p>
    <w:p w:rsidR="00000000" w:rsidRPr="00F07AAA" w:rsidP="00F07AAA">
      <w:pPr>
        <w:pStyle w:val="ListBullet3"/>
      </w:pPr>
      <w:r w:rsidRPr="00F07AAA">
        <w:t>nutrition and dehydration</w:t>
      </w:r>
    </w:p>
    <w:p w:rsidR="00000000" w:rsidRPr="00F07AAA" w:rsidP="00F07AAA">
      <w:pPr>
        <w:pStyle w:val="ListBullet3"/>
      </w:pPr>
      <w:r w:rsidRPr="00F07AAA">
        <w:t>continence</w:t>
      </w:r>
    </w:p>
    <w:p w:rsidR="00000000" w:rsidRPr="00F07AAA" w:rsidP="00F07AAA">
      <w:pPr>
        <w:pStyle w:val="ListBullet3"/>
      </w:pPr>
      <w:r w:rsidRPr="00F07AAA">
        <w:t>pain</w:t>
      </w:r>
    </w:p>
    <w:p w:rsidR="00000000" w:rsidRPr="00F07AAA" w:rsidP="00F07AAA">
      <w:pPr>
        <w:pStyle w:val="ListBullet2"/>
      </w:pPr>
      <w:r w:rsidRPr="00F07AAA">
        <w:t>environmental</w:t>
      </w:r>
    </w:p>
    <w:p w:rsidR="00000000" w:rsidRPr="00F07AAA" w:rsidP="00F07AAA">
      <w:pPr>
        <w:pStyle w:val="ListBullet2"/>
      </w:pPr>
      <w:r w:rsidRPr="00F07AAA">
        <w:t>accumulated</w:t>
      </w:r>
    </w:p>
    <w:p w:rsidR="00000000" w:rsidRPr="00F07AAA" w:rsidP="00F07AAA">
      <w:pPr>
        <w:pStyle w:val="ListBullet2"/>
      </w:pPr>
      <w:r w:rsidRPr="00F07AAA">
        <w:t>cumulative</w:t>
      </w:r>
    </w:p>
    <w:p w:rsidR="00000000" w:rsidRPr="00F07AAA" w:rsidP="00F07AAA">
      <w:pPr>
        <w:pStyle w:val="ListBullet"/>
      </w:pPr>
      <w:r w:rsidRPr="00F07AAA">
        <w:t>role of assistive technologies in supporting a person’s life activities:</w:t>
      </w:r>
    </w:p>
    <w:p w:rsidR="00000000" w:rsidRPr="00F07AAA" w:rsidP="00F07AAA">
      <w:pPr>
        <w:pStyle w:val="ListBullet2"/>
      </w:pPr>
      <w:r w:rsidRPr="00F07AAA">
        <w:t>maintaining and promoting independence</w:t>
      </w:r>
    </w:p>
    <w:p w:rsidR="00000000" w:rsidRPr="00F07AAA" w:rsidP="00F07AAA">
      <w:pPr>
        <w:pStyle w:val="ListBullet2"/>
      </w:pPr>
      <w:r w:rsidRPr="00F07AAA">
        <w:t>enabling inclusion and participation</w:t>
      </w:r>
    </w:p>
    <w:p w:rsidR="00000000" w:rsidRPr="00F07AAA" w:rsidP="00F07AAA">
      <w:pPr>
        <w:pStyle w:val="ListBullet"/>
      </w:pPr>
      <w:r w:rsidRPr="00F07AAA">
        <w:t>scope and breadth of assistive technologies used across the life domains, including but not limited to:</w:t>
      </w:r>
    </w:p>
    <w:p w:rsidR="00000000" w:rsidRPr="00F07AAA" w:rsidP="00F07AAA">
      <w:pPr>
        <w:pStyle w:val="ListBullet2"/>
      </w:pPr>
      <w:r w:rsidRPr="00F07AAA">
        <w:t>self-care</w:t>
      </w:r>
    </w:p>
    <w:p w:rsidR="00000000" w:rsidRPr="00F07AAA" w:rsidP="00F07AAA">
      <w:pPr>
        <w:pStyle w:val="ListBullet2"/>
      </w:pPr>
      <w:r w:rsidRPr="00F07AAA">
        <w:t>continence and hygiene</w:t>
      </w:r>
    </w:p>
    <w:p w:rsidR="00000000" w:rsidRPr="00F07AAA" w:rsidP="00F07AAA">
      <w:pPr>
        <w:pStyle w:val="ListBullet2"/>
      </w:pPr>
      <w:r w:rsidRPr="00F07AAA">
        <w:t>communication</w:t>
      </w:r>
    </w:p>
    <w:p w:rsidR="00000000" w:rsidRPr="00F07AAA" w:rsidP="00F07AAA">
      <w:pPr>
        <w:pStyle w:val="ListBullet2"/>
      </w:pPr>
      <w:r w:rsidRPr="00F07AAA">
        <w:t>mobility and transferring</w:t>
      </w:r>
    </w:p>
    <w:p w:rsidR="00000000" w:rsidRPr="00F07AAA" w:rsidP="00F07AAA">
      <w:pPr>
        <w:pStyle w:val="ListBullet2"/>
      </w:pPr>
      <w:r w:rsidRPr="00F07AAA">
        <w:t>cognition and memory loss</w:t>
      </w:r>
    </w:p>
    <w:p w:rsidR="00000000" w:rsidRPr="00F07AAA" w:rsidP="00F07AAA">
      <w:pPr>
        <w:pStyle w:val="ListBullet2"/>
      </w:pPr>
      <w:r w:rsidRPr="00F07AAA">
        <w:t>vision and hearing</w:t>
      </w:r>
    </w:p>
    <w:p w:rsidR="00000000" w:rsidRPr="00F07AAA" w:rsidP="00F07AAA">
      <w:pPr>
        <w:pStyle w:val="ListBullet2"/>
      </w:pPr>
      <w:r w:rsidRPr="00F07AAA">
        <w:t>daily living activities</w:t>
      </w:r>
    </w:p>
    <w:p w:rsidR="00000000" w:rsidRPr="00F07AAA" w:rsidP="00F07AAA">
      <w:pPr>
        <w:pStyle w:val="ListBullet2"/>
      </w:pPr>
      <w:r w:rsidRPr="00F07AAA">
        <w:t>recreation and leisure</w:t>
      </w:r>
    </w:p>
    <w:p w:rsidR="00000000" w:rsidRPr="00F07AAA" w:rsidP="00F07AAA">
      <w:pPr>
        <w:pStyle w:val="ListBullet2"/>
      </w:pPr>
      <w:r w:rsidRPr="00F07AAA">
        <w:t>education and employment</w:t>
      </w:r>
    </w:p>
    <w:p w:rsidR="00000000" w:rsidRPr="00F07AAA" w:rsidP="00F07AAA">
      <w:pPr>
        <w:pStyle w:val="ListBullet2"/>
      </w:pPr>
      <w:r w:rsidRPr="00F07AAA">
        <w:t>home and other environments</w:t>
      </w:r>
    </w:p>
    <w:p w:rsidR="00000000" w:rsidRPr="00F07AAA" w:rsidP="00F07AAA">
      <w:pPr>
        <w:pStyle w:val="ListBullet2"/>
      </w:pPr>
      <w:r w:rsidRPr="00F07AAA">
        <w:t>eating and drinking</w:t>
      </w:r>
    </w:p>
    <w:p w:rsidR="00000000" w:rsidRPr="00F07AAA" w:rsidP="00F07AAA">
      <w:pPr>
        <w:pStyle w:val="ListBullet2"/>
      </w:pPr>
      <w:r w:rsidRPr="00F07AAA">
        <w:t>pressure area management</w:t>
      </w:r>
    </w:p>
    <w:p w:rsidR="00000000" w:rsidRPr="00F07AAA" w:rsidP="00F07AAA">
      <w:pPr>
        <w:pStyle w:val="ListBullet2"/>
      </w:pPr>
      <w:r w:rsidRPr="00F07AAA">
        <w:t>carer support</w:t>
      </w:r>
    </w:p>
    <w:p w:rsidR="00000000" w:rsidRPr="00F07AAA" w:rsidP="00F07AAA">
      <w:pPr>
        <w:pStyle w:val="ListBullet"/>
      </w:pPr>
      <w:r w:rsidRPr="00F07AAA">
        <w:t>legal and ethical considerations for working with people living with dementia:</w:t>
      </w:r>
    </w:p>
    <w:p w:rsidR="00000000" w:rsidRPr="00F07AAA" w:rsidP="00F07AAA">
      <w:pPr>
        <w:pStyle w:val="ListBullet2"/>
      </w:pPr>
      <w:r w:rsidRPr="00F07AAA">
        <w:t>duty of care</w:t>
      </w:r>
    </w:p>
    <w:p w:rsidR="00000000" w:rsidRPr="00F07AAA" w:rsidP="00F07AAA">
      <w:pPr>
        <w:pStyle w:val="ListBullet2"/>
      </w:pPr>
      <w:r w:rsidRPr="00F07AAA">
        <w:t>dignity of risk</w:t>
      </w:r>
    </w:p>
    <w:p w:rsidR="00000000" w:rsidRPr="00F07AAA" w:rsidP="00F07AAA">
      <w:pPr>
        <w:pStyle w:val="ListBullet2"/>
      </w:pPr>
      <w:r w:rsidRPr="00F07AAA">
        <w:t>human rights</w:t>
      </w:r>
    </w:p>
    <w:p w:rsidR="00000000" w:rsidRPr="00F07AAA" w:rsidP="00F07AAA">
      <w:pPr>
        <w:pStyle w:val="ListBullet2"/>
      </w:pPr>
      <w:r w:rsidRPr="00F07AAA">
        <w:t>relevant codes of conduct</w:t>
      </w:r>
    </w:p>
    <w:p w:rsidR="00000000" w:rsidRPr="00F07AAA" w:rsidP="00F07AAA">
      <w:pPr>
        <w:pStyle w:val="ListBullet2"/>
      </w:pPr>
      <w:r w:rsidRPr="00F07AAA">
        <w:t>legislative and statutory requirements for reporting</w:t>
      </w:r>
    </w:p>
    <w:p w:rsidR="00000000" w:rsidRPr="00F07AAA" w:rsidP="00F07AAA">
      <w:pPr>
        <w:pStyle w:val="ListBullet2"/>
      </w:pPr>
      <w:r w:rsidRPr="00F07AAA">
        <w:t>privacy, confid</w:t>
      </w:r>
      <w:r w:rsidRPr="00F07AAA">
        <w:t>entiality and disclosure</w:t>
      </w:r>
    </w:p>
    <w:p w:rsidR="00000000" w:rsidRPr="00F07AAA" w:rsidP="00F07AAA">
      <w:pPr>
        <w:pStyle w:val="ListBullet2"/>
      </w:pPr>
      <w:r w:rsidRPr="00F07AAA">
        <w:t>mandatory reporting</w:t>
      </w:r>
    </w:p>
    <w:p w:rsidR="00000000" w:rsidRPr="00F07AAA" w:rsidP="00F07AAA">
      <w:pPr>
        <w:pStyle w:val="ListBullet2"/>
      </w:pPr>
      <w:r w:rsidRPr="00F07AAA">
        <w:t>work health and safety</w:t>
      </w:r>
    </w:p>
    <w:p w:rsidR="00000000" w:rsidRPr="00F07AAA" w:rsidP="00F07AAA">
      <w:pPr>
        <w:pStyle w:val="ListBullet"/>
      </w:pPr>
      <w:r w:rsidRPr="00F07AAA">
        <w:t>organisational policies and procedures for:</w:t>
      </w:r>
    </w:p>
    <w:p w:rsidR="00000000" w:rsidRPr="00F07AAA" w:rsidP="00F07AAA">
      <w:pPr>
        <w:pStyle w:val="ListBullet2"/>
      </w:pPr>
      <w:r w:rsidRPr="00F07AAA">
        <w:t>reporting and documentation, including the importance of accurate, objective and appropriately detailed records</w:t>
      </w:r>
    </w:p>
    <w:p w:rsidR="00000000" w:rsidRPr="00F07AAA" w:rsidP="00F07AAA">
      <w:pPr>
        <w:pStyle w:val="ListBullet2"/>
      </w:pPr>
      <w:r w:rsidRPr="00F07AAA">
        <w:t>storage of information</w:t>
      </w:r>
    </w:p>
    <w:p w:rsidR="00000000" w:rsidRPr="00F07AAA" w:rsidP="00F07AAA">
      <w:pPr>
        <w:pStyle w:val="ListBullet2"/>
      </w:pPr>
      <w:r w:rsidRPr="00F07AAA">
        <w:t>referrals.</w:t>
      </w:r>
    </w:p>
    <w:p w:rsidR="00000000" w:rsidRPr="00F07AAA" w:rsidP="00F07AAA">
      <w:pPr>
        <w:pStyle w:val="AllowPageBreak"/>
      </w:pPr>
    </w:p>
    <w:p w:rsidR="00000000" w:rsidRPr="00F07AAA" w:rsidP="00F07AAA">
      <w:pPr>
        <w:pStyle w:val="Heading1"/>
      </w:pPr>
      <w:bookmarkStart w:id="12" w:name="O_1223829"/>
      <w:bookmarkEnd w:id="12"/>
      <w:r w:rsidRPr="00F07AAA">
        <w:t>Assessment Conditions</w:t>
      </w:r>
    </w:p>
    <w:p w:rsidR="00000000" w:rsidRPr="00F07AAA" w:rsidP="009A7E36">
      <w:pPr>
        <w:pStyle w:val="BodyText"/>
      </w:pPr>
      <w:r w:rsidRPr="00F07AAA">
        <w:t>Skills must be demonstrated in the workplace, with the addition of simulations and scenarios where the full range of contexts and situations have not been provided in the workplace.</w:t>
      </w:r>
    </w:p>
    <w:p w:rsidR="00000000" w:rsidRPr="00F07AAA" w:rsidP="009A7E36">
      <w:pPr>
        <w:pStyle w:val="BodyText"/>
      </w:pPr>
      <w:r w:rsidRPr="00F07AAA">
        <w:t>These are situations r</w:t>
      </w:r>
      <w:r w:rsidRPr="00F07AAA">
        <w:t>elating to emergency or unplanned procedures where assessment in these circumstances would be unsafe, impractical or threaten the dignity of the person living with dementia.</w:t>
      </w:r>
    </w:p>
    <w:p w:rsidR="00000000" w:rsidRPr="00F07AAA" w:rsidP="009A7E36">
      <w:pPr>
        <w:pStyle w:val="BodyText"/>
      </w:pPr>
      <w:r w:rsidRPr="00F07AAA">
        <w:t>Assessment must ensure access to:</w:t>
      </w:r>
    </w:p>
    <w:p w:rsidR="00000000" w:rsidRPr="00F07AAA" w:rsidP="00F07AAA">
      <w:pPr>
        <w:pStyle w:val="ListBullet"/>
      </w:pPr>
      <w:r w:rsidRPr="00F07AAA">
        <w:t xml:space="preserve">individualised plans for the support of people </w:t>
      </w:r>
      <w:r w:rsidRPr="00F07AAA">
        <w:t>living with dementia that reflect a range of dementia symptoms and identified behaviour and support services</w:t>
      </w:r>
    </w:p>
    <w:p w:rsidR="00000000" w:rsidRPr="00F07AAA" w:rsidP="00F07AAA">
      <w:pPr>
        <w:pStyle w:val="ListBullet"/>
      </w:pPr>
      <w:r w:rsidRPr="00F07AAA">
        <w:t>facilities, equipment and resources relevant to individualised plans that are used when supporting people living with dementia</w:t>
      </w:r>
    </w:p>
    <w:p w:rsidR="00000000" w:rsidRPr="00F07AAA" w:rsidP="00F07AAA">
      <w:pPr>
        <w:pStyle w:val="ListBullet"/>
      </w:pPr>
      <w:r w:rsidRPr="00F07AAA">
        <w:t>legislative and stat</w:t>
      </w:r>
      <w:r w:rsidRPr="00F07AAA">
        <w:t>utory instruments related to reporting</w:t>
      </w:r>
    </w:p>
    <w:p w:rsidR="00000000" w:rsidRPr="00F07AAA" w:rsidP="00F07AAA">
      <w:pPr>
        <w:pStyle w:val="ListBullet"/>
      </w:pPr>
      <w:r w:rsidRPr="00F07AAA">
        <w:t>organisational policies and procedures</w:t>
      </w:r>
    </w:p>
    <w:p w:rsidR="00000000" w:rsidRPr="00F07AAA" w:rsidP="00F07AAA">
      <w:pPr>
        <w:pStyle w:val="ListBullet"/>
      </w:pPr>
      <w:r w:rsidRPr="00F07AAA">
        <w:t>opportunities for engagement with people living with dementia and their family, carer or others identified by the person and others involved in service provision.</w:t>
      </w:r>
    </w:p>
    <w:p w:rsidR="00000000" w:rsidRPr="00F07AAA" w:rsidP="009A7E36">
      <w:pPr>
        <w:pStyle w:val="BodyText"/>
      </w:pPr>
      <w:r w:rsidRPr="00F07AAA">
        <w:t>Assessors must satisfy the Standards for Registered Training Organisations’ requirements for assessors.</w:t>
      </w:r>
    </w:p>
    <w:p w:rsidR="00000000" w:rsidRPr="00F07AAA" w:rsidP="00F07AAA">
      <w:pPr>
        <w:pStyle w:val="Heading1"/>
      </w:pPr>
      <w:bookmarkStart w:id="13" w:name="O_1223827"/>
      <w:bookmarkEnd w:id="13"/>
      <w:r w:rsidRPr="00F07AAA">
        <w:t>Links</w:t>
      </w:r>
    </w:p>
    <w:p w:rsidR="00000000" w:rsidRPr="00F07AAA" w:rsidP="009A7E36">
      <w:pPr>
        <w:pStyle w:val="BodyText"/>
      </w:pPr>
      <w:r w:rsidRPr="00F07A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C0D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07AAA" w:rsidP="00F07AAA"/>
    <w:sectPr w:rsidSect="00F07A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AA" w:rsidRPr="009A7E36" w:rsidP="009A7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E36" w:rsidP="00F07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A7E36" w:rsidP="00F07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A7E36" w:rsidP="00F07A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AA" w:rsidP="00F07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7E36">
      <w:t>Approved</w:t>
    </w:r>
    <w:r w:rsidR="009A7E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7E3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7E36">
      <w:rPr>
        <w:noProof/>
      </w:rPr>
      <w:t>6</w:t>
    </w:r>
    <w:r>
      <w:rPr>
        <w:noProof/>
      </w:rPr>
      <w:fldChar w:fldCharType="end"/>
    </w:r>
  </w:p>
  <w:p w:rsidR="00F07AAA" w:rsidP="00F07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7E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7E36">
      <w:t>HumanAbility</w:t>
    </w:r>
    <w:r w:rsidR="009A7E36">
      <w:fldChar w:fldCharType="end"/>
    </w:r>
  </w:p>
  <w:p w:rsidR="00F07AAA" w:rsidP="00F07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AAA" w:rsidRPr="009A7E36" w:rsidP="009A7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E36" w:rsidRPr="002D2AF8" w:rsidP="00F07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CHCAGE011 Provide support to people living with dementia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7E36" w:rsidP="00F07A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AA" w:rsidRPr="002D2AF8" w:rsidP="00F07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7E36">
      <w:t>CHCAGE011 Provide support to people living with dementia</w:t>
    </w:r>
    <w:r w:rsidR="009A7E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7E36">
      <w:rPr>
        <w:noProof/>
      </w:rPr>
      <w:t>2 March 2025</w:t>
    </w:r>
    <w:r>
      <w:fldChar w:fldCharType="end"/>
    </w:r>
  </w:p>
  <w:p w:rsidR="00F07AAA" w:rsidP="00F07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0E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66A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903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AAA"/>
  </w:style>
  <w:style w:type="character" w:customStyle="1" w:styleId="Heading1Char">
    <w:name w:val="Heading 1 Char"/>
    <w:basedOn w:val="DefaultParagraphFont"/>
    <w:link w:val="Heading1"/>
    <w:rsid w:val="00F07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A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7A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7A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AAA"/>
    <w:rPr>
      <w:b/>
      <w:spacing w:val="0"/>
    </w:rPr>
  </w:style>
  <w:style w:type="paragraph" w:styleId="ListBullet2">
    <w:name w:val="List Bullet 2"/>
    <w:basedOn w:val="List2"/>
    <w:rsid w:val="00F07AA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7AAA"/>
    <w:rPr>
      <w:i/>
    </w:rPr>
  </w:style>
  <w:style w:type="paragraph" w:customStyle="1" w:styleId="SuperHeading">
    <w:name w:val="SuperHeading"/>
    <w:basedOn w:val="Normal"/>
    <w:rsid w:val="00F07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7A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7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A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7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A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7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AAA"/>
  </w:style>
  <w:style w:type="paragraph" w:styleId="TableofFigures">
    <w:name w:val="table of figures"/>
    <w:basedOn w:val="Normal"/>
    <w:next w:val="Normal"/>
    <w:semiHidden/>
    <w:rsid w:val="00F07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A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7AAA"/>
    <w:rPr>
      <w:rFonts w:ascii="Wingdings" w:hAnsi="Wingdings"/>
    </w:rPr>
  </w:style>
  <w:style w:type="paragraph" w:customStyle="1" w:styleId="TableHeading">
    <w:name w:val="Table Heading"/>
    <w:basedOn w:val="HeadingBase"/>
    <w:rsid w:val="00F07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AAA"/>
    <w:rPr>
      <w:color w:val="0033CC"/>
      <w:u w:val="none"/>
    </w:rPr>
  </w:style>
  <w:style w:type="paragraph" w:customStyle="1" w:styleId="BodyTextRight">
    <w:name w:val="Body Text Right"/>
    <w:basedOn w:val="BodyText"/>
    <w:rsid w:val="00F07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A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AAA"/>
    <w:rPr>
      <w:sz w:val="32"/>
    </w:rPr>
  </w:style>
  <w:style w:type="paragraph" w:customStyle="1" w:styleId="HeadingProcedure">
    <w:name w:val="Heading Procedure"/>
    <w:basedOn w:val="HeadingBase"/>
    <w:next w:val="Normal"/>
    <w:rsid w:val="00F07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AAA"/>
    <w:pPr>
      <w:spacing w:before="60" w:after="60"/>
    </w:pPr>
  </w:style>
  <w:style w:type="paragraph" w:styleId="ListContinue">
    <w:name w:val="List Continue"/>
    <w:basedOn w:val="List"/>
    <w:rsid w:val="00F07AAA"/>
    <w:pPr>
      <w:ind w:firstLine="0"/>
    </w:pPr>
  </w:style>
  <w:style w:type="paragraph" w:customStyle="1" w:styleId="ListNote">
    <w:name w:val="List Note"/>
    <w:basedOn w:val="List"/>
    <w:rsid w:val="00F07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AAA"/>
    <w:rPr>
      <w:rFonts w:ascii="Courier New" w:hAnsi="Courier New"/>
    </w:rPr>
  </w:style>
  <w:style w:type="paragraph" w:customStyle="1" w:styleId="NoteBullet">
    <w:name w:val="Note Bullet"/>
    <w:basedOn w:val="Note"/>
    <w:rsid w:val="00F07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A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7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AAA"/>
    <w:rPr>
      <w:b/>
      <w:smallCaps/>
    </w:rPr>
  </w:style>
  <w:style w:type="paragraph" w:customStyle="1" w:styleId="TableListNumber">
    <w:name w:val="Table List Number"/>
    <w:basedOn w:val="ListNumber"/>
    <w:rsid w:val="00F07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AAA"/>
    <w:pPr>
      <w:numPr>
        <w:numId w:val="10"/>
      </w:numPr>
    </w:pPr>
  </w:style>
  <w:style w:type="paragraph" w:customStyle="1" w:styleId="ListAlpha2">
    <w:name w:val="List Alpha 2"/>
    <w:basedOn w:val="List2"/>
    <w:rsid w:val="00F07AAA"/>
    <w:pPr>
      <w:numPr>
        <w:numId w:val="9"/>
      </w:numPr>
    </w:pPr>
  </w:style>
  <w:style w:type="paragraph" w:styleId="List2">
    <w:name w:val="List 2"/>
    <w:basedOn w:val="BodyText"/>
    <w:rsid w:val="00F07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A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7A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7AAA"/>
    <w:pPr>
      <w:numPr>
        <w:numId w:val="5"/>
      </w:numPr>
    </w:pPr>
  </w:style>
  <w:style w:type="paragraph" w:styleId="ListContinue2">
    <w:name w:val="List Continue 2"/>
    <w:basedOn w:val="List2"/>
    <w:rsid w:val="00F07AAA"/>
    <w:pPr>
      <w:ind w:firstLine="0"/>
    </w:pPr>
  </w:style>
  <w:style w:type="paragraph" w:styleId="ListContinue3">
    <w:name w:val="List Continue 3"/>
    <w:basedOn w:val="List3"/>
    <w:rsid w:val="00F07AAA"/>
    <w:pPr>
      <w:ind w:left="1021" w:firstLine="0"/>
    </w:pPr>
  </w:style>
  <w:style w:type="paragraph" w:styleId="ListContinue4">
    <w:name w:val="List Continue 4"/>
    <w:basedOn w:val="List4"/>
    <w:rsid w:val="00F07AAA"/>
    <w:pPr>
      <w:ind w:firstLine="0"/>
    </w:pPr>
  </w:style>
  <w:style w:type="paragraph" w:styleId="ListContinue5">
    <w:name w:val="List Continue 5"/>
    <w:basedOn w:val="List5"/>
    <w:rsid w:val="00F07AAA"/>
    <w:pPr>
      <w:ind w:firstLine="0"/>
    </w:pPr>
  </w:style>
  <w:style w:type="paragraph" w:styleId="ListNumber3">
    <w:name w:val="List Number 3"/>
    <w:basedOn w:val="List3"/>
    <w:rsid w:val="00F07AAA"/>
    <w:pPr>
      <w:numPr>
        <w:numId w:val="6"/>
      </w:numPr>
    </w:pPr>
  </w:style>
  <w:style w:type="paragraph" w:styleId="ListNumber4">
    <w:name w:val="List Number 4"/>
    <w:basedOn w:val="List4"/>
    <w:rsid w:val="00F07AAA"/>
    <w:pPr>
      <w:numPr>
        <w:numId w:val="7"/>
      </w:numPr>
    </w:pPr>
  </w:style>
  <w:style w:type="paragraph" w:styleId="ListNumber5">
    <w:name w:val="List Number 5"/>
    <w:basedOn w:val="List5"/>
    <w:rsid w:val="00F07AAA"/>
    <w:pPr>
      <w:numPr>
        <w:numId w:val="8"/>
      </w:numPr>
    </w:pPr>
  </w:style>
  <w:style w:type="paragraph" w:styleId="BlockText">
    <w:name w:val="Block Text"/>
    <w:basedOn w:val="Normal"/>
    <w:rsid w:val="00F07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AAA"/>
    <w:rPr>
      <w:sz w:val="16"/>
      <w:vertAlign w:val="superscript"/>
    </w:rPr>
  </w:style>
  <w:style w:type="character" w:customStyle="1" w:styleId="Symbols">
    <w:name w:val="Symbols"/>
    <w:basedOn w:val="DefaultParagraphFont"/>
    <w:rsid w:val="00F07AAA"/>
    <w:rPr>
      <w:rFonts w:ascii="Symbol" w:hAnsi="Symbol"/>
    </w:rPr>
  </w:style>
  <w:style w:type="character" w:customStyle="1" w:styleId="MenuOptions">
    <w:name w:val="Menu Options"/>
    <w:basedOn w:val="DefaultParagraphFont"/>
    <w:rsid w:val="00F07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AAA"/>
    <w:rPr>
      <w:b/>
    </w:rPr>
  </w:style>
  <w:style w:type="character" w:customStyle="1" w:styleId="Underlined">
    <w:name w:val="Underlined"/>
    <w:basedOn w:val="DefaultParagraphFont"/>
    <w:rsid w:val="00F07AAA"/>
    <w:rPr>
      <w:u w:val="single"/>
    </w:rPr>
  </w:style>
  <w:style w:type="paragraph" w:customStyle="1" w:styleId="TableBodyTextRight">
    <w:name w:val="Table Body Text Right"/>
    <w:basedOn w:val="TableBodyText"/>
    <w:rsid w:val="00F07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AAA"/>
    <w:rPr>
      <w:sz w:val="18"/>
    </w:rPr>
  </w:style>
  <w:style w:type="paragraph" w:customStyle="1" w:styleId="BodySmallRight">
    <w:name w:val="Body Small Right"/>
    <w:basedOn w:val="BodyTextRight"/>
    <w:rsid w:val="00F07AAA"/>
    <w:rPr>
      <w:sz w:val="18"/>
      <w:szCs w:val="18"/>
    </w:rPr>
  </w:style>
  <w:style w:type="paragraph" w:customStyle="1" w:styleId="MarginEdition">
    <w:name w:val="Margin Edition"/>
    <w:basedOn w:val="MarginNote"/>
    <w:rsid w:val="00F07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AAA"/>
    <w:rPr>
      <w:sz w:val="2"/>
      <w:szCs w:val="2"/>
    </w:rPr>
  </w:style>
  <w:style w:type="character" w:customStyle="1" w:styleId="Small">
    <w:name w:val="Small"/>
    <w:basedOn w:val="DefaultParagraphFont"/>
    <w:rsid w:val="00F07AAA"/>
    <w:rPr>
      <w:sz w:val="16"/>
    </w:rPr>
  </w:style>
  <w:style w:type="paragraph" w:customStyle="1" w:styleId="WideTable">
    <w:name w:val="Wide Table"/>
    <w:basedOn w:val="Normal"/>
    <w:rsid w:val="00F07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AAA"/>
  </w:style>
  <w:style w:type="paragraph" w:styleId="Quote">
    <w:name w:val="Quote"/>
    <w:basedOn w:val="Heading1"/>
    <w:link w:val="QuoteChar"/>
    <w:qFormat/>
    <w:rsid w:val="00F07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AAA"/>
    <w:pPr>
      <w:pageBreakBefore/>
    </w:pPr>
  </w:style>
  <w:style w:type="paragraph" w:customStyle="1" w:styleId="Border">
    <w:name w:val="Border"/>
    <w:basedOn w:val="Normal"/>
    <w:qFormat/>
    <w:rsid w:val="00F07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AAA"/>
    <w:rPr>
      <w:u w:val="single"/>
    </w:rPr>
  </w:style>
  <w:style w:type="character" w:customStyle="1" w:styleId="BoldandItalics">
    <w:name w:val="Bold and Italics"/>
    <w:qFormat/>
    <w:rsid w:val="00F07AAA"/>
    <w:rPr>
      <w:b/>
      <w:i/>
      <w:u w:val="none"/>
    </w:rPr>
  </w:style>
  <w:style w:type="paragraph" w:styleId="BalloonText">
    <w:name w:val="Balloon Text"/>
    <w:basedOn w:val="Normal"/>
    <w:link w:val="BalloonTextChar"/>
    <w:rsid w:val="00F07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AAA"/>
    <w:pPr>
      <w:spacing w:before="0" w:after="0"/>
    </w:pPr>
  </w:style>
  <w:style w:type="paragraph" w:customStyle="1" w:styleId="BodyTextBold">
    <w:name w:val="Body Text Bold"/>
    <w:basedOn w:val="BodyText"/>
    <w:qFormat/>
    <w:rsid w:val="00F07AAA"/>
    <w:rPr>
      <w:b/>
    </w:rPr>
  </w:style>
  <w:style w:type="character" w:styleId="Hyperlink">
    <w:name w:val="Hyperlink"/>
    <w:basedOn w:val="DefaultParagraphFont"/>
    <w:uiPriority w:val="99"/>
    <w:unhideWhenUsed/>
    <w:rsid w:val="009A7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1385</Words>
  <Characters>8938</Characters>
  <Application>Microsoft Office Word</Application>
  <DocSecurity>0</DocSecurity>
  <Lines>270</Lines>
  <Paragraphs>206</Paragraphs>
  <ScaleCrop>false</ScaleCrop>
  <Company>Author-it Software Corporation Ltd.</Company>
  <LinksUpToDate>false</LinksUpToDate>
  <CharactersWithSpaces>10117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CHCAGE011 Provide support to people living with dementia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