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38C" w:rsidP="00A51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CHCAGE011 Provide support to people living with dementia</w:t>
      </w:r>
      <w:r>
        <w:fldChar w:fldCharType="end"/>
      </w:r>
    </w:p>
    <w:p w:rsidR="00A5138C" w:rsidP="00A5138C">
      <w:pPr>
        <w:pStyle w:val="Version"/>
        <w:sectPr w:rsidSect="00664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74C" w:rsidP="0066474C">
      <w:pPr>
        <w:pStyle w:val="SuperHeading"/>
      </w:pPr>
      <w:r w:rsidRPr="0066474C">
        <w:t>Assessment Requirements for CHCAGE011 Provide support to people living with dementia</w:t>
      </w:r>
    </w:p>
    <w:p w:rsidR="00000000" w:rsidRPr="0066474C" w:rsidP="0066474C">
      <w:pPr>
        <w:pStyle w:val="Heading1"/>
      </w:pPr>
      <w:bookmarkStart w:id="1" w:name="O_1223828"/>
      <w:bookmarkEnd w:id="1"/>
      <w:r w:rsidRPr="0066474C">
        <w:t>Modification History</w:t>
      </w:r>
    </w:p>
    <w:p w:rsidR="00000000" w:rsidRPr="0066474C" w:rsidP="00A5138C">
      <w:pPr>
        <w:pStyle w:val="BodyText"/>
      </w:pPr>
      <w:r w:rsidRPr="0066474C">
        <w:t>Not applicable.</w:t>
      </w:r>
    </w:p>
    <w:p w:rsidR="00000000" w:rsidRPr="0066474C" w:rsidP="0066474C">
      <w:pPr>
        <w:pStyle w:val="Heading1"/>
      </w:pPr>
      <w:bookmarkStart w:id="2" w:name="O_1223831"/>
      <w:bookmarkEnd w:id="2"/>
      <w:r w:rsidRPr="0066474C">
        <w:t>Performance Evidence</w:t>
      </w:r>
    </w:p>
    <w:p w:rsidR="00000000" w:rsidRPr="0066474C" w:rsidP="00A5138C">
      <w:pPr>
        <w:pStyle w:val="BodyText"/>
      </w:pPr>
      <w:r w:rsidRPr="0066474C">
        <w:t>Evidence of the ability t</w:t>
      </w:r>
      <w:r w:rsidRPr="0066474C">
        <w:t>o complete tasks outlined in elements and performance criteria of this unit in the context of the job role, and:</w:t>
      </w:r>
    </w:p>
    <w:p w:rsidR="00000000" w:rsidRPr="0066474C" w:rsidP="0066474C">
      <w:pPr>
        <w:pStyle w:val="ListBullet"/>
      </w:pPr>
      <w:r w:rsidRPr="0066474C">
        <w:t>provide support according to an individualised plan, to two different people living with dementia, including:</w:t>
      </w:r>
    </w:p>
    <w:p w:rsidR="00000000" w:rsidRPr="0066474C" w:rsidP="0066474C">
      <w:pPr>
        <w:pStyle w:val="ListBullet2"/>
      </w:pPr>
      <w:r w:rsidRPr="0066474C">
        <w:t>using a person-centred approach</w:t>
      </w:r>
      <w:r w:rsidRPr="0066474C">
        <w:t xml:space="preserve"> to support, that upholds the rights and dignity of the person</w:t>
      </w:r>
    </w:p>
    <w:p w:rsidR="00000000" w:rsidRPr="0066474C" w:rsidP="0066474C">
      <w:pPr>
        <w:pStyle w:val="ListBullet2"/>
      </w:pPr>
      <w:r w:rsidRPr="0066474C">
        <w:t>using of communication strategies tailored to the needs of the person</w:t>
      </w:r>
    </w:p>
    <w:p w:rsidR="00000000" w:rsidRPr="0066474C" w:rsidP="0066474C">
      <w:pPr>
        <w:pStyle w:val="ListBullet2"/>
      </w:pPr>
      <w:r w:rsidRPr="0066474C">
        <w:t>supporting activities that meet the person’s needs</w:t>
      </w:r>
    </w:p>
    <w:p w:rsidR="00000000" w:rsidRPr="0066474C" w:rsidP="0066474C">
      <w:pPr>
        <w:pStyle w:val="ListBullet2"/>
      </w:pPr>
      <w:r w:rsidRPr="0066474C">
        <w:t>using strategies to minimise adverse outcomes associated with changed be</w:t>
      </w:r>
      <w:r w:rsidRPr="0066474C">
        <w:t>haviour specific to the person, which may impact the person or others</w:t>
      </w:r>
    </w:p>
    <w:p w:rsidR="00000000" w:rsidRPr="0066474C" w:rsidP="0066474C">
      <w:pPr>
        <w:pStyle w:val="ListBullet2"/>
      </w:pPr>
      <w:r w:rsidRPr="0066474C">
        <w:t>completing reports and documentation.</w:t>
      </w:r>
    </w:p>
    <w:p w:rsidR="00000000" w:rsidRPr="0066474C" w:rsidP="0066474C">
      <w:pPr>
        <w:pStyle w:val="AllowPageBreak"/>
      </w:pPr>
    </w:p>
    <w:p w:rsidR="00000000" w:rsidRPr="0066474C" w:rsidP="0066474C">
      <w:pPr>
        <w:pStyle w:val="Heading1"/>
      </w:pPr>
      <w:bookmarkStart w:id="3" w:name="O_1223830"/>
      <w:bookmarkEnd w:id="3"/>
      <w:r w:rsidRPr="0066474C">
        <w:t>Knowledge Evidence</w:t>
      </w:r>
    </w:p>
    <w:p w:rsidR="00000000" w:rsidRPr="0066474C" w:rsidP="00A5138C">
      <w:pPr>
        <w:pStyle w:val="BodyText"/>
      </w:pPr>
      <w:r w:rsidRPr="0066474C">
        <w:t>Demonstrated knowledge required to complete the tasks outlined in elements and performance criteria of this unit:</w:t>
      </w:r>
    </w:p>
    <w:p w:rsidR="00000000" w:rsidRPr="0066474C" w:rsidP="0066474C">
      <w:pPr>
        <w:pStyle w:val="ListBullet"/>
      </w:pPr>
      <w:r w:rsidRPr="0066474C">
        <w:t>awareness of current research on dementia</w:t>
      </w:r>
    </w:p>
    <w:p w:rsidR="00000000" w:rsidRPr="0066474C" w:rsidP="0066474C">
      <w:pPr>
        <w:pStyle w:val="ListBullet"/>
      </w:pPr>
      <w:r w:rsidRPr="0066474C">
        <w:t>types and causes of dementia, including but not limited to:</w:t>
      </w:r>
    </w:p>
    <w:p w:rsidR="00000000" w:rsidRPr="0066474C" w:rsidP="0066474C">
      <w:pPr>
        <w:pStyle w:val="ListBullet2"/>
      </w:pPr>
      <w:r w:rsidRPr="0066474C">
        <w:t>Alzheimer’s disease</w:t>
      </w:r>
    </w:p>
    <w:p w:rsidR="00000000" w:rsidRPr="0066474C" w:rsidP="0066474C">
      <w:pPr>
        <w:pStyle w:val="ListBullet2"/>
      </w:pPr>
      <w:r w:rsidRPr="0066474C">
        <w:t xml:space="preserve">vascular dementia </w:t>
      </w:r>
      <w:r w:rsidRPr="0066474C">
        <w:t>or multi-infarct dementia</w:t>
      </w:r>
    </w:p>
    <w:p w:rsidR="00000000" w:rsidRPr="0066474C" w:rsidP="0066474C">
      <w:pPr>
        <w:pStyle w:val="ListBullet2"/>
      </w:pPr>
      <w:r w:rsidRPr="0066474C">
        <w:t>Lewy bodies</w:t>
      </w:r>
    </w:p>
    <w:p w:rsidR="00000000" w:rsidRPr="0066474C" w:rsidP="0066474C">
      <w:pPr>
        <w:pStyle w:val="ListBullet2"/>
      </w:pPr>
      <w:r w:rsidRPr="0066474C">
        <w:t>excessive alcohol intake or Korsakoff Syndrome</w:t>
      </w:r>
    </w:p>
    <w:p w:rsidR="00000000" w:rsidRPr="0066474C" w:rsidP="0066474C">
      <w:pPr>
        <w:pStyle w:val="ListBullet2"/>
      </w:pPr>
      <w:r w:rsidRPr="0066474C">
        <w:t>frontotemporal lobar degeneration (FLTD)</w:t>
      </w:r>
    </w:p>
    <w:p w:rsidR="00000000" w:rsidRPr="0066474C" w:rsidP="0066474C">
      <w:pPr>
        <w:pStyle w:val="ListBullet2"/>
      </w:pPr>
      <w:r w:rsidRPr="0066474C">
        <w:t>Huntington’s disease</w:t>
      </w:r>
    </w:p>
    <w:p w:rsidR="00000000" w:rsidRPr="0066474C" w:rsidP="0066474C">
      <w:pPr>
        <w:pStyle w:val="ListBullet2"/>
      </w:pPr>
      <w:r w:rsidRPr="0066474C">
        <w:t>Parkinson’s disease</w:t>
      </w:r>
    </w:p>
    <w:p w:rsidR="00000000" w:rsidRPr="0066474C" w:rsidP="0066474C">
      <w:pPr>
        <w:pStyle w:val="ListBullet2"/>
      </w:pPr>
      <w:r w:rsidRPr="0066474C">
        <w:t>younger onset dementia</w:t>
      </w:r>
    </w:p>
    <w:p w:rsidR="00000000" w:rsidRPr="0066474C" w:rsidP="0066474C">
      <w:pPr>
        <w:pStyle w:val="ListBullet"/>
      </w:pPr>
      <w:r w:rsidRPr="0066474C">
        <w:t>dementia as a progressive neurological condition, including patho</w:t>
      </w:r>
      <w:r w:rsidRPr="0066474C">
        <w:t>logical features:</w:t>
      </w:r>
    </w:p>
    <w:p w:rsidR="00000000" w:rsidRPr="0066474C" w:rsidP="0066474C">
      <w:pPr>
        <w:pStyle w:val="ListBullet2"/>
      </w:pPr>
      <w:r w:rsidRPr="0066474C">
        <w:t>amyloid plaques</w:t>
      </w:r>
    </w:p>
    <w:p w:rsidR="00000000" w:rsidRPr="0066474C" w:rsidP="0066474C">
      <w:pPr>
        <w:pStyle w:val="ListBullet2"/>
      </w:pPr>
      <w:r w:rsidRPr="0066474C">
        <w:t>neurofibrillary tangles</w:t>
      </w:r>
    </w:p>
    <w:p w:rsidR="00000000" w:rsidRPr="0066474C" w:rsidP="0066474C">
      <w:pPr>
        <w:pStyle w:val="ListBullet2"/>
      </w:pPr>
      <w:r w:rsidRPr="0066474C">
        <w:t>loss of connection between cells and cell death</w:t>
      </w:r>
    </w:p>
    <w:p w:rsidR="00000000" w:rsidRPr="0066474C" w:rsidP="0066474C">
      <w:pPr>
        <w:pStyle w:val="ListBullet"/>
      </w:pPr>
      <w:r w:rsidRPr="0066474C">
        <w:t>common indicators and symptoms of dementia</w:t>
      </w:r>
    </w:p>
    <w:p w:rsidR="00000000" w:rsidRPr="0066474C" w:rsidP="0066474C">
      <w:pPr>
        <w:pStyle w:val="ListBullet"/>
      </w:pPr>
      <w:r w:rsidRPr="0066474C">
        <w:t>potential interventions and proactive strategies that may be used to address identified behaviour:</w:t>
      </w:r>
    </w:p>
    <w:p w:rsidR="00000000" w:rsidRPr="0066474C" w:rsidP="0066474C">
      <w:pPr>
        <w:pStyle w:val="ListBullet2"/>
      </w:pPr>
      <w:r w:rsidRPr="0066474C">
        <w:t>identification of triggers</w:t>
      </w:r>
    </w:p>
    <w:p w:rsidR="00000000" w:rsidRPr="0066474C" w:rsidP="0066474C">
      <w:pPr>
        <w:pStyle w:val="ListBullet2"/>
      </w:pPr>
      <w:r w:rsidRPr="0066474C">
        <w:t>behaviour as an indicator of unmet needs</w:t>
      </w:r>
    </w:p>
    <w:p w:rsidR="00000000" w:rsidRPr="0066474C" w:rsidP="0066474C">
      <w:pPr>
        <w:pStyle w:val="ListBullet2"/>
      </w:pPr>
      <w:r w:rsidRPr="0066474C">
        <w:t>impact of environment</w:t>
      </w:r>
    </w:p>
    <w:p w:rsidR="00000000" w:rsidRPr="0066474C" w:rsidP="0066474C">
      <w:pPr>
        <w:pStyle w:val="ListBullet"/>
      </w:pPr>
      <w:r w:rsidRPr="0066474C">
        <w:t>restrictive practices:</w:t>
      </w:r>
    </w:p>
    <w:p w:rsidR="00000000" w:rsidRPr="0066474C" w:rsidP="0066474C">
      <w:pPr>
        <w:pStyle w:val="ListBullet2"/>
      </w:pPr>
      <w:r w:rsidRPr="0066474C">
        <w:t>what constitutes a restrictive practice</w:t>
      </w:r>
    </w:p>
    <w:p w:rsidR="00000000" w:rsidRPr="0066474C" w:rsidP="0066474C">
      <w:pPr>
        <w:pStyle w:val="ListBullet2"/>
      </w:pPr>
      <w:r w:rsidRPr="0066474C">
        <w:t>legislative and regulatory requirements</w:t>
      </w:r>
    </w:p>
    <w:p w:rsidR="00000000" w:rsidRPr="0066474C" w:rsidP="0066474C">
      <w:pPr>
        <w:pStyle w:val="ListBullet2"/>
      </w:pPr>
      <w:r w:rsidRPr="0066474C">
        <w:t>organisational policies and procedures relating to restricted</w:t>
      </w:r>
      <w:r w:rsidRPr="0066474C">
        <w:t xml:space="preserve"> practices</w:t>
      </w:r>
    </w:p>
    <w:p w:rsidR="00000000" w:rsidRPr="0066474C" w:rsidP="0066474C">
      <w:pPr>
        <w:pStyle w:val="ListBullet2"/>
      </w:pPr>
      <w:r w:rsidRPr="0066474C">
        <w:t>positive strategies</w:t>
      </w:r>
    </w:p>
    <w:p w:rsidR="00000000" w:rsidRPr="0066474C" w:rsidP="0066474C">
      <w:pPr>
        <w:pStyle w:val="ListBullet2"/>
      </w:pPr>
      <w:r w:rsidRPr="0066474C">
        <w:t>ethical considerations</w:t>
      </w:r>
    </w:p>
    <w:p w:rsidR="00000000" w:rsidRPr="0066474C" w:rsidP="0066474C">
      <w:pPr>
        <w:pStyle w:val="ListBullet2"/>
      </w:pPr>
      <w:r w:rsidRPr="0066474C">
        <w:t>documentation requirements</w:t>
      </w:r>
    </w:p>
    <w:p w:rsidR="00000000" w:rsidRPr="0066474C" w:rsidP="0066474C">
      <w:pPr>
        <w:pStyle w:val="ListBullet"/>
      </w:pPr>
      <w:r w:rsidRPr="0066474C">
        <w:t>processes for recognising and reporting indicators of injury, infection, illness and pain and the impact on the person’s behaviour</w:t>
      </w:r>
    </w:p>
    <w:p w:rsidR="00000000" w:rsidRPr="0066474C" w:rsidP="0066474C">
      <w:pPr>
        <w:pStyle w:val="ListBullet"/>
      </w:pPr>
      <w:r w:rsidRPr="0066474C">
        <w:t>progression of dementia and potential impac</w:t>
      </w:r>
      <w:r w:rsidRPr="0066474C">
        <w:t>t on the person living with dementia and their family and carer, including but not limited to:</w:t>
      </w:r>
    </w:p>
    <w:p w:rsidR="00000000" w:rsidRPr="0066474C" w:rsidP="0066474C">
      <w:pPr>
        <w:pStyle w:val="ListBullet2"/>
      </w:pPr>
      <w:r w:rsidRPr="0066474C">
        <w:t>depression</w:t>
      </w:r>
    </w:p>
    <w:p w:rsidR="00000000" w:rsidRPr="0066474C" w:rsidP="0066474C">
      <w:pPr>
        <w:pStyle w:val="ListBullet2"/>
      </w:pPr>
      <w:r w:rsidRPr="0066474C">
        <w:t>loss and grieving</w:t>
      </w:r>
    </w:p>
    <w:p w:rsidR="00000000" w:rsidRPr="0066474C" w:rsidP="0066474C">
      <w:pPr>
        <w:pStyle w:val="ListBullet2"/>
      </w:pPr>
      <w:r w:rsidRPr="0066474C">
        <w:t>anger or aggression toward carer, family or others</w:t>
      </w:r>
    </w:p>
    <w:p w:rsidR="00000000" w:rsidRPr="0066474C" w:rsidP="0066474C">
      <w:pPr>
        <w:pStyle w:val="ListBullet2"/>
      </w:pPr>
      <w:r w:rsidRPr="0066474C">
        <w:t>despair</w:t>
      </w:r>
    </w:p>
    <w:p w:rsidR="00000000" w:rsidRPr="0066474C" w:rsidP="0066474C">
      <w:pPr>
        <w:pStyle w:val="ListBullet2"/>
      </w:pPr>
      <w:r w:rsidRPr="0066474C">
        <w:t>delirium</w:t>
      </w:r>
    </w:p>
    <w:p w:rsidR="00000000" w:rsidRPr="0066474C" w:rsidP="0066474C">
      <w:pPr>
        <w:pStyle w:val="ListBullet2"/>
      </w:pPr>
      <w:r w:rsidRPr="0066474C">
        <w:t xml:space="preserve">social embarrassment </w:t>
      </w:r>
    </w:p>
    <w:p w:rsidR="00000000" w:rsidRPr="0066474C" w:rsidP="0066474C">
      <w:pPr>
        <w:pStyle w:val="ListBullet2"/>
      </w:pPr>
      <w:r w:rsidRPr="0066474C">
        <w:t>dysphagia</w:t>
      </w:r>
    </w:p>
    <w:p w:rsidR="00000000" w:rsidRPr="0066474C" w:rsidP="0066474C">
      <w:pPr>
        <w:pStyle w:val="ListBullet2"/>
      </w:pPr>
      <w:r w:rsidRPr="0066474C">
        <w:t>loss of speech and cognition</w:t>
      </w:r>
    </w:p>
    <w:p w:rsidR="00000000" w:rsidRPr="0066474C" w:rsidP="0066474C">
      <w:pPr>
        <w:pStyle w:val="ListBullet2"/>
      </w:pPr>
      <w:r w:rsidRPr="0066474C">
        <w:t>loss of inhibition</w:t>
      </w:r>
    </w:p>
    <w:p w:rsidR="00000000" w:rsidRPr="0066474C" w:rsidP="0066474C">
      <w:pPr>
        <w:pStyle w:val="ListBullet2"/>
      </w:pPr>
      <w:r w:rsidRPr="0066474C">
        <w:t>isolation</w:t>
      </w:r>
    </w:p>
    <w:p w:rsidR="00000000" w:rsidRPr="0066474C" w:rsidP="0066474C">
      <w:pPr>
        <w:pStyle w:val="ListBullet2"/>
      </w:pPr>
      <w:r w:rsidRPr="0066474C">
        <w:t>self-harm</w:t>
      </w:r>
    </w:p>
    <w:p w:rsidR="00000000" w:rsidRPr="0066474C" w:rsidP="0066474C">
      <w:pPr>
        <w:pStyle w:val="ListBullet2"/>
      </w:pPr>
      <w:r w:rsidRPr="0066474C">
        <w:t>social devaluation</w:t>
      </w:r>
    </w:p>
    <w:p w:rsidR="00000000" w:rsidRPr="0066474C" w:rsidP="0066474C">
      <w:pPr>
        <w:pStyle w:val="ListBullet2"/>
      </w:pPr>
      <w:r w:rsidRPr="0066474C">
        <w:t>suicidal ideation</w:t>
      </w:r>
    </w:p>
    <w:p w:rsidR="00000000" w:rsidRPr="0066474C" w:rsidP="0066474C">
      <w:pPr>
        <w:pStyle w:val="ListBullet"/>
      </w:pPr>
      <w:r w:rsidRPr="0066474C">
        <w:t>psychosocial implications of the progression of dementia for the person, including but not limited to:</w:t>
      </w:r>
    </w:p>
    <w:p w:rsidR="00000000" w:rsidRPr="0066474C" w:rsidP="0066474C">
      <w:pPr>
        <w:pStyle w:val="ListBullet2"/>
      </w:pPr>
      <w:r w:rsidRPr="0066474C">
        <w:t>accommodation</w:t>
      </w:r>
    </w:p>
    <w:p w:rsidR="00000000" w:rsidRPr="0066474C" w:rsidP="0066474C">
      <w:pPr>
        <w:pStyle w:val="ListBullet2"/>
      </w:pPr>
      <w:r w:rsidRPr="0066474C">
        <w:t>financial implications</w:t>
      </w:r>
    </w:p>
    <w:p w:rsidR="00000000" w:rsidRPr="0066474C" w:rsidP="0066474C">
      <w:pPr>
        <w:pStyle w:val="ListBullet2"/>
      </w:pPr>
      <w:r w:rsidRPr="0066474C">
        <w:t>isolation</w:t>
      </w:r>
    </w:p>
    <w:p w:rsidR="00000000" w:rsidRPr="0066474C" w:rsidP="0066474C">
      <w:pPr>
        <w:pStyle w:val="ListBullet2"/>
      </w:pPr>
      <w:r w:rsidRPr="0066474C">
        <w:t>heightened vulnerability to abuse and exploitation</w:t>
      </w:r>
    </w:p>
    <w:p w:rsidR="00000000" w:rsidRPr="0066474C" w:rsidP="0066474C">
      <w:pPr>
        <w:pStyle w:val="ListBullet"/>
      </w:pPr>
      <w:r w:rsidRPr="0066474C">
        <w:t>principles of a person-centred approach to support activities which:</w:t>
      </w:r>
    </w:p>
    <w:p w:rsidR="00000000" w:rsidRPr="0066474C" w:rsidP="0066474C">
      <w:pPr>
        <w:pStyle w:val="ListBullet2"/>
      </w:pPr>
      <w:r w:rsidRPr="0066474C">
        <w:t>enhance self-esteem and pleasure</w:t>
      </w:r>
    </w:p>
    <w:p w:rsidR="00000000" w:rsidRPr="0066474C" w:rsidP="0066474C">
      <w:pPr>
        <w:pStyle w:val="ListBullet2"/>
      </w:pPr>
      <w:r w:rsidRPr="0066474C">
        <w:t>minimise boredom</w:t>
      </w:r>
    </w:p>
    <w:p w:rsidR="00000000" w:rsidRPr="0066474C" w:rsidP="0066474C">
      <w:pPr>
        <w:pStyle w:val="ListBullet2"/>
      </w:pPr>
      <w:r w:rsidRPr="0066474C">
        <w:t>create a sense of personal value and self-worth</w:t>
      </w:r>
    </w:p>
    <w:p w:rsidR="00000000" w:rsidRPr="0066474C" w:rsidP="0066474C">
      <w:pPr>
        <w:pStyle w:val="ListBullet"/>
      </w:pPr>
      <w:r w:rsidRPr="0066474C">
        <w:t>the impact of the environment on su</w:t>
      </w:r>
      <w:r w:rsidRPr="0066474C">
        <w:t>pporting a person living with dementia to interact and engage</w:t>
      </w:r>
    </w:p>
    <w:p w:rsidR="00000000" w:rsidRPr="0066474C" w:rsidP="0066474C">
      <w:pPr>
        <w:pStyle w:val="ListBullet"/>
      </w:pPr>
      <w:r w:rsidRPr="0066474C">
        <w:t>forms of abuse, neglect and exploitation</w:t>
      </w:r>
    </w:p>
    <w:p w:rsidR="00000000" w:rsidRPr="0066474C" w:rsidP="0066474C">
      <w:pPr>
        <w:pStyle w:val="ListBullet"/>
      </w:pPr>
      <w:r w:rsidRPr="0066474C">
        <w:t>methods to engage with the person living with dementia:</w:t>
      </w:r>
    </w:p>
    <w:p w:rsidR="00000000" w:rsidRPr="0066474C" w:rsidP="0066474C">
      <w:pPr>
        <w:pStyle w:val="ListBullet2"/>
      </w:pPr>
      <w:r w:rsidRPr="0066474C">
        <w:t xml:space="preserve">verbal and non-verbal communication strategies </w:t>
      </w:r>
    </w:p>
    <w:p w:rsidR="00000000" w:rsidRPr="0066474C" w:rsidP="0066474C">
      <w:pPr>
        <w:pStyle w:val="ListBullet2"/>
      </w:pPr>
      <w:r w:rsidRPr="0066474C">
        <w:t>culturally sensitive and safe communication stra</w:t>
      </w:r>
      <w:r w:rsidRPr="0066474C">
        <w:t>tegies</w:t>
      </w:r>
    </w:p>
    <w:p w:rsidR="00000000" w:rsidRPr="0066474C" w:rsidP="0066474C">
      <w:pPr>
        <w:pStyle w:val="ListBullet2"/>
      </w:pPr>
      <w:r w:rsidRPr="0066474C">
        <w:t>reality orientation</w:t>
      </w:r>
    </w:p>
    <w:p w:rsidR="00000000" w:rsidRPr="0066474C" w:rsidP="0066474C">
      <w:pPr>
        <w:pStyle w:val="ListBullet2"/>
      </w:pPr>
      <w:r w:rsidRPr="0066474C">
        <w:t>reassuring words, phrases and body language</w:t>
      </w:r>
    </w:p>
    <w:p w:rsidR="00000000" w:rsidRPr="0066474C" w:rsidP="0066474C">
      <w:pPr>
        <w:pStyle w:val="ListBullet2"/>
      </w:pPr>
      <w:r w:rsidRPr="0066474C">
        <w:t>validation:</w:t>
      </w:r>
    </w:p>
    <w:p w:rsidR="00000000" w:rsidRPr="0066474C" w:rsidP="0066474C">
      <w:pPr>
        <w:pStyle w:val="ListBullet3"/>
      </w:pPr>
      <w:r w:rsidRPr="0066474C">
        <w:t>acceptance of the person’s reality</w:t>
      </w:r>
    </w:p>
    <w:p w:rsidR="00000000" w:rsidRPr="0066474C" w:rsidP="0066474C">
      <w:pPr>
        <w:pStyle w:val="ListBullet3"/>
      </w:pPr>
      <w:r w:rsidRPr="0066474C">
        <w:t>acknowledgement</w:t>
      </w:r>
    </w:p>
    <w:p w:rsidR="00000000" w:rsidRPr="0066474C" w:rsidP="0066474C">
      <w:pPr>
        <w:pStyle w:val="ListBullet2"/>
      </w:pPr>
      <w:r w:rsidRPr="0066474C">
        <w:t>accepting expressions of distress</w:t>
      </w:r>
    </w:p>
    <w:p w:rsidR="00000000" w:rsidRPr="0066474C" w:rsidP="0066474C">
      <w:pPr>
        <w:pStyle w:val="ListBullet2"/>
      </w:pPr>
      <w:r w:rsidRPr="0066474C">
        <w:t>reminiscence</w:t>
      </w:r>
    </w:p>
    <w:p w:rsidR="00000000" w:rsidRPr="0066474C" w:rsidP="0066474C">
      <w:pPr>
        <w:pStyle w:val="ListBullet"/>
      </w:pPr>
      <w:r w:rsidRPr="0066474C">
        <w:t>types of stressors and their impact, including but not limited to:</w:t>
      </w:r>
    </w:p>
    <w:p w:rsidR="00000000" w:rsidRPr="0066474C" w:rsidP="0066474C">
      <w:pPr>
        <w:pStyle w:val="ListBullet2"/>
      </w:pPr>
      <w:r w:rsidRPr="0066474C">
        <w:t>physical:</w:t>
      </w:r>
    </w:p>
    <w:p w:rsidR="00000000" w:rsidRPr="0066474C" w:rsidP="0066474C">
      <w:pPr>
        <w:pStyle w:val="ListBullet3"/>
      </w:pPr>
      <w:r w:rsidRPr="0066474C">
        <w:t>infection</w:t>
      </w:r>
    </w:p>
    <w:p w:rsidR="00000000" w:rsidRPr="0066474C" w:rsidP="0066474C">
      <w:pPr>
        <w:pStyle w:val="ListBullet3"/>
      </w:pPr>
      <w:r w:rsidRPr="0066474C">
        <w:t>nutrition and dehydration</w:t>
      </w:r>
    </w:p>
    <w:p w:rsidR="00000000" w:rsidRPr="0066474C" w:rsidP="0066474C">
      <w:pPr>
        <w:pStyle w:val="ListBullet3"/>
      </w:pPr>
      <w:r w:rsidRPr="0066474C">
        <w:t>continence</w:t>
      </w:r>
    </w:p>
    <w:p w:rsidR="00000000" w:rsidRPr="0066474C" w:rsidP="0066474C">
      <w:pPr>
        <w:pStyle w:val="ListBullet3"/>
      </w:pPr>
      <w:r w:rsidRPr="0066474C">
        <w:t>pain</w:t>
      </w:r>
    </w:p>
    <w:p w:rsidR="00000000" w:rsidRPr="0066474C" w:rsidP="0066474C">
      <w:pPr>
        <w:pStyle w:val="ListBullet2"/>
      </w:pPr>
      <w:r w:rsidRPr="0066474C">
        <w:t>environmental</w:t>
      </w:r>
    </w:p>
    <w:p w:rsidR="00000000" w:rsidRPr="0066474C" w:rsidP="0066474C">
      <w:pPr>
        <w:pStyle w:val="ListBullet2"/>
      </w:pPr>
      <w:r w:rsidRPr="0066474C">
        <w:t>accumulated</w:t>
      </w:r>
    </w:p>
    <w:p w:rsidR="00000000" w:rsidRPr="0066474C" w:rsidP="0066474C">
      <w:pPr>
        <w:pStyle w:val="ListBullet2"/>
      </w:pPr>
      <w:r w:rsidRPr="0066474C">
        <w:t>cumulative</w:t>
      </w:r>
    </w:p>
    <w:p w:rsidR="00000000" w:rsidRPr="0066474C" w:rsidP="0066474C">
      <w:pPr>
        <w:pStyle w:val="ListBullet"/>
      </w:pPr>
      <w:r w:rsidRPr="0066474C">
        <w:t>role of assistive technologies in supporting a person’s life activities:</w:t>
      </w:r>
    </w:p>
    <w:p w:rsidR="00000000" w:rsidRPr="0066474C" w:rsidP="0066474C">
      <w:pPr>
        <w:pStyle w:val="ListBullet2"/>
      </w:pPr>
      <w:r w:rsidRPr="0066474C">
        <w:t>maintaining and promoting independence</w:t>
      </w:r>
    </w:p>
    <w:p w:rsidR="00000000" w:rsidRPr="0066474C" w:rsidP="0066474C">
      <w:pPr>
        <w:pStyle w:val="ListBullet2"/>
      </w:pPr>
      <w:r w:rsidRPr="0066474C">
        <w:t>enabling inclusion and participation</w:t>
      </w:r>
    </w:p>
    <w:p w:rsidR="00000000" w:rsidRPr="0066474C" w:rsidP="0066474C">
      <w:pPr>
        <w:pStyle w:val="ListBullet"/>
      </w:pPr>
      <w:r w:rsidRPr="0066474C">
        <w:t>scope and breadth of assistive technologies used across the life domains, including but not limited to:</w:t>
      </w:r>
    </w:p>
    <w:p w:rsidR="00000000" w:rsidRPr="0066474C" w:rsidP="0066474C">
      <w:pPr>
        <w:pStyle w:val="ListBullet2"/>
      </w:pPr>
      <w:r w:rsidRPr="0066474C">
        <w:t>self-care</w:t>
      </w:r>
    </w:p>
    <w:p w:rsidR="00000000" w:rsidRPr="0066474C" w:rsidP="0066474C">
      <w:pPr>
        <w:pStyle w:val="ListBullet2"/>
      </w:pPr>
      <w:r w:rsidRPr="0066474C">
        <w:t>continence and hygiene</w:t>
      </w:r>
    </w:p>
    <w:p w:rsidR="00000000" w:rsidRPr="0066474C" w:rsidP="0066474C">
      <w:pPr>
        <w:pStyle w:val="ListBullet2"/>
      </w:pPr>
      <w:r w:rsidRPr="0066474C">
        <w:t>communication</w:t>
      </w:r>
    </w:p>
    <w:p w:rsidR="00000000" w:rsidRPr="0066474C" w:rsidP="0066474C">
      <w:pPr>
        <w:pStyle w:val="ListBullet2"/>
      </w:pPr>
      <w:r w:rsidRPr="0066474C">
        <w:t>mobility and transferring</w:t>
      </w:r>
    </w:p>
    <w:p w:rsidR="00000000" w:rsidRPr="0066474C" w:rsidP="0066474C">
      <w:pPr>
        <w:pStyle w:val="ListBullet2"/>
      </w:pPr>
      <w:r w:rsidRPr="0066474C">
        <w:t>cognition and memory loss</w:t>
      </w:r>
    </w:p>
    <w:p w:rsidR="00000000" w:rsidRPr="0066474C" w:rsidP="0066474C">
      <w:pPr>
        <w:pStyle w:val="ListBullet2"/>
      </w:pPr>
      <w:r w:rsidRPr="0066474C">
        <w:t>vision and hearing</w:t>
      </w:r>
    </w:p>
    <w:p w:rsidR="00000000" w:rsidRPr="0066474C" w:rsidP="0066474C">
      <w:pPr>
        <w:pStyle w:val="ListBullet2"/>
      </w:pPr>
      <w:r w:rsidRPr="0066474C">
        <w:t>daily living activities</w:t>
      </w:r>
    </w:p>
    <w:p w:rsidR="00000000" w:rsidRPr="0066474C" w:rsidP="0066474C">
      <w:pPr>
        <w:pStyle w:val="ListBullet2"/>
      </w:pPr>
      <w:r w:rsidRPr="0066474C">
        <w:t>recreatio</w:t>
      </w:r>
      <w:r w:rsidRPr="0066474C">
        <w:t>n and leisure</w:t>
      </w:r>
    </w:p>
    <w:p w:rsidR="00000000" w:rsidRPr="0066474C" w:rsidP="0066474C">
      <w:pPr>
        <w:pStyle w:val="ListBullet2"/>
      </w:pPr>
      <w:r w:rsidRPr="0066474C">
        <w:t>education and employment</w:t>
      </w:r>
    </w:p>
    <w:p w:rsidR="00000000" w:rsidRPr="0066474C" w:rsidP="0066474C">
      <w:pPr>
        <w:pStyle w:val="ListBullet2"/>
      </w:pPr>
      <w:r w:rsidRPr="0066474C">
        <w:t>home and other environments</w:t>
      </w:r>
    </w:p>
    <w:p w:rsidR="00000000" w:rsidRPr="0066474C" w:rsidP="0066474C">
      <w:pPr>
        <w:pStyle w:val="ListBullet2"/>
      </w:pPr>
      <w:r w:rsidRPr="0066474C">
        <w:t>eating and drinking</w:t>
      </w:r>
    </w:p>
    <w:p w:rsidR="00000000" w:rsidRPr="0066474C" w:rsidP="0066474C">
      <w:pPr>
        <w:pStyle w:val="ListBullet2"/>
      </w:pPr>
      <w:r w:rsidRPr="0066474C">
        <w:t>pressure area management</w:t>
      </w:r>
    </w:p>
    <w:p w:rsidR="00000000" w:rsidRPr="0066474C" w:rsidP="0066474C">
      <w:pPr>
        <w:pStyle w:val="ListBullet2"/>
      </w:pPr>
      <w:r w:rsidRPr="0066474C">
        <w:t>carer support</w:t>
      </w:r>
    </w:p>
    <w:p w:rsidR="00000000" w:rsidRPr="0066474C" w:rsidP="0066474C">
      <w:pPr>
        <w:pStyle w:val="ListBullet"/>
      </w:pPr>
      <w:r w:rsidRPr="0066474C">
        <w:t>legal and ethical considerations for working with people living with dementia:</w:t>
      </w:r>
    </w:p>
    <w:p w:rsidR="00000000" w:rsidRPr="0066474C" w:rsidP="0066474C">
      <w:pPr>
        <w:pStyle w:val="ListBullet2"/>
      </w:pPr>
      <w:r w:rsidRPr="0066474C">
        <w:t>duty of care</w:t>
      </w:r>
    </w:p>
    <w:p w:rsidR="00000000" w:rsidRPr="0066474C" w:rsidP="0066474C">
      <w:pPr>
        <w:pStyle w:val="ListBullet2"/>
      </w:pPr>
      <w:r w:rsidRPr="0066474C">
        <w:t>dignity of risk</w:t>
      </w:r>
    </w:p>
    <w:p w:rsidR="00000000" w:rsidRPr="0066474C" w:rsidP="0066474C">
      <w:pPr>
        <w:pStyle w:val="ListBullet2"/>
      </w:pPr>
      <w:r w:rsidRPr="0066474C">
        <w:t>human rights</w:t>
      </w:r>
    </w:p>
    <w:p w:rsidR="00000000" w:rsidRPr="0066474C" w:rsidP="0066474C">
      <w:pPr>
        <w:pStyle w:val="ListBullet2"/>
      </w:pPr>
      <w:r w:rsidRPr="0066474C">
        <w:t>relevant codes of conduct</w:t>
      </w:r>
    </w:p>
    <w:p w:rsidR="00000000" w:rsidRPr="0066474C" w:rsidP="0066474C">
      <w:pPr>
        <w:pStyle w:val="ListBullet2"/>
      </w:pPr>
      <w:r w:rsidRPr="0066474C">
        <w:t>legislative and statutory requirements for reporting</w:t>
      </w:r>
    </w:p>
    <w:p w:rsidR="00000000" w:rsidRPr="0066474C" w:rsidP="0066474C">
      <w:pPr>
        <w:pStyle w:val="ListBullet2"/>
      </w:pPr>
      <w:r w:rsidRPr="0066474C">
        <w:t>privacy, confidentiality and disclosure</w:t>
      </w:r>
    </w:p>
    <w:p w:rsidR="00000000" w:rsidRPr="0066474C" w:rsidP="0066474C">
      <w:pPr>
        <w:pStyle w:val="ListBullet2"/>
      </w:pPr>
      <w:r w:rsidRPr="0066474C">
        <w:t>mandatory reporting</w:t>
      </w:r>
    </w:p>
    <w:p w:rsidR="00000000" w:rsidRPr="0066474C" w:rsidP="0066474C">
      <w:pPr>
        <w:pStyle w:val="ListBullet2"/>
      </w:pPr>
      <w:r w:rsidRPr="0066474C">
        <w:t>work health and safety</w:t>
      </w:r>
    </w:p>
    <w:p w:rsidR="00000000" w:rsidRPr="0066474C" w:rsidP="0066474C">
      <w:pPr>
        <w:pStyle w:val="ListBullet"/>
      </w:pPr>
      <w:r w:rsidRPr="0066474C">
        <w:t>organisational policies and procedures for:</w:t>
      </w:r>
    </w:p>
    <w:p w:rsidR="00000000" w:rsidRPr="0066474C" w:rsidP="0066474C">
      <w:pPr>
        <w:pStyle w:val="ListBullet2"/>
      </w:pPr>
      <w:r w:rsidRPr="0066474C">
        <w:t>reporting and documentation, including the impor</w:t>
      </w:r>
      <w:r w:rsidRPr="0066474C">
        <w:t>tance of accurate, objective and appropriately detailed records</w:t>
      </w:r>
    </w:p>
    <w:p w:rsidR="00000000" w:rsidRPr="0066474C" w:rsidP="0066474C">
      <w:pPr>
        <w:pStyle w:val="ListBullet2"/>
      </w:pPr>
      <w:r w:rsidRPr="0066474C">
        <w:t>storage of information</w:t>
      </w:r>
    </w:p>
    <w:p w:rsidR="00000000" w:rsidRPr="0066474C" w:rsidP="0066474C">
      <w:pPr>
        <w:pStyle w:val="ListBullet2"/>
      </w:pPr>
      <w:r w:rsidRPr="0066474C">
        <w:t>referrals.</w:t>
      </w:r>
    </w:p>
    <w:p w:rsidR="00000000" w:rsidRPr="0066474C" w:rsidP="0066474C">
      <w:pPr>
        <w:pStyle w:val="AllowPageBreak"/>
      </w:pPr>
    </w:p>
    <w:p w:rsidR="00000000" w:rsidRPr="0066474C" w:rsidP="0066474C">
      <w:pPr>
        <w:pStyle w:val="Heading1"/>
      </w:pPr>
      <w:bookmarkStart w:id="4" w:name="O_1223829"/>
      <w:bookmarkEnd w:id="4"/>
      <w:r w:rsidRPr="0066474C">
        <w:t>Assessment Conditions</w:t>
      </w:r>
    </w:p>
    <w:p w:rsidR="00000000" w:rsidRPr="0066474C" w:rsidP="00A5138C">
      <w:pPr>
        <w:pStyle w:val="BodyText"/>
      </w:pPr>
      <w:r w:rsidRPr="0066474C">
        <w:t>Sk</w:t>
      </w:r>
      <w:r w:rsidRPr="0066474C">
        <w:t>ills must be demonstrated in the workplace, with the addition of simulations and scenarios where the full range of contexts and situations have not been provided in the workplace.</w:t>
      </w:r>
    </w:p>
    <w:p w:rsidR="00000000" w:rsidRPr="0066474C" w:rsidP="00A5138C">
      <w:pPr>
        <w:pStyle w:val="BodyText"/>
      </w:pPr>
      <w:r w:rsidRPr="0066474C">
        <w:t>These are situations relating to emergency or unplanned procedures where ass</w:t>
      </w:r>
      <w:r w:rsidRPr="0066474C">
        <w:t>essment in these circumstances would be unsafe, impractical or threaten the dignity of the person living with dementia.</w:t>
      </w:r>
    </w:p>
    <w:p w:rsidR="00000000" w:rsidRPr="0066474C" w:rsidP="00A5138C">
      <w:pPr>
        <w:pStyle w:val="BodyText"/>
      </w:pPr>
      <w:r w:rsidRPr="0066474C">
        <w:t>Assessment must ensure access to:</w:t>
      </w:r>
    </w:p>
    <w:p w:rsidR="00000000" w:rsidRPr="0066474C" w:rsidP="0066474C">
      <w:pPr>
        <w:pStyle w:val="ListBullet"/>
      </w:pPr>
      <w:r w:rsidRPr="0066474C">
        <w:t xml:space="preserve">individualised plans for the support of people living with dementia that reflect a range of dementia </w:t>
      </w:r>
      <w:r w:rsidRPr="0066474C">
        <w:t>symptoms and identified behaviour and support services</w:t>
      </w:r>
    </w:p>
    <w:p w:rsidR="00000000" w:rsidRPr="0066474C" w:rsidP="0066474C">
      <w:pPr>
        <w:pStyle w:val="ListBullet"/>
      </w:pPr>
      <w:r w:rsidRPr="0066474C">
        <w:t>facilities, equipment and resources relevant to individualised plans that are used when supporting people living with dementia</w:t>
      </w:r>
    </w:p>
    <w:p w:rsidR="00000000" w:rsidRPr="0066474C" w:rsidP="0066474C">
      <w:pPr>
        <w:pStyle w:val="ListBullet"/>
      </w:pPr>
      <w:r w:rsidRPr="0066474C">
        <w:t>legislative and statutory instruments related to reporting</w:t>
      </w:r>
    </w:p>
    <w:p w:rsidR="00000000" w:rsidRPr="0066474C" w:rsidP="0066474C">
      <w:pPr>
        <w:pStyle w:val="ListBullet"/>
      </w:pPr>
      <w:r w:rsidRPr="0066474C">
        <w:t xml:space="preserve">organisational </w:t>
      </w:r>
      <w:r w:rsidRPr="0066474C">
        <w:t>policies and procedures</w:t>
      </w:r>
    </w:p>
    <w:p w:rsidR="00000000" w:rsidRPr="0066474C" w:rsidP="0066474C">
      <w:pPr>
        <w:pStyle w:val="ListBullet"/>
      </w:pPr>
      <w:r w:rsidRPr="0066474C">
        <w:t>opportunities for engagement with people living with dementia and their family, carer or others identified by the person and others involved in service provision.</w:t>
      </w:r>
    </w:p>
    <w:p w:rsidR="00000000" w:rsidRPr="0066474C" w:rsidP="00A5138C">
      <w:pPr>
        <w:pStyle w:val="BodyText"/>
      </w:pPr>
      <w:r w:rsidRPr="0066474C">
        <w:t>Assessors must satisfy the Standards for Registered Training Organisa</w:t>
      </w:r>
      <w:r w:rsidRPr="0066474C">
        <w:t>tions’ requirements for assessors.</w:t>
      </w:r>
    </w:p>
    <w:p w:rsidR="00000000" w:rsidRPr="0066474C" w:rsidP="0066474C">
      <w:pPr>
        <w:pStyle w:val="Heading1"/>
      </w:pPr>
      <w:bookmarkStart w:id="5" w:name="O_1223827"/>
      <w:bookmarkEnd w:id="5"/>
      <w:r w:rsidRPr="0066474C">
        <w:t>Links</w:t>
      </w:r>
    </w:p>
    <w:p w:rsidR="00000000" w:rsidRPr="0066474C" w:rsidP="00A5138C">
      <w:pPr>
        <w:pStyle w:val="BodyText"/>
      </w:pPr>
      <w:r w:rsidRPr="00664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7524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6474C" w:rsidP="0066474C"/>
    <w:sectPr w:rsidSect="006647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4C" w:rsidRPr="00A5138C" w:rsidP="00A51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38C" w:rsidP="00664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38C" w:rsidP="00664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5138C" w:rsidP="00664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74C" w:rsidRPr="00A5138C" w:rsidP="00A51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38C" w:rsidRPr="002D2AF8" w:rsidP="00664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CHCAGE011 Provide support to people living with dementia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2023</w:t>
    </w:r>
    <w:r>
      <w:fldChar w:fldCharType="end"/>
    </w:r>
  </w:p>
  <w:p w:rsidR="00A5138C" w:rsidP="00664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3E9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50D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80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74C"/>
  </w:style>
  <w:style w:type="character" w:customStyle="1" w:styleId="Heading1Char">
    <w:name w:val="Heading 1 Char"/>
    <w:basedOn w:val="DefaultParagraphFont"/>
    <w:link w:val="Heading1"/>
    <w:rsid w:val="00664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7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47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47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4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74C"/>
    <w:rPr>
      <w:b/>
      <w:spacing w:val="0"/>
    </w:rPr>
  </w:style>
  <w:style w:type="paragraph" w:customStyle="1" w:styleId="SuperTitle">
    <w:name w:val="SuperTitle"/>
    <w:basedOn w:val="Title"/>
    <w:rsid w:val="00664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74C"/>
    <w:rPr>
      <w:i/>
    </w:rPr>
  </w:style>
  <w:style w:type="paragraph" w:styleId="Caption">
    <w:name w:val="caption"/>
    <w:basedOn w:val="BodyText"/>
    <w:next w:val="Normal"/>
    <w:qFormat/>
    <w:rsid w:val="00664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74C"/>
  </w:style>
  <w:style w:type="paragraph" w:styleId="TableofFigures">
    <w:name w:val="table of figures"/>
    <w:basedOn w:val="Normal"/>
    <w:next w:val="Normal"/>
    <w:semiHidden/>
    <w:rsid w:val="00664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7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474C"/>
    <w:rPr>
      <w:rFonts w:ascii="Wingdings" w:hAnsi="Wingdings"/>
    </w:rPr>
  </w:style>
  <w:style w:type="paragraph" w:customStyle="1" w:styleId="TableHeading">
    <w:name w:val="Table Heading"/>
    <w:basedOn w:val="HeadingBase"/>
    <w:rsid w:val="00664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74C"/>
    <w:rPr>
      <w:color w:val="0033CC"/>
      <w:u w:val="none"/>
    </w:rPr>
  </w:style>
  <w:style w:type="paragraph" w:customStyle="1" w:styleId="BodyTextRight">
    <w:name w:val="Body Text Right"/>
    <w:basedOn w:val="BodyText"/>
    <w:rsid w:val="00664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7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74C"/>
    <w:rPr>
      <w:sz w:val="32"/>
    </w:rPr>
  </w:style>
  <w:style w:type="paragraph" w:customStyle="1" w:styleId="HeadingProcedure">
    <w:name w:val="Heading Procedure"/>
    <w:basedOn w:val="HeadingBase"/>
    <w:next w:val="Normal"/>
    <w:rsid w:val="00664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74C"/>
    <w:pPr>
      <w:spacing w:before="60" w:after="60"/>
    </w:pPr>
  </w:style>
  <w:style w:type="paragraph" w:styleId="ListContinue">
    <w:name w:val="List Continue"/>
    <w:basedOn w:val="List"/>
    <w:rsid w:val="0066474C"/>
    <w:pPr>
      <w:ind w:firstLine="0"/>
    </w:pPr>
  </w:style>
  <w:style w:type="paragraph" w:customStyle="1" w:styleId="ListNote">
    <w:name w:val="List Note"/>
    <w:basedOn w:val="List"/>
    <w:rsid w:val="00664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74C"/>
    <w:rPr>
      <w:rFonts w:ascii="Courier New" w:hAnsi="Courier New"/>
    </w:rPr>
  </w:style>
  <w:style w:type="paragraph" w:customStyle="1" w:styleId="NoteBullet">
    <w:name w:val="Note Bullet"/>
    <w:basedOn w:val="Note"/>
    <w:rsid w:val="00664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7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4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74C"/>
    <w:rPr>
      <w:b/>
      <w:smallCaps/>
    </w:rPr>
  </w:style>
  <w:style w:type="paragraph" w:customStyle="1" w:styleId="TableListNumber">
    <w:name w:val="Table List Number"/>
    <w:basedOn w:val="ListNumber"/>
    <w:rsid w:val="00664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74C"/>
    <w:pPr>
      <w:numPr>
        <w:numId w:val="10"/>
      </w:numPr>
    </w:pPr>
  </w:style>
  <w:style w:type="paragraph" w:customStyle="1" w:styleId="ListAlpha2">
    <w:name w:val="List Alpha 2"/>
    <w:basedOn w:val="List2"/>
    <w:rsid w:val="0066474C"/>
    <w:pPr>
      <w:numPr>
        <w:numId w:val="9"/>
      </w:numPr>
    </w:pPr>
  </w:style>
  <w:style w:type="paragraph" w:styleId="List2">
    <w:name w:val="List 2"/>
    <w:basedOn w:val="BodyText"/>
    <w:rsid w:val="00664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7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47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474C"/>
    <w:pPr>
      <w:numPr>
        <w:numId w:val="5"/>
      </w:numPr>
    </w:pPr>
  </w:style>
  <w:style w:type="paragraph" w:styleId="ListContinue2">
    <w:name w:val="List Continue 2"/>
    <w:basedOn w:val="List2"/>
    <w:rsid w:val="0066474C"/>
    <w:pPr>
      <w:ind w:firstLine="0"/>
    </w:pPr>
  </w:style>
  <w:style w:type="paragraph" w:styleId="ListContinue3">
    <w:name w:val="List Continue 3"/>
    <w:basedOn w:val="List3"/>
    <w:rsid w:val="0066474C"/>
    <w:pPr>
      <w:ind w:left="1021" w:firstLine="0"/>
    </w:pPr>
  </w:style>
  <w:style w:type="paragraph" w:styleId="ListContinue4">
    <w:name w:val="List Continue 4"/>
    <w:basedOn w:val="List4"/>
    <w:rsid w:val="0066474C"/>
    <w:pPr>
      <w:ind w:firstLine="0"/>
    </w:pPr>
  </w:style>
  <w:style w:type="paragraph" w:styleId="ListContinue5">
    <w:name w:val="List Continue 5"/>
    <w:basedOn w:val="List5"/>
    <w:rsid w:val="0066474C"/>
    <w:pPr>
      <w:ind w:firstLine="0"/>
    </w:pPr>
  </w:style>
  <w:style w:type="paragraph" w:styleId="ListNumber3">
    <w:name w:val="List Number 3"/>
    <w:basedOn w:val="List3"/>
    <w:rsid w:val="0066474C"/>
    <w:pPr>
      <w:numPr>
        <w:numId w:val="6"/>
      </w:numPr>
    </w:pPr>
  </w:style>
  <w:style w:type="paragraph" w:styleId="ListNumber4">
    <w:name w:val="List Number 4"/>
    <w:basedOn w:val="List4"/>
    <w:rsid w:val="0066474C"/>
    <w:pPr>
      <w:numPr>
        <w:numId w:val="7"/>
      </w:numPr>
    </w:pPr>
  </w:style>
  <w:style w:type="paragraph" w:styleId="ListNumber5">
    <w:name w:val="List Number 5"/>
    <w:basedOn w:val="List5"/>
    <w:rsid w:val="0066474C"/>
    <w:pPr>
      <w:numPr>
        <w:numId w:val="8"/>
      </w:numPr>
    </w:pPr>
  </w:style>
  <w:style w:type="paragraph" w:styleId="BlockText">
    <w:name w:val="Block Text"/>
    <w:basedOn w:val="Normal"/>
    <w:rsid w:val="00664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74C"/>
    <w:rPr>
      <w:sz w:val="16"/>
      <w:vertAlign w:val="superscript"/>
    </w:rPr>
  </w:style>
  <w:style w:type="character" w:customStyle="1" w:styleId="Symbols">
    <w:name w:val="Symbols"/>
    <w:basedOn w:val="DefaultParagraphFont"/>
    <w:rsid w:val="0066474C"/>
    <w:rPr>
      <w:rFonts w:ascii="Symbol" w:hAnsi="Symbol"/>
    </w:rPr>
  </w:style>
  <w:style w:type="character" w:customStyle="1" w:styleId="MenuOptions">
    <w:name w:val="Menu Options"/>
    <w:basedOn w:val="DefaultParagraphFont"/>
    <w:rsid w:val="00664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74C"/>
    <w:rPr>
      <w:b/>
    </w:rPr>
  </w:style>
  <w:style w:type="character" w:customStyle="1" w:styleId="Underlined">
    <w:name w:val="Underlined"/>
    <w:basedOn w:val="DefaultParagraphFont"/>
    <w:rsid w:val="0066474C"/>
    <w:rPr>
      <w:u w:val="single"/>
    </w:rPr>
  </w:style>
  <w:style w:type="paragraph" w:customStyle="1" w:styleId="TableBodyTextRight">
    <w:name w:val="Table Body Text Right"/>
    <w:basedOn w:val="TableBodyText"/>
    <w:rsid w:val="00664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74C"/>
    <w:rPr>
      <w:sz w:val="18"/>
    </w:rPr>
  </w:style>
  <w:style w:type="paragraph" w:customStyle="1" w:styleId="BodySmallRight">
    <w:name w:val="Body Small Right"/>
    <w:basedOn w:val="BodyTextRight"/>
    <w:rsid w:val="0066474C"/>
    <w:rPr>
      <w:sz w:val="18"/>
      <w:szCs w:val="18"/>
    </w:rPr>
  </w:style>
  <w:style w:type="paragraph" w:customStyle="1" w:styleId="MarginEdition">
    <w:name w:val="Margin Edition"/>
    <w:basedOn w:val="MarginNote"/>
    <w:rsid w:val="00664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74C"/>
    <w:rPr>
      <w:sz w:val="2"/>
      <w:szCs w:val="2"/>
    </w:rPr>
  </w:style>
  <w:style w:type="character" w:customStyle="1" w:styleId="Small">
    <w:name w:val="Small"/>
    <w:basedOn w:val="DefaultParagraphFont"/>
    <w:rsid w:val="0066474C"/>
    <w:rPr>
      <w:sz w:val="16"/>
    </w:rPr>
  </w:style>
  <w:style w:type="paragraph" w:customStyle="1" w:styleId="WideTable">
    <w:name w:val="Wide Table"/>
    <w:basedOn w:val="Normal"/>
    <w:rsid w:val="00664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74C"/>
  </w:style>
  <w:style w:type="paragraph" w:styleId="Quote">
    <w:name w:val="Quote"/>
    <w:basedOn w:val="Heading1"/>
    <w:link w:val="QuoteChar"/>
    <w:qFormat/>
    <w:rsid w:val="00664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74C"/>
    <w:pPr>
      <w:pageBreakBefore/>
    </w:pPr>
  </w:style>
  <w:style w:type="paragraph" w:customStyle="1" w:styleId="Border">
    <w:name w:val="Border"/>
    <w:basedOn w:val="Normal"/>
    <w:qFormat/>
    <w:rsid w:val="00664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74C"/>
    <w:rPr>
      <w:u w:val="single"/>
    </w:rPr>
  </w:style>
  <w:style w:type="character" w:customStyle="1" w:styleId="BoldandItalics">
    <w:name w:val="Bold and Italics"/>
    <w:qFormat/>
    <w:rsid w:val="0066474C"/>
    <w:rPr>
      <w:b/>
      <w:i/>
      <w:u w:val="none"/>
    </w:rPr>
  </w:style>
  <w:style w:type="paragraph" w:styleId="BalloonText">
    <w:name w:val="Balloon Text"/>
    <w:basedOn w:val="Normal"/>
    <w:link w:val="BalloonTextChar"/>
    <w:rsid w:val="00664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74C"/>
    <w:pPr>
      <w:spacing w:before="0" w:after="0"/>
    </w:pPr>
  </w:style>
  <w:style w:type="paragraph" w:customStyle="1" w:styleId="BodyTextBold">
    <w:name w:val="Body Text Bold"/>
    <w:basedOn w:val="BodyText"/>
    <w:qFormat/>
    <w:rsid w:val="0066474C"/>
    <w:rPr>
      <w:b/>
    </w:rPr>
  </w:style>
  <w:style w:type="character" w:styleId="Hyperlink">
    <w:name w:val="Hyperlink"/>
    <w:basedOn w:val="DefaultParagraphFont"/>
    <w:uiPriority w:val="99"/>
    <w:unhideWhenUsed/>
    <w:rsid w:val="00A51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5142</Characters>
  <Application>Microsoft Office Word</Application>
  <DocSecurity>0</DocSecurity>
  <Lines>160</Lines>
  <Paragraphs>147</Paragraphs>
  <ScaleCrop>false</ScaleCrop>
  <Company>Author-it Software Corporation Ltd.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CHCAGE011 Provide support to people living with dementia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2023-07-03T05:50:00Z</dcterms:created>
  <dcterms:modified xsi:type="dcterms:W3CDTF">2023-07-03T05:50:00Z</dcterms:modified>
</cp:coreProperties>
</file>