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42B73" w:rsidP="00B42B7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CHCAGE010 Implement interventions with older people to reduce risk</w:t>
      </w:r>
      <w:r>
        <w:fldChar w:fldCharType="end"/>
      </w:r>
    </w:p>
    <w:p w:rsidR="00B42B73" w:rsidP="00B42B73">
      <w:pPr>
        <w:pStyle w:val="Version"/>
        <w:sectPr w:rsidSect="00714C7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14C75" w:rsidP="00714C75">
      <w:pPr>
        <w:pStyle w:val="SuperHeading"/>
      </w:pPr>
      <w:r w:rsidRPr="00714C75">
        <w:t>Assessment Requirements for CHCAGE010 Implement interventions with older people to reduce risk</w:t>
      </w:r>
    </w:p>
    <w:p w:rsidR="00000000" w:rsidRPr="00714C75" w:rsidP="00714C75">
      <w:pPr>
        <w:pStyle w:val="Heading1"/>
      </w:pPr>
      <w:bookmarkStart w:id="1" w:name="O_1223813"/>
      <w:bookmarkEnd w:id="1"/>
      <w:r w:rsidRPr="00714C75">
        <w:t>Modification History</w:t>
      </w:r>
    </w:p>
    <w:p w:rsidR="00000000" w:rsidRPr="00714C75" w:rsidP="00B42B73">
      <w:pPr>
        <w:pStyle w:val="BodyText"/>
      </w:pPr>
      <w:r w:rsidRPr="00714C75">
        <w:t>Not applicable.</w:t>
      </w:r>
    </w:p>
    <w:p w:rsidR="00000000" w:rsidRPr="00714C75" w:rsidP="00714C75">
      <w:pPr>
        <w:pStyle w:val="Heading1"/>
      </w:pPr>
      <w:bookmarkStart w:id="2" w:name="O_1223816"/>
      <w:bookmarkEnd w:id="2"/>
      <w:r w:rsidRPr="00714C75">
        <w:t>Performance Evidence</w:t>
      </w:r>
    </w:p>
    <w:p w:rsidR="00000000" w:rsidRPr="00714C75" w:rsidP="00B42B73">
      <w:pPr>
        <w:pStyle w:val="BodyText"/>
      </w:pPr>
      <w:r w:rsidRPr="00714C75">
        <w:t>Evidence of the</w:t>
      </w:r>
      <w:r w:rsidRPr="00714C75">
        <w:t xml:space="preserve"> ability to complete tasks outlined in elements and performance criteria of this unit in the context of the job role, and:</w:t>
      </w:r>
    </w:p>
    <w:p w:rsidR="00000000" w:rsidRPr="00714C75" w:rsidP="00714C75">
      <w:pPr>
        <w:pStyle w:val="ListBullet"/>
      </w:pPr>
      <w:r w:rsidRPr="00714C75">
        <w:t>assist with the assessment of risk and the implementation of risk minimisation strategies for at least two older people, one in a si</w:t>
      </w:r>
      <w:r w:rsidRPr="00714C75">
        <w:t>mulated environment and one in the workplace, in a manner that is respectful of the older person’s rights, dignity and privacy</w:t>
      </w:r>
    </w:p>
    <w:p w:rsidR="00000000" w:rsidRPr="00714C75" w:rsidP="00714C75">
      <w:pPr>
        <w:pStyle w:val="ListBullet"/>
      </w:pPr>
      <w:r w:rsidRPr="00714C75">
        <w:t xml:space="preserve">coordinate the collection of feedback from the above older people and their family, carer or others identified by the person and </w:t>
      </w:r>
      <w:r w:rsidRPr="00714C75">
        <w:t>report to supervisor or health professional.</w:t>
      </w:r>
    </w:p>
    <w:p w:rsidR="00000000" w:rsidRPr="00714C75" w:rsidP="00714C75">
      <w:pPr>
        <w:pStyle w:val="AllowPageBreak"/>
      </w:pPr>
    </w:p>
    <w:p w:rsidR="00000000" w:rsidRPr="00714C75" w:rsidP="00714C75">
      <w:pPr>
        <w:pStyle w:val="Heading1"/>
      </w:pPr>
      <w:bookmarkStart w:id="3" w:name="O_1223815"/>
      <w:bookmarkEnd w:id="3"/>
      <w:r w:rsidRPr="00714C75">
        <w:t>Knowledge Evidence</w:t>
      </w:r>
    </w:p>
    <w:p w:rsidR="00000000" w:rsidRPr="00714C75" w:rsidP="00B42B73">
      <w:pPr>
        <w:pStyle w:val="BodyText"/>
      </w:pPr>
      <w:r w:rsidRPr="00714C75">
        <w:t>Demonstrated knowledge required to complete the tasks outlined in elements and performance criteria of this unit:</w:t>
      </w:r>
    </w:p>
    <w:p w:rsidR="00000000" w:rsidRPr="00714C75" w:rsidP="00714C75">
      <w:pPr>
        <w:pStyle w:val="ListBullet"/>
      </w:pPr>
      <w:r w:rsidRPr="00714C75">
        <w:t>rights of the older person</w:t>
      </w:r>
    </w:p>
    <w:p w:rsidR="00000000" w:rsidRPr="00714C75" w:rsidP="00714C75">
      <w:pPr>
        <w:pStyle w:val="ListBullet"/>
      </w:pPr>
      <w:r w:rsidRPr="00714C75">
        <w:t>responsibility of the organisat</w:t>
      </w:r>
      <w:r w:rsidRPr="00714C75">
        <w:t>ion to older people</w:t>
      </w:r>
    </w:p>
    <w:p w:rsidR="00000000" w:rsidRPr="00714C75" w:rsidP="00714C75">
      <w:pPr>
        <w:pStyle w:val="ListBullet"/>
      </w:pPr>
      <w:r w:rsidRPr="00714C75">
        <w:t xml:space="preserve">legal and ethical considerations and organisational policies and procedures for working with older people: </w:t>
      </w:r>
    </w:p>
    <w:p w:rsidR="00000000" w:rsidRPr="00714C75" w:rsidP="00714C75">
      <w:pPr>
        <w:pStyle w:val="ListBullet2"/>
      </w:pPr>
      <w:r w:rsidRPr="00714C75">
        <w:t>duty of care</w:t>
      </w:r>
    </w:p>
    <w:p w:rsidR="00000000" w:rsidRPr="00714C75" w:rsidP="00714C75">
      <w:pPr>
        <w:pStyle w:val="ListBullet2"/>
      </w:pPr>
      <w:r w:rsidRPr="00714C75">
        <w:t>dignity of risk</w:t>
      </w:r>
    </w:p>
    <w:p w:rsidR="00000000" w:rsidRPr="00714C75" w:rsidP="00714C75">
      <w:pPr>
        <w:pStyle w:val="ListBullet2"/>
      </w:pPr>
      <w:r w:rsidRPr="00714C75">
        <w:t>human rights</w:t>
      </w:r>
    </w:p>
    <w:p w:rsidR="00000000" w:rsidRPr="00714C75" w:rsidP="00714C75">
      <w:pPr>
        <w:pStyle w:val="ListBullet2"/>
      </w:pPr>
      <w:r w:rsidRPr="00714C75">
        <w:t>privacy, confidentiality and disclosure</w:t>
      </w:r>
    </w:p>
    <w:p w:rsidR="00000000" w:rsidRPr="00714C75" w:rsidP="00714C75">
      <w:pPr>
        <w:pStyle w:val="ListBullet2"/>
      </w:pPr>
      <w:r w:rsidRPr="00714C75">
        <w:t xml:space="preserve">work role boundaries, responsibilities and limitations </w:t>
      </w:r>
    </w:p>
    <w:p w:rsidR="00000000" w:rsidRPr="00714C75" w:rsidP="00714C75">
      <w:pPr>
        <w:pStyle w:val="ListBullet"/>
      </w:pPr>
      <w:r w:rsidRPr="00714C75">
        <w:t>major issues, trends and policies relating to the health and wellbeing of older people</w:t>
      </w:r>
    </w:p>
    <w:p w:rsidR="00000000" w:rsidRPr="00714C75" w:rsidP="00714C75">
      <w:pPr>
        <w:pStyle w:val="ListBullet"/>
      </w:pPr>
      <w:r w:rsidRPr="00714C75">
        <w:t>standardised tools for risk assessment and the management and monitoring of risks</w:t>
      </w:r>
    </w:p>
    <w:p w:rsidR="00000000" w:rsidRPr="00714C75" w:rsidP="00714C75">
      <w:pPr>
        <w:pStyle w:val="ListBullet"/>
      </w:pPr>
      <w:r w:rsidRPr="00714C75">
        <w:t>methods used to determine when</w:t>
      </w:r>
      <w:r w:rsidRPr="00714C75">
        <w:t xml:space="preserve"> a person is feeling discomfort and strategies to address discomfort</w:t>
      </w:r>
    </w:p>
    <w:p w:rsidR="00000000" w:rsidRPr="00714C75" w:rsidP="00714C75">
      <w:pPr>
        <w:pStyle w:val="ListBullet"/>
      </w:pPr>
      <w:r w:rsidRPr="00714C75">
        <w:t>major risk areas for older people:</w:t>
      </w:r>
    </w:p>
    <w:p w:rsidR="00000000" w:rsidRPr="00714C75" w:rsidP="00714C75">
      <w:pPr>
        <w:pStyle w:val="ListBullet2"/>
      </w:pPr>
      <w:r w:rsidRPr="00714C75">
        <w:t>depression and anxiety</w:t>
      </w:r>
    </w:p>
    <w:p w:rsidR="00000000" w:rsidRPr="00714C75" w:rsidP="00714C75">
      <w:pPr>
        <w:pStyle w:val="ListBullet2"/>
      </w:pPr>
      <w:r w:rsidRPr="00714C75">
        <w:t>environmental</w:t>
      </w:r>
    </w:p>
    <w:p w:rsidR="00000000" w:rsidRPr="00714C75" w:rsidP="00714C75">
      <w:pPr>
        <w:pStyle w:val="ListBullet2"/>
      </w:pPr>
      <w:r w:rsidRPr="00714C75">
        <w:t>cognitive</w:t>
      </w:r>
    </w:p>
    <w:p w:rsidR="00000000" w:rsidRPr="00714C75" w:rsidP="00714C75">
      <w:pPr>
        <w:pStyle w:val="ListBullet2"/>
      </w:pPr>
      <w:r w:rsidRPr="00714C75">
        <w:t>lifestyle</w:t>
      </w:r>
    </w:p>
    <w:p w:rsidR="00000000" w:rsidRPr="00714C75" w:rsidP="00714C75">
      <w:pPr>
        <w:pStyle w:val="ListBullet2"/>
      </w:pPr>
      <w:r w:rsidRPr="00714C75">
        <w:t>cultural</w:t>
      </w:r>
    </w:p>
    <w:p w:rsidR="00000000" w:rsidRPr="00714C75" w:rsidP="00714C75">
      <w:pPr>
        <w:pStyle w:val="ListBullet2"/>
      </w:pPr>
      <w:r w:rsidRPr="00714C75">
        <w:t>isolation</w:t>
      </w:r>
    </w:p>
    <w:p w:rsidR="00000000" w:rsidRPr="00714C75" w:rsidP="00714C75">
      <w:pPr>
        <w:pStyle w:val="ListBullet2"/>
      </w:pPr>
      <w:r w:rsidRPr="00714C75">
        <w:t>abuse:</w:t>
      </w:r>
    </w:p>
    <w:p w:rsidR="00000000" w:rsidRPr="00714C75" w:rsidP="00714C75">
      <w:pPr>
        <w:pStyle w:val="ListBullet3"/>
      </w:pPr>
      <w:r w:rsidRPr="00714C75">
        <w:t>sexual</w:t>
      </w:r>
    </w:p>
    <w:p w:rsidR="00000000" w:rsidRPr="00714C75" w:rsidP="00714C75">
      <w:pPr>
        <w:pStyle w:val="ListBullet3"/>
      </w:pPr>
      <w:r w:rsidRPr="00714C75">
        <w:t>emotional</w:t>
      </w:r>
    </w:p>
    <w:p w:rsidR="00000000" w:rsidRPr="00714C75" w:rsidP="00714C75">
      <w:pPr>
        <w:pStyle w:val="ListBullet3"/>
      </w:pPr>
      <w:r w:rsidRPr="00714C75">
        <w:t>physical</w:t>
      </w:r>
    </w:p>
    <w:p w:rsidR="00000000" w:rsidRPr="00714C75" w:rsidP="00714C75">
      <w:pPr>
        <w:pStyle w:val="ListBullet3"/>
      </w:pPr>
      <w:r w:rsidRPr="00714C75">
        <w:t>financial</w:t>
      </w:r>
    </w:p>
    <w:p w:rsidR="00000000" w:rsidRPr="00714C75" w:rsidP="00714C75">
      <w:pPr>
        <w:pStyle w:val="ListBullet3"/>
      </w:pPr>
      <w:r w:rsidRPr="00714C75">
        <w:t>systemic</w:t>
      </w:r>
    </w:p>
    <w:p w:rsidR="00000000" w:rsidRPr="00714C75" w:rsidP="00714C75">
      <w:pPr>
        <w:pStyle w:val="ListBullet2"/>
      </w:pPr>
      <w:r w:rsidRPr="00714C75">
        <w:t>neglect</w:t>
      </w:r>
    </w:p>
    <w:p w:rsidR="00000000" w:rsidRPr="00714C75" w:rsidP="00714C75">
      <w:pPr>
        <w:pStyle w:val="ListBullet2"/>
      </w:pPr>
      <w:r w:rsidRPr="00714C75">
        <w:t>falls</w:t>
      </w:r>
    </w:p>
    <w:p w:rsidR="00000000" w:rsidRPr="00714C75" w:rsidP="00714C75">
      <w:pPr>
        <w:pStyle w:val="ListBullet2"/>
      </w:pPr>
      <w:r w:rsidRPr="00714C75">
        <w:t>medication</w:t>
      </w:r>
    </w:p>
    <w:p w:rsidR="00000000" w:rsidRPr="00714C75" w:rsidP="00714C75">
      <w:pPr>
        <w:pStyle w:val="ListBullet2"/>
      </w:pPr>
      <w:r w:rsidRPr="00714C75">
        <w:t xml:space="preserve">dehydration </w:t>
      </w:r>
    </w:p>
    <w:p w:rsidR="00000000" w:rsidRPr="00714C75" w:rsidP="00714C75">
      <w:pPr>
        <w:pStyle w:val="ListBullet2"/>
      </w:pPr>
      <w:r w:rsidRPr="00714C75">
        <w:t>malnutrition:</w:t>
      </w:r>
    </w:p>
    <w:p w:rsidR="00000000" w:rsidRPr="00714C75" w:rsidP="00714C75">
      <w:pPr>
        <w:pStyle w:val="ListBullet3"/>
      </w:pPr>
      <w:r w:rsidRPr="00714C75">
        <w:t>over and under nutrition</w:t>
      </w:r>
    </w:p>
    <w:p w:rsidR="00000000" w:rsidRPr="00714C75" w:rsidP="00714C75">
      <w:pPr>
        <w:pStyle w:val="ListBullet3"/>
      </w:pPr>
      <w:r w:rsidRPr="00714C75">
        <w:t>purpose and function of screening tools including the Malnutrition Screening Tool (MST) and Mini Nutritional Assessment (MNA)</w:t>
      </w:r>
    </w:p>
    <w:p w:rsidR="00000000" w:rsidRPr="00714C75" w:rsidP="00714C75">
      <w:pPr>
        <w:pStyle w:val="ListBullet3"/>
      </w:pPr>
      <w:r w:rsidRPr="00714C75">
        <w:t>when to refer to a dietitian for further assessment</w:t>
      </w:r>
    </w:p>
    <w:p w:rsidR="00000000" w:rsidRPr="00714C75" w:rsidP="00714C75">
      <w:pPr>
        <w:pStyle w:val="ListBullet2"/>
      </w:pPr>
      <w:r w:rsidRPr="00714C75">
        <w:t>dysphagia</w:t>
      </w:r>
    </w:p>
    <w:p w:rsidR="00000000" w:rsidRPr="00714C75" w:rsidP="00714C75">
      <w:pPr>
        <w:pStyle w:val="ListBullet2"/>
      </w:pPr>
      <w:r w:rsidRPr="00714C75">
        <w:t>continence</w:t>
      </w:r>
    </w:p>
    <w:p w:rsidR="00000000" w:rsidRPr="00714C75" w:rsidP="00714C75">
      <w:pPr>
        <w:pStyle w:val="ListBullet"/>
      </w:pPr>
      <w:r w:rsidRPr="00714C75">
        <w:t>communication practices for working with older people that promote respect and empowerment</w:t>
      </w:r>
    </w:p>
    <w:p w:rsidR="00000000" w:rsidRPr="00714C75" w:rsidP="00714C75">
      <w:pPr>
        <w:pStyle w:val="ListBullet"/>
      </w:pPr>
      <w:r w:rsidRPr="00714C75">
        <w:t>restrictive practices:</w:t>
      </w:r>
    </w:p>
    <w:p w:rsidR="00000000" w:rsidRPr="00714C75" w:rsidP="00714C75">
      <w:pPr>
        <w:pStyle w:val="ListBullet2"/>
      </w:pPr>
      <w:r w:rsidRPr="00714C75">
        <w:t>considerations within the human rights framework</w:t>
      </w:r>
    </w:p>
    <w:p w:rsidR="00000000" w:rsidRPr="00714C75" w:rsidP="00714C75">
      <w:pPr>
        <w:pStyle w:val="ListBullet2"/>
      </w:pPr>
      <w:r w:rsidRPr="00714C75">
        <w:t>impacts of restrictive practices on a person’s empowerment</w:t>
      </w:r>
    </w:p>
    <w:p w:rsidR="00000000" w:rsidRPr="00714C75" w:rsidP="00714C75">
      <w:pPr>
        <w:pStyle w:val="ListBullet2"/>
      </w:pPr>
      <w:r w:rsidRPr="00714C75">
        <w:t>instances where restr</w:t>
      </w:r>
      <w:r w:rsidRPr="00714C75">
        <w:t>ictive practices may be used as reflected in behaviour support plan</w:t>
      </w:r>
    </w:p>
    <w:p w:rsidR="00000000" w:rsidRPr="00714C75" w:rsidP="00714C75">
      <w:pPr>
        <w:pStyle w:val="ListBullet2"/>
      </w:pPr>
      <w:r w:rsidRPr="00714C75">
        <w:t>use of authorised restrictive practices as a last resort and proportionate to the risk of potential harm to the person or others</w:t>
      </w:r>
    </w:p>
    <w:p w:rsidR="00000000" w:rsidRPr="00714C75" w:rsidP="00714C75">
      <w:pPr>
        <w:pStyle w:val="ListBullet2"/>
      </w:pPr>
      <w:r w:rsidRPr="00714C75">
        <w:t>positive proactive approaches to support that eliminate the</w:t>
      </w:r>
      <w:r w:rsidRPr="00714C75">
        <w:t xml:space="preserve"> need to use restrictive practices</w:t>
      </w:r>
    </w:p>
    <w:p w:rsidR="00000000" w:rsidRPr="00714C75" w:rsidP="00714C75">
      <w:pPr>
        <w:pStyle w:val="ListBullet2"/>
      </w:pPr>
      <w:r w:rsidRPr="00714C75">
        <w:t>physical, psychological and emotional risks related to the use of restrictive practices</w:t>
      </w:r>
    </w:p>
    <w:p w:rsidR="00000000" w:rsidRPr="00714C75" w:rsidP="00714C75">
      <w:pPr>
        <w:pStyle w:val="ListBullet2"/>
      </w:pPr>
      <w:r w:rsidRPr="00714C75">
        <w:t>use of unauthorised restrictive practices</w:t>
      </w:r>
    </w:p>
    <w:p w:rsidR="00000000" w:rsidRPr="00714C75" w:rsidP="00714C75">
      <w:pPr>
        <w:pStyle w:val="ListBullet2"/>
      </w:pPr>
      <w:r w:rsidRPr="00714C75">
        <w:t>documentation of use of restrictive practices</w:t>
      </w:r>
    </w:p>
    <w:p w:rsidR="00000000" w:rsidRPr="00714C75" w:rsidP="00714C75">
      <w:pPr>
        <w:pStyle w:val="ListBullet"/>
      </w:pPr>
      <w:r w:rsidRPr="00714C75">
        <w:t>organisational policies and procedures for:</w:t>
      </w:r>
    </w:p>
    <w:p w:rsidR="00000000" w:rsidRPr="00714C75" w:rsidP="00714C75">
      <w:pPr>
        <w:pStyle w:val="ListBullet2"/>
      </w:pPr>
      <w:r w:rsidRPr="00714C75">
        <w:t>collecting feedback</w:t>
      </w:r>
    </w:p>
    <w:p w:rsidR="00000000" w:rsidRPr="00714C75" w:rsidP="00714C75">
      <w:pPr>
        <w:pStyle w:val="ListBullet2"/>
      </w:pPr>
      <w:r w:rsidRPr="00714C75">
        <w:t>documentation, including the importance of accurate, objective and appropriately detailed records</w:t>
      </w:r>
    </w:p>
    <w:p w:rsidR="00000000" w:rsidRPr="00714C75" w:rsidP="00714C75">
      <w:pPr>
        <w:pStyle w:val="ListBullet2"/>
      </w:pPr>
      <w:r w:rsidRPr="00714C75">
        <w:t>storage of information</w:t>
      </w:r>
    </w:p>
    <w:p w:rsidR="00000000" w:rsidRPr="00714C75" w:rsidP="00714C75">
      <w:pPr>
        <w:pStyle w:val="ListBullet2"/>
      </w:pPr>
      <w:r w:rsidRPr="00714C75">
        <w:t>referrals.</w:t>
      </w:r>
    </w:p>
    <w:p w:rsidR="00000000" w:rsidRPr="00714C75" w:rsidP="00714C75">
      <w:pPr>
        <w:pStyle w:val="AllowPageBreak"/>
      </w:pPr>
    </w:p>
    <w:p w:rsidR="00000000" w:rsidRPr="00714C75" w:rsidP="00714C75">
      <w:pPr>
        <w:pStyle w:val="Heading1"/>
      </w:pPr>
      <w:bookmarkStart w:id="4" w:name="O_1223814"/>
      <w:bookmarkEnd w:id="4"/>
      <w:r w:rsidRPr="00714C75">
        <w:t>Assessment Conditions</w:t>
      </w:r>
    </w:p>
    <w:p w:rsidR="00000000" w:rsidRPr="00714C75" w:rsidP="00B42B73">
      <w:pPr>
        <w:pStyle w:val="BodyText"/>
      </w:pPr>
      <w:r w:rsidRPr="00714C75">
        <w:t>All aspects of the performance evidence must be demonstrated using simulation prior to being demonstrated in the workplace, as outlined in the performance evidence.</w:t>
      </w:r>
    </w:p>
    <w:p w:rsidR="00000000" w:rsidRPr="00714C75" w:rsidP="00B42B73">
      <w:pPr>
        <w:pStyle w:val="BodyText"/>
      </w:pPr>
      <w:r w:rsidRPr="00714C75">
        <w:t>Assessment must ensure access to:</w:t>
      </w:r>
    </w:p>
    <w:p w:rsidR="00000000" w:rsidRPr="00714C75" w:rsidP="00714C75">
      <w:pPr>
        <w:pStyle w:val="ListBullet"/>
      </w:pPr>
      <w:r w:rsidRPr="00714C75">
        <w:t>facilities, equipment and resources that reflect real wo</w:t>
      </w:r>
      <w:r w:rsidRPr="00714C75">
        <w:t>rking conditions and model industry operating conditions and contingencies</w:t>
      </w:r>
    </w:p>
    <w:p w:rsidR="00000000" w:rsidRPr="00714C75" w:rsidP="00714C75">
      <w:pPr>
        <w:pStyle w:val="ListBullet"/>
      </w:pPr>
      <w:r w:rsidRPr="00714C75">
        <w:t>risk assessment tools</w:t>
      </w:r>
    </w:p>
    <w:p w:rsidR="00000000" w:rsidRPr="00714C75" w:rsidP="00714C75">
      <w:pPr>
        <w:pStyle w:val="ListBullet"/>
      </w:pPr>
      <w:r w:rsidRPr="00714C75">
        <w:t>organisational policies and procedures</w:t>
      </w:r>
    </w:p>
    <w:p w:rsidR="00000000" w:rsidRPr="00714C75" w:rsidP="00714C75">
      <w:pPr>
        <w:pStyle w:val="ListBullet"/>
      </w:pPr>
      <w:r w:rsidRPr="00714C75">
        <w:t>opportunities for engagement with older people and their family, carer or others identified by the person and others inv</w:t>
      </w:r>
      <w:r w:rsidRPr="00714C75">
        <w:t>olved in risk assessment and service provision.</w:t>
      </w:r>
    </w:p>
    <w:p w:rsidR="00000000" w:rsidRPr="00714C75" w:rsidP="00B42B73">
      <w:pPr>
        <w:pStyle w:val="BodyText"/>
      </w:pPr>
      <w:r w:rsidRPr="00714C75">
        <w:t>Assessors must satisfy the Standards for Registered Training Organisations’ requirements for assessors.</w:t>
      </w:r>
    </w:p>
    <w:p w:rsidR="00000000" w:rsidRPr="00714C75" w:rsidP="00714C75">
      <w:pPr>
        <w:pStyle w:val="Heading1"/>
      </w:pPr>
      <w:bookmarkStart w:id="5" w:name="O_1223812"/>
      <w:bookmarkEnd w:id="5"/>
      <w:r w:rsidRPr="00714C75">
        <w:t>Links</w:t>
      </w:r>
    </w:p>
    <w:p w:rsidR="00000000" w:rsidRPr="00714C75" w:rsidP="00B42B73">
      <w:pPr>
        <w:pStyle w:val="BodyText"/>
      </w:pPr>
      <w:r w:rsidRPr="00714C7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14361A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714C75" w:rsidP="00714C75"/>
    <w:sectPr w:rsidSect="00714C7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C7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C75" w:rsidRPr="00B42B73" w:rsidP="00B42B7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C7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B73" w:rsidP="00714C7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42B73" w:rsidP="00714C7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42B73" w:rsidP="00714C7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C7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B7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14C75" w:rsidRPr="00B42B73" w:rsidP="00B42B7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C7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B73" w:rsidRPr="002D2AF8" w:rsidP="00714C7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CHCAGE010 Implement interventions with older people to reduce risk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B42B73" w:rsidP="00714C7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FACC10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A3C55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620F66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4C7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14C7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14C7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14C7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14C7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14C7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14C7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14C7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14C7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14C7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14C7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14C75"/>
  </w:style>
  <w:style w:type="character" w:customStyle="1" w:styleId="Heading1Char">
    <w:name w:val="Heading 1 Char"/>
    <w:basedOn w:val="DefaultParagraphFont"/>
    <w:link w:val="Heading1"/>
    <w:rsid w:val="00714C7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14C7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14C7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14C75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14C7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14C7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14C7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14C75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14C7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14C7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14C7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14C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14C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14C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14C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14C7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14C7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14C7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14C7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14C7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14C7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14C7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14C7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14C7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14C7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14C7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14C7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14C7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14C75"/>
    <w:rPr>
      <w:b/>
      <w:spacing w:val="0"/>
    </w:rPr>
  </w:style>
  <w:style w:type="paragraph" w:customStyle="1" w:styleId="SuperTitle">
    <w:name w:val="SuperTitle"/>
    <w:basedOn w:val="Title"/>
    <w:rsid w:val="00714C7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14C7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14C7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14C7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14C7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14C7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14C7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14C7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14C7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14C7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14C7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14C7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14C75"/>
    <w:rPr>
      <w:i/>
    </w:rPr>
  </w:style>
  <w:style w:type="paragraph" w:styleId="Caption">
    <w:name w:val="caption"/>
    <w:basedOn w:val="BodyText"/>
    <w:next w:val="Normal"/>
    <w:qFormat/>
    <w:rsid w:val="00714C7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14C7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14C7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14C75"/>
  </w:style>
  <w:style w:type="paragraph" w:styleId="TableofFigures">
    <w:name w:val="table of figures"/>
    <w:basedOn w:val="Normal"/>
    <w:next w:val="Normal"/>
    <w:semiHidden/>
    <w:rsid w:val="00714C7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14C7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14C75"/>
    <w:rPr>
      <w:rFonts w:ascii="Wingdings" w:hAnsi="Wingdings"/>
    </w:rPr>
  </w:style>
  <w:style w:type="paragraph" w:customStyle="1" w:styleId="TableHeading">
    <w:name w:val="Table Heading"/>
    <w:basedOn w:val="HeadingBase"/>
    <w:rsid w:val="00714C7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14C75"/>
    <w:rPr>
      <w:color w:val="0033CC"/>
      <w:u w:val="none"/>
    </w:rPr>
  </w:style>
  <w:style w:type="paragraph" w:customStyle="1" w:styleId="BodyTextRight">
    <w:name w:val="Body Text Right"/>
    <w:basedOn w:val="BodyText"/>
    <w:rsid w:val="00714C7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14C7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14C7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14C7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14C7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14C7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14C75"/>
    <w:rPr>
      <w:sz w:val="32"/>
    </w:rPr>
  </w:style>
  <w:style w:type="paragraph" w:customStyle="1" w:styleId="HeadingProcedure">
    <w:name w:val="Heading Procedure"/>
    <w:basedOn w:val="HeadingBase"/>
    <w:next w:val="Normal"/>
    <w:rsid w:val="00714C7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14C75"/>
    <w:pPr>
      <w:spacing w:before="60" w:after="60"/>
    </w:pPr>
  </w:style>
  <w:style w:type="paragraph" w:styleId="ListContinue">
    <w:name w:val="List Continue"/>
    <w:basedOn w:val="List"/>
    <w:rsid w:val="00714C75"/>
    <w:pPr>
      <w:ind w:firstLine="0"/>
    </w:pPr>
  </w:style>
  <w:style w:type="paragraph" w:customStyle="1" w:styleId="ListNote">
    <w:name w:val="List Note"/>
    <w:basedOn w:val="List"/>
    <w:rsid w:val="00714C7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14C7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14C7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14C75"/>
    <w:rPr>
      <w:rFonts w:ascii="Courier New" w:hAnsi="Courier New"/>
    </w:rPr>
  </w:style>
  <w:style w:type="paragraph" w:customStyle="1" w:styleId="NoteBullet">
    <w:name w:val="Note Bullet"/>
    <w:basedOn w:val="Note"/>
    <w:rsid w:val="00714C7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14C7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14C7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14C7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14C7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14C7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14C7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14C75"/>
    <w:rPr>
      <w:b/>
      <w:smallCaps/>
    </w:rPr>
  </w:style>
  <w:style w:type="paragraph" w:customStyle="1" w:styleId="TableListNumber">
    <w:name w:val="Table List Number"/>
    <w:basedOn w:val="ListNumber"/>
    <w:rsid w:val="00714C7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14C7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14C75"/>
    <w:pPr>
      <w:numPr>
        <w:numId w:val="10"/>
      </w:numPr>
    </w:pPr>
  </w:style>
  <w:style w:type="paragraph" w:customStyle="1" w:styleId="ListAlpha2">
    <w:name w:val="List Alpha 2"/>
    <w:basedOn w:val="List2"/>
    <w:rsid w:val="00714C75"/>
    <w:pPr>
      <w:numPr>
        <w:numId w:val="9"/>
      </w:numPr>
    </w:pPr>
  </w:style>
  <w:style w:type="paragraph" w:styleId="List2">
    <w:name w:val="List 2"/>
    <w:basedOn w:val="BodyText"/>
    <w:rsid w:val="00714C7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14C7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14C7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14C7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14C7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14C75"/>
    <w:pPr>
      <w:numPr>
        <w:numId w:val="5"/>
      </w:numPr>
    </w:pPr>
  </w:style>
  <w:style w:type="paragraph" w:styleId="ListContinue2">
    <w:name w:val="List Continue 2"/>
    <w:basedOn w:val="List2"/>
    <w:rsid w:val="00714C75"/>
    <w:pPr>
      <w:ind w:firstLine="0"/>
    </w:pPr>
  </w:style>
  <w:style w:type="paragraph" w:styleId="ListContinue3">
    <w:name w:val="List Continue 3"/>
    <w:basedOn w:val="List3"/>
    <w:rsid w:val="00714C75"/>
    <w:pPr>
      <w:ind w:left="1021" w:firstLine="0"/>
    </w:pPr>
  </w:style>
  <w:style w:type="paragraph" w:styleId="ListContinue4">
    <w:name w:val="List Continue 4"/>
    <w:basedOn w:val="List4"/>
    <w:rsid w:val="00714C75"/>
    <w:pPr>
      <w:ind w:firstLine="0"/>
    </w:pPr>
  </w:style>
  <w:style w:type="paragraph" w:styleId="ListContinue5">
    <w:name w:val="List Continue 5"/>
    <w:basedOn w:val="List5"/>
    <w:rsid w:val="00714C75"/>
    <w:pPr>
      <w:ind w:firstLine="0"/>
    </w:pPr>
  </w:style>
  <w:style w:type="paragraph" w:styleId="ListNumber3">
    <w:name w:val="List Number 3"/>
    <w:basedOn w:val="List3"/>
    <w:rsid w:val="00714C75"/>
    <w:pPr>
      <w:numPr>
        <w:numId w:val="6"/>
      </w:numPr>
    </w:pPr>
  </w:style>
  <w:style w:type="paragraph" w:styleId="ListNumber4">
    <w:name w:val="List Number 4"/>
    <w:basedOn w:val="List4"/>
    <w:rsid w:val="00714C75"/>
    <w:pPr>
      <w:numPr>
        <w:numId w:val="7"/>
      </w:numPr>
    </w:pPr>
  </w:style>
  <w:style w:type="paragraph" w:styleId="ListNumber5">
    <w:name w:val="List Number 5"/>
    <w:basedOn w:val="List5"/>
    <w:rsid w:val="00714C75"/>
    <w:pPr>
      <w:numPr>
        <w:numId w:val="8"/>
      </w:numPr>
    </w:pPr>
  </w:style>
  <w:style w:type="paragraph" w:styleId="BlockText">
    <w:name w:val="Block Text"/>
    <w:basedOn w:val="Normal"/>
    <w:rsid w:val="00714C7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14C7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14C75"/>
    <w:rPr>
      <w:sz w:val="16"/>
      <w:vertAlign w:val="superscript"/>
    </w:rPr>
  </w:style>
  <w:style w:type="character" w:customStyle="1" w:styleId="Symbols">
    <w:name w:val="Symbols"/>
    <w:basedOn w:val="DefaultParagraphFont"/>
    <w:rsid w:val="00714C75"/>
    <w:rPr>
      <w:rFonts w:ascii="Symbol" w:hAnsi="Symbol"/>
    </w:rPr>
  </w:style>
  <w:style w:type="character" w:customStyle="1" w:styleId="MenuOptions">
    <w:name w:val="Menu Options"/>
    <w:basedOn w:val="DefaultParagraphFont"/>
    <w:rsid w:val="00714C7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14C75"/>
    <w:rPr>
      <w:b/>
    </w:rPr>
  </w:style>
  <w:style w:type="character" w:customStyle="1" w:styleId="Underlined">
    <w:name w:val="Underlined"/>
    <w:basedOn w:val="DefaultParagraphFont"/>
    <w:rsid w:val="00714C75"/>
    <w:rPr>
      <w:u w:val="single"/>
    </w:rPr>
  </w:style>
  <w:style w:type="paragraph" w:customStyle="1" w:styleId="TableBodyTextRight">
    <w:name w:val="Table Body Text Right"/>
    <w:basedOn w:val="TableBodyText"/>
    <w:rsid w:val="00714C7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14C75"/>
    <w:rPr>
      <w:sz w:val="18"/>
    </w:rPr>
  </w:style>
  <w:style w:type="paragraph" w:customStyle="1" w:styleId="BodySmallRight">
    <w:name w:val="Body Small Right"/>
    <w:basedOn w:val="BodyTextRight"/>
    <w:rsid w:val="00714C75"/>
    <w:rPr>
      <w:sz w:val="18"/>
      <w:szCs w:val="18"/>
    </w:rPr>
  </w:style>
  <w:style w:type="paragraph" w:customStyle="1" w:styleId="MarginEdition">
    <w:name w:val="Margin Edition"/>
    <w:basedOn w:val="MarginNote"/>
    <w:rsid w:val="00714C7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14C75"/>
    <w:rPr>
      <w:sz w:val="2"/>
      <w:szCs w:val="2"/>
    </w:rPr>
  </w:style>
  <w:style w:type="character" w:customStyle="1" w:styleId="Small">
    <w:name w:val="Small"/>
    <w:basedOn w:val="DefaultParagraphFont"/>
    <w:rsid w:val="00714C75"/>
    <w:rPr>
      <w:sz w:val="16"/>
    </w:rPr>
  </w:style>
  <w:style w:type="paragraph" w:customStyle="1" w:styleId="WideTable">
    <w:name w:val="Wide Table"/>
    <w:basedOn w:val="Normal"/>
    <w:rsid w:val="00714C7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14C75"/>
  </w:style>
  <w:style w:type="paragraph" w:styleId="Quote">
    <w:name w:val="Quote"/>
    <w:basedOn w:val="Heading1"/>
    <w:link w:val="QuoteChar"/>
    <w:qFormat/>
    <w:rsid w:val="00714C7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14C7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14C75"/>
    <w:pPr>
      <w:pageBreakBefore/>
    </w:pPr>
  </w:style>
  <w:style w:type="paragraph" w:customStyle="1" w:styleId="Border">
    <w:name w:val="Border"/>
    <w:basedOn w:val="Normal"/>
    <w:qFormat/>
    <w:rsid w:val="00714C7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14C7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4C7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4C7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14C7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14C7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14C7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14C7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14C7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14C75"/>
    <w:rPr>
      <w:u w:val="single"/>
    </w:rPr>
  </w:style>
  <w:style w:type="character" w:customStyle="1" w:styleId="BoldandItalics">
    <w:name w:val="Bold and Italics"/>
    <w:qFormat/>
    <w:rsid w:val="00714C75"/>
    <w:rPr>
      <w:b/>
      <w:i/>
      <w:u w:val="none"/>
    </w:rPr>
  </w:style>
  <w:style w:type="paragraph" w:styleId="BalloonText">
    <w:name w:val="Balloon Text"/>
    <w:basedOn w:val="Normal"/>
    <w:link w:val="BalloonTextChar"/>
    <w:rsid w:val="00714C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14C7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14C7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14C7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14C7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14C7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14C75"/>
    <w:pPr>
      <w:spacing w:before="0" w:after="0"/>
    </w:pPr>
  </w:style>
  <w:style w:type="paragraph" w:customStyle="1" w:styleId="BodyTextBold">
    <w:name w:val="Body Text Bold"/>
    <w:basedOn w:val="BodyText"/>
    <w:qFormat/>
    <w:rsid w:val="00714C75"/>
    <w:rPr>
      <w:b/>
    </w:rPr>
  </w:style>
  <w:style w:type="character" w:styleId="Hyperlink">
    <w:name w:val="Hyperlink"/>
    <w:basedOn w:val="DefaultParagraphFont"/>
    <w:uiPriority w:val="99"/>
    <w:unhideWhenUsed/>
    <w:rsid w:val="00B42B7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525</Words>
  <Characters>3385</Characters>
  <Application>Microsoft Office Word</Application>
  <DocSecurity>0</DocSecurity>
  <Lines>99</Lines>
  <Paragraphs>83</Paragraphs>
  <ScaleCrop>false</ScaleCrop>
  <Company>Author-it Software Corporation Ltd.</Company>
  <LinksUpToDate>false</LinksUpToDate>
  <CharactersWithSpaces>3827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CHCAGE010 Implement interventions with older people to reduce risk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2023-07-02T02:21:00Z</dcterms:created>
  <dcterms:modified xsi:type="dcterms:W3CDTF">2023-07-02T02:21:00Z</dcterms:modified>
</cp:coreProperties>
</file>