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5BE" w:rsidP="007715BE">
      <w:pPr>
        <w:pStyle w:val="Title"/>
      </w:pPr>
      <w:r>
        <w:fldChar w:fldCharType="begin"/>
      </w:r>
      <w:r>
        <w:instrText xml:space="preserve"> TITLE   \* MERGEFORMAT </w:instrText>
      </w:r>
      <w:r>
        <w:fldChar w:fldCharType="separate"/>
      </w:r>
      <w:r>
        <w:t>BSBWRK504A Advocate and present cases for members</w:t>
      </w:r>
      <w:r>
        <w:fldChar w:fldCharType="end"/>
      </w:r>
    </w:p>
    <w:p w:rsidR="007715BE" w:rsidP="007715BE">
      <w:pPr>
        <w:pStyle w:val="Version"/>
        <w:sectPr w:rsidSect="009717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1739" w:rsidP="00971739">
      <w:pPr>
        <w:pStyle w:val="SuperHeading"/>
      </w:pPr>
      <w:r w:rsidRPr="00971739">
        <w:t>BSBWRK504A Advocate and present cases for members</w:t>
      </w:r>
    </w:p>
    <w:p w:rsidR="00000000" w:rsidRPr="00971739" w:rsidP="00971739">
      <w:pPr>
        <w:pStyle w:val="SuperHeading"/>
      </w:pPr>
    </w:p>
    <w:p w:rsidR="00000000" w:rsidRPr="00971739" w:rsidP="00971739">
      <w:pPr>
        <w:pStyle w:val="Heading1"/>
      </w:pPr>
      <w:bookmarkStart w:id="1" w:name="O_68223"/>
      <w:bookmarkEnd w:id="1"/>
      <w:r w:rsidRPr="00971739">
        <w:t>Modification History</w:t>
      </w:r>
    </w:p>
    <w:p w:rsidR="00000000" w:rsidRPr="00971739" w:rsidP="00971739">
      <w:pPr>
        <w:pStyle w:val="BodyText"/>
      </w:pPr>
      <w:r w:rsidRPr="00971739">
        <w:t>Not applicable.</w:t>
      </w:r>
    </w:p>
    <w:p w:rsidR="00000000" w:rsidRPr="00971739" w:rsidP="00971739">
      <w:pPr>
        <w:pStyle w:val="AllowPageBreak"/>
      </w:pPr>
    </w:p>
    <w:p w:rsidR="00000000" w:rsidRPr="00971739" w:rsidP="00971739">
      <w:pPr>
        <w:pStyle w:val="Heading1"/>
      </w:pPr>
      <w:bookmarkStart w:id="2" w:name="O_68224"/>
      <w:bookmarkEnd w:id="2"/>
      <w:r w:rsidRPr="00971739">
        <w:t>Unit Descriptor</w:t>
      </w:r>
    </w:p>
    <w:tbl>
      <w:tblPr>
        <w:tblW w:w="0" w:type="auto"/>
        <w:tblLayout w:type="fixed"/>
        <w:tblCellMar>
          <w:left w:w="62" w:type="dxa"/>
          <w:right w:w="62" w:type="dxa"/>
        </w:tblCellMar>
        <w:tblLook w:val="0000"/>
      </w:tblPr>
      <w:tblGrid>
        <w:gridCol w:w="2664"/>
        <w:gridCol w:w="5858"/>
      </w:tblGrid>
      <w:tr w:rsidTr="007715BE">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t xml:space="preserve">This unit describes the performance outcomes, skills and knowledge required to effectively </w:t>
            </w:r>
            <w:r w:rsidRPr="00971739">
              <w:t>appear before a tribunal and advocate a key case on behalf of the member/s.</w:t>
            </w:r>
          </w:p>
          <w:p w:rsidR="00000000" w:rsidRPr="00971739" w:rsidP="00971739">
            <w:pPr>
              <w:pStyle w:val="BodyText"/>
            </w:pPr>
            <w:r w:rsidRPr="00971739">
              <w:t>No licensing, legislative, regulatory or certification requirements apply to this unit at the time of endorsement.</w:t>
            </w: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3" w:name="O_68225"/>
      <w:bookmarkEnd w:id="3"/>
      <w:r w:rsidRPr="00971739">
        <w:t>Application of the Unit</w:t>
      </w:r>
    </w:p>
    <w:tbl>
      <w:tblPr>
        <w:tblW w:w="0" w:type="auto"/>
        <w:tblLayout w:type="fixed"/>
        <w:tblCellMar>
          <w:left w:w="62" w:type="dxa"/>
          <w:right w:w="62" w:type="dxa"/>
        </w:tblCellMar>
        <w:tblLook w:val="0000"/>
      </w:tblPr>
      <w:tblGrid>
        <w:gridCol w:w="2754"/>
        <w:gridCol w:w="5768"/>
      </w:tblGrid>
      <w:tr w:rsidTr="007715B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t>This unit applies to individuals with a sound theoretical knowledge base in unionism and industrial relations who provide leadership to members and staff in the union workplace. They carry high levels of responsibility and are authorised by the union to ap</w:t>
            </w:r>
            <w:r w:rsidRPr="00971739">
              <w:t>pear before a tribunal.</w:t>
            </w: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4" w:name="O_68226"/>
      <w:bookmarkEnd w:id="4"/>
      <w:r w:rsidRPr="00971739">
        <w:t>Licensing/Regulatory Information</w:t>
      </w:r>
    </w:p>
    <w:p w:rsidR="00000000" w:rsidRPr="00971739" w:rsidP="00971739">
      <w:pPr>
        <w:pStyle w:val="BodyText"/>
      </w:pPr>
      <w:r w:rsidRPr="00971739">
        <w:t>Not applicable.</w:t>
      </w:r>
    </w:p>
    <w:p w:rsidR="00000000" w:rsidRPr="00971739" w:rsidP="00971739">
      <w:pPr>
        <w:pStyle w:val="AllowPageBreak"/>
      </w:pPr>
    </w:p>
    <w:p w:rsidR="00000000" w:rsidRPr="00971739" w:rsidP="00971739">
      <w:pPr>
        <w:pStyle w:val="Heading1"/>
      </w:pPr>
      <w:bookmarkStart w:id="5" w:name="O_68227"/>
      <w:bookmarkEnd w:id="5"/>
      <w:r w:rsidRPr="00971739">
        <w:t>Pre-Requisites</w:t>
      </w:r>
    </w:p>
    <w:tbl>
      <w:tblPr>
        <w:tblW w:w="0" w:type="auto"/>
        <w:tblLayout w:type="fixed"/>
        <w:tblCellMar>
          <w:left w:w="62" w:type="dxa"/>
          <w:right w:w="62" w:type="dxa"/>
        </w:tblCellMar>
        <w:tblLook w:val="0000"/>
      </w:tblPr>
      <w:tblGrid>
        <w:gridCol w:w="2775"/>
        <w:gridCol w:w="1295"/>
        <w:gridCol w:w="4452"/>
      </w:tblGrid>
      <w:tr w:rsidTr="007715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p>
        </w:tc>
      </w:tr>
      <w:tr w:rsidTr="007715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p>
        </w:tc>
      </w:tr>
      <w:tr w:rsidTr="007715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6" w:name="O_68228"/>
      <w:bookmarkEnd w:id="6"/>
      <w:r w:rsidRPr="00971739">
        <w:t>Employability Skills Information</w:t>
      </w:r>
    </w:p>
    <w:tbl>
      <w:tblPr>
        <w:tblW w:w="0" w:type="auto"/>
        <w:tblLayout w:type="fixed"/>
        <w:tblCellMar>
          <w:left w:w="62" w:type="dxa"/>
          <w:right w:w="62" w:type="dxa"/>
        </w:tblCellMar>
        <w:tblLook w:val="0000"/>
      </w:tblPr>
      <w:tblGrid>
        <w:gridCol w:w="2802"/>
        <w:gridCol w:w="5720"/>
      </w:tblGrid>
      <w:tr w:rsidTr="007715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t>This unit contains employability skills.</w:t>
            </w: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7" w:name="O_68229"/>
      <w:bookmarkEnd w:id="7"/>
      <w:r w:rsidRPr="00971739">
        <w:t>Elements and Performance Criteria Pre-Content</w:t>
      </w:r>
    </w:p>
    <w:tbl>
      <w:tblPr>
        <w:tblW w:w="0" w:type="auto"/>
        <w:tblLayout w:type="fixed"/>
        <w:tblCellMar>
          <w:left w:w="62" w:type="dxa"/>
          <w:right w:w="62" w:type="dxa"/>
        </w:tblCellMar>
        <w:tblLook w:val="0000"/>
      </w:tblPr>
      <w:tblGrid>
        <w:gridCol w:w="2576"/>
        <w:gridCol w:w="5946"/>
      </w:tblGrid>
      <w:tr w:rsidTr="007715B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t>Performance criteria describe the performance needed to demonstrate achievement of the element. Where bold italicised text is used, further information is detailed in the required skills and knowledge section and the range statement. Assessment of performa</w:t>
            </w:r>
            <w:r w:rsidRPr="00971739">
              <w:t>nce is to be consistent with the evidence guide.</w:t>
            </w: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8" w:name="O_68230"/>
      <w:bookmarkEnd w:id="8"/>
      <w:r w:rsidRPr="00971739">
        <w:t>Elements and Performance Criteria</w:t>
      </w:r>
    </w:p>
    <w:tbl>
      <w:tblPr>
        <w:tblW w:w="0" w:type="auto"/>
        <w:tblLayout w:type="fixed"/>
        <w:tblCellMar>
          <w:left w:w="62" w:type="dxa"/>
          <w:right w:w="62" w:type="dxa"/>
        </w:tblCellMar>
        <w:tblLook w:val="0000"/>
      </w:tblPr>
      <w:tblGrid>
        <w:gridCol w:w="2576"/>
        <w:gridCol w:w="5946"/>
      </w:tblGrid>
      <w:tr w:rsidTr="007715BE">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PERFORMANCE CRITERIA</w:t>
            </w:r>
          </w:p>
        </w:tc>
      </w:tr>
      <w:tr w:rsidTr="007715B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List"/>
              <w:rPr>
                <w:lang w:val="en-NZ"/>
              </w:rPr>
            </w:pPr>
            <w:r w:rsidRPr="00971739">
              <w:t>1.</w:t>
            </w:r>
            <w:r w:rsidRPr="00971739">
              <w:tab/>
              <w:t>Utilise and promote the legal basis which underpins employment rights and conditions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List2"/>
            </w:pPr>
            <w:r w:rsidRPr="00971739">
              <w:t>1.1.</w:t>
            </w:r>
            <w:r w:rsidRPr="00971739">
              <w:tab/>
            </w:r>
            <w:r w:rsidRPr="00971739">
              <w:t>Apply knowledge of employment rights and conditions in a range of jurisdictions</w:t>
            </w:r>
          </w:p>
          <w:p w:rsidR="00000000" w:rsidRPr="00971739" w:rsidP="00971739">
            <w:pPr>
              <w:pStyle w:val="List2"/>
            </w:pPr>
            <w:r w:rsidRPr="00971739">
              <w:t>1.2.</w:t>
            </w:r>
            <w:r w:rsidRPr="00971739">
              <w:tab/>
              <w:t>Ensure legislative and industrial instruments are understood and applied where appropriate</w:t>
            </w:r>
          </w:p>
          <w:p w:rsidR="00000000" w:rsidP="00971739">
            <w:pPr>
              <w:pStyle w:val="List2"/>
              <w:rPr>
                <w:lang w:val="en-NZ"/>
              </w:rPr>
            </w:pPr>
            <w:r w:rsidRPr="00971739">
              <w:t>1.3.</w:t>
            </w:r>
            <w:r w:rsidRPr="00971739">
              <w:tab/>
              <w:t>Identify non-compliance with legislative, regulatory or industrial instrume</w:t>
            </w:r>
            <w:r w:rsidRPr="00971739">
              <w:t>nts and respond appropriately</w:t>
            </w:r>
          </w:p>
        </w:tc>
      </w:tr>
      <w:tr w:rsidTr="007715B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List"/>
              <w:rPr>
                <w:lang w:val="en-NZ"/>
              </w:rPr>
            </w:pPr>
            <w:r w:rsidRPr="00971739">
              <w:t>2.</w:t>
            </w:r>
            <w:r w:rsidRPr="00971739">
              <w:tab/>
              <w:t>Use dispute resolution processes for grievances and disputes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List2"/>
            </w:pPr>
            <w:r w:rsidRPr="00971739">
              <w:t>2.1.</w:t>
            </w:r>
            <w:r w:rsidRPr="00971739">
              <w:tab/>
              <w:t>Use dispute resolution processes to achieve outcomes</w:t>
            </w:r>
          </w:p>
          <w:p w:rsidR="00000000" w:rsidRPr="00971739" w:rsidP="00971739">
            <w:pPr>
              <w:pStyle w:val="List2"/>
            </w:pPr>
            <w:r w:rsidRPr="00971739">
              <w:t>2.2.</w:t>
            </w:r>
            <w:r w:rsidRPr="00971739">
              <w:tab/>
              <w:t xml:space="preserve">Use </w:t>
            </w:r>
            <w:r w:rsidRPr="00971739">
              <w:rPr>
                <w:rStyle w:val="BoldandItalics"/>
              </w:rPr>
              <w:t>dispute resolution powers and procedures</w:t>
            </w:r>
            <w:r w:rsidRPr="00971739">
              <w:t xml:space="preserve"> strategically</w:t>
            </w:r>
          </w:p>
          <w:p w:rsidR="00000000" w:rsidRPr="00971739" w:rsidP="00971739">
            <w:pPr>
              <w:pStyle w:val="List2"/>
            </w:pPr>
            <w:r w:rsidRPr="00971739">
              <w:t>2.3.</w:t>
            </w:r>
            <w:r w:rsidRPr="00971739">
              <w:tab/>
              <w:t>Use dispute resolution processes t</w:t>
            </w:r>
            <w:r w:rsidRPr="00971739">
              <w:t>o respond effectively to employer or respondent applications</w:t>
            </w:r>
          </w:p>
          <w:p w:rsidR="00000000" w:rsidRPr="00971739" w:rsidP="00971739">
            <w:pPr>
              <w:pStyle w:val="List2"/>
            </w:pPr>
            <w:r w:rsidRPr="00971739">
              <w:t>2.4.</w:t>
            </w:r>
            <w:r w:rsidRPr="00971739">
              <w:tab/>
              <w:t xml:space="preserve">Use </w:t>
            </w:r>
            <w:r w:rsidRPr="00971739">
              <w:rPr>
                <w:rStyle w:val="BoldandItalics"/>
              </w:rPr>
              <w:t>appropriate tactics</w:t>
            </w:r>
            <w:r w:rsidRPr="00971739">
              <w:t xml:space="preserve"> to secure the best outcome for the case</w:t>
            </w:r>
          </w:p>
          <w:p w:rsidR="00000000" w:rsidP="00971739">
            <w:pPr>
              <w:pStyle w:val="List2"/>
              <w:rPr>
                <w:lang w:val="en-NZ"/>
              </w:rPr>
            </w:pPr>
            <w:r w:rsidRPr="00971739">
              <w:t>2.5.</w:t>
            </w:r>
            <w:r w:rsidRPr="00971739">
              <w:tab/>
              <w:t>Make realistic assessments of case proceedings and alternative options</w:t>
            </w:r>
          </w:p>
        </w:tc>
      </w:tr>
      <w:tr w:rsidTr="007715B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List"/>
              <w:rPr>
                <w:lang w:val="en-NZ"/>
              </w:rPr>
            </w:pPr>
            <w:r w:rsidRPr="00971739">
              <w:t>3.</w:t>
            </w:r>
            <w:r w:rsidRPr="00971739">
              <w:tab/>
              <w:t>Advocate case before tribunal</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List2"/>
            </w:pPr>
            <w:r w:rsidRPr="00971739">
              <w:t>3.1.</w:t>
            </w:r>
            <w:r w:rsidRPr="00971739">
              <w:tab/>
              <w:t>Seek to hav</w:t>
            </w:r>
            <w:r w:rsidRPr="00971739">
              <w:t>e powers of the tribunal applied according to rules and procedures</w:t>
            </w:r>
          </w:p>
          <w:p w:rsidR="00000000" w:rsidRPr="00971739" w:rsidP="00971739">
            <w:pPr>
              <w:pStyle w:val="List2"/>
            </w:pPr>
            <w:r w:rsidRPr="00971739">
              <w:t>3.2.</w:t>
            </w:r>
            <w:r w:rsidRPr="00971739">
              <w:tab/>
              <w:t>Apply order of submissions, including giving opening and final addresses and establishing purpose and key facts</w:t>
            </w:r>
          </w:p>
          <w:p w:rsidR="00000000" w:rsidRPr="00971739" w:rsidP="00971739">
            <w:pPr>
              <w:pStyle w:val="List2"/>
            </w:pPr>
            <w:r w:rsidRPr="00971739">
              <w:t>3.3.</w:t>
            </w:r>
            <w:r w:rsidRPr="00971739">
              <w:tab/>
              <w:t>Provide written case outlines and submissions</w:t>
            </w:r>
          </w:p>
          <w:p w:rsidR="00000000" w:rsidRPr="00971739" w:rsidP="00971739">
            <w:pPr>
              <w:pStyle w:val="List2"/>
            </w:pPr>
            <w:r w:rsidRPr="00971739">
              <w:t>3.4.</w:t>
            </w:r>
            <w:r w:rsidRPr="00971739">
              <w:tab/>
              <w:t xml:space="preserve">Employ </w:t>
            </w:r>
            <w:r w:rsidRPr="00971739">
              <w:rPr>
                <w:rStyle w:val="BoldandItalics"/>
              </w:rPr>
              <w:t>appropriate techniques for addressing a court or tribunal</w:t>
            </w:r>
            <w:r w:rsidRPr="00971739">
              <w:t xml:space="preserve"> strategically</w:t>
            </w:r>
          </w:p>
          <w:p w:rsidR="00000000" w:rsidRPr="00971739" w:rsidP="00971739">
            <w:pPr>
              <w:pStyle w:val="List2"/>
            </w:pPr>
            <w:r w:rsidRPr="00971739">
              <w:t>3.5.</w:t>
            </w:r>
            <w:r w:rsidRPr="00971739">
              <w:tab/>
              <w:t>Seek adjournments, where appropriate, in a timely manner</w:t>
            </w:r>
          </w:p>
          <w:p w:rsidR="00000000" w:rsidRPr="00971739" w:rsidP="00971739">
            <w:pPr>
              <w:pStyle w:val="List2"/>
            </w:pPr>
            <w:r w:rsidRPr="00971739">
              <w:t>3.6.</w:t>
            </w:r>
            <w:r w:rsidRPr="00971739">
              <w:tab/>
              <w:t>Ensure appropriate documentation is tendered in accordance with required rules and procedures</w:t>
            </w:r>
          </w:p>
          <w:p w:rsidR="00000000" w:rsidRPr="00971739" w:rsidP="00971739">
            <w:pPr>
              <w:pStyle w:val="List2"/>
            </w:pPr>
            <w:r w:rsidRPr="00971739">
              <w:t>3.7.</w:t>
            </w:r>
            <w:r w:rsidRPr="00971739">
              <w:tab/>
              <w:t>Ensure relevant de</w:t>
            </w:r>
            <w:r w:rsidRPr="00971739">
              <w:t>cisions and precedents are referred to and distinguished appropriately</w:t>
            </w:r>
          </w:p>
          <w:p w:rsidR="00000000" w:rsidRPr="00971739" w:rsidP="00971739">
            <w:pPr>
              <w:pStyle w:val="List2"/>
            </w:pPr>
            <w:r w:rsidRPr="00971739">
              <w:t>3.8.</w:t>
            </w:r>
            <w:r w:rsidRPr="00971739">
              <w:tab/>
              <w:t>Ensure issues raised by respondents or tribunal members are addressed, neutralised or rebutted in an articulate way</w:t>
            </w: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9" w:name="O_68231"/>
      <w:bookmarkEnd w:id="9"/>
      <w:r w:rsidRPr="00971739">
        <w:t>Required Skills and Knowledge</w:t>
      </w:r>
    </w:p>
    <w:tbl>
      <w:tblPr>
        <w:tblW w:w="0" w:type="auto"/>
        <w:tblLayout w:type="fixed"/>
        <w:tblCellMar>
          <w:left w:w="62" w:type="dxa"/>
          <w:right w:w="62" w:type="dxa"/>
        </w:tblCellMar>
        <w:tblLook w:val="0000"/>
      </w:tblPr>
      <w:tblGrid>
        <w:gridCol w:w="8522"/>
      </w:tblGrid>
      <w:tr w:rsidTr="007715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REQUIRED SKILLS A</w:t>
            </w:r>
            <w:r w:rsidRPr="00971739">
              <w:rPr>
                <w:rStyle w:val="SpecialBold"/>
              </w:rPr>
              <w:t>ND KNOWLEDGE</w:t>
            </w:r>
          </w:p>
        </w:tc>
      </w:tr>
      <w:tr w:rsidTr="007715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t>This section describes the skills and knowledge required for this unit.</w:t>
            </w:r>
          </w:p>
        </w:tc>
      </w:tr>
      <w:tr w:rsidTr="007715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Required skills</w:t>
            </w:r>
          </w:p>
        </w:tc>
      </w:tr>
      <w:tr w:rsidTr="007715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ListBullet"/>
            </w:pPr>
            <w:r w:rsidRPr="00971739">
              <w:t>high level communication skills to advocate and speak persuasively in formal situations</w:t>
            </w:r>
          </w:p>
          <w:p w:rsidR="00000000" w:rsidRPr="00971739" w:rsidP="00971739">
            <w:pPr>
              <w:pStyle w:val="ListBullet"/>
            </w:pPr>
            <w:r w:rsidRPr="00971739">
              <w:t>presentation skills to outline key facts</w:t>
            </w:r>
          </w:p>
          <w:p w:rsidR="00000000" w:rsidRPr="00971739" w:rsidP="00971739">
            <w:pPr>
              <w:pStyle w:val="ListBullet"/>
            </w:pPr>
            <w:r w:rsidRPr="00971739">
              <w:t>listening skills and negotiation skills suited to the tribunal environment</w:t>
            </w:r>
          </w:p>
          <w:p w:rsidR="00000000" w:rsidP="00971739">
            <w:pPr>
              <w:pStyle w:val="ListBullet"/>
              <w:rPr>
                <w:lang w:val="en-NZ"/>
              </w:rPr>
            </w:pPr>
            <w:r w:rsidRPr="00971739">
              <w:t>analytical skills to assess the merits of various arguments.</w:t>
            </w:r>
          </w:p>
        </w:tc>
      </w:tr>
      <w:tr w:rsidTr="007715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Required knowledge</w:t>
            </w:r>
          </w:p>
        </w:tc>
      </w:tr>
      <w:tr w:rsidTr="007715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ListBullet"/>
            </w:pPr>
            <w:r w:rsidRPr="00971739">
              <w:t xml:space="preserve">relevant regional, national, and international legislation and regulations relating to industrial </w:t>
            </w:r>
            <w:r w:rsidRPr="00971739">
              <w:t>relations, occupational health and safety, vocational education and training, equal opportunity and discrimination</w:t>
            </w:r>
          </w:p>
          <w:p w:rsidR="00000000" w:rsidRPr="00971739" w:rsidP="00971739">
            <w:pPr>
              <w:pStyle w:val="ListBullet"/>
            </w:pPr>
            <w:r w:rsidRPr="00971739">
              <w:t>relevant employment agreements and awards, and terms and conditions of employment</w:t>
            </w:r>
          </w:p>
          <w:p w:rsidR="00000000" w:rsidRPr="00971739" w:rsidP="00971739">
            <w:pPr>
              <w:pStyle w:val="ListBullet"/>
            </w:pPr>
            <w:r w:rsidRPr="00971739">
              <w:t>union policies and procedures</w:t>
            </w:r>
          </w:p>
          <w:p w:rsidR="00000000" w:rsidRPr="00971739" w:rsidP="00971739">
            <w:pPr>
              <w:pStyle w:val="ListBullet"/>
            </w:pPr>
            <w:r w:rsidRPr="00971739">
              <w:t>relevant court and tribunal e</w:t>
            </w:r>
            <w:r w:rsidRPr="00971739">
              <w:t>tiquette, rules and procedures</w:t>
            </w:r>
          </w:p>
          <w:p w:rsidR="00000000" w:rsidRPr="00971739" w:rsidP="00971739">
            <w:pPr>
              <w:pStyle w:val="ListBullet"/>
            </w:pPr>
            <w:r w:rsidRPr="00971739">
              <w:t>rules of evidence.</w:t>
            </w: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10" w:name="O_68232"/>
      <w:bookmarkEnd w:id="10"/>
      <w:r w:rsidRPr="00971739">
        <w:t>Evidence Guide</w:t>
      </w:r>
    </w:p>
    <w:tbl>
      <w:tblPr>
        <w:tblW w:w="9570" w:type="dxa"/>
        <w:tblLayout w:type="fixed"/>
        <w:tblCellMar>
          <w:left w:w="62" w:type="dxa"/>
          <w:right w:w="62" w:type="dxa"/>
        </w:tblCellMar>
        <w:tblLook w:val="0000"/>
      </w:tblPr>
      <w:tblGrid>
        <w:gridCol w:w="3908"/>
        <w:gridCol w:w="5662"/>
      </w:tblGrid>
      <w:tr w:rsidTr="007715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EVIDENCE GUIDE</w:t>
            </w:r>
          </w:p>
        </w:tc>
      </w:tr>
      <w:tr w:rsidTr="007715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t xml:space="preserve">The Evidence Guide provides advice on assessment and must be read in conjunction with the performance criteria, required skills and knowledge, </w:t>
            </w:r>
            <w:r w:rsidRPr="00971739">
              <w:t>range statement and the Assessment Guidelines for the Training Package.</w:t>
            </w:r>
          </w:p>
        </w:tc>
      </w:tr>
      <w:tr w:rsidTr="007715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p>
        </w:tc>
      </w:tr>
      <w:tr w:rsidTr="007715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t>Evidence of the following is essential:</w:t>
            </w:r>
          </w:p>
          <w:p w:rsidR="00000000" w:rsidRPr="00971739" w:rsidP="00971739">
            <w:pPr>
              <w:pStyle w:val="ListBullet"/>
            </w:pPr>
            <w:r w:rsidRPr="00971739">
              <w:t>demonstrated abilit</w:t>
            </w:r>
            <w:r w:rsidRPr="00971739">
              <w:t>y to prepare for and advocate an effective case before a tribunal</w:t>
            </w:r>
          </w:p>
          <w:p w:rsidR="00000000" w:rsidRPr="00971739" w:rsidP="00971739">
            <w:pPr>
              <w:pStyle w:val="ListBullet"/>
            </w:pPr>
            <w:r w:rsidRPr="00971739">
              <w:t>demonstration of a range of dispute resolution approaches that would apply to union member grievances and disputes</w:t>
            </w:r>
          </w:p>
          <w:p w:rsidR="00000000" w:rsidP="00971739">
            <w:pPr>
              <w:pStyle w:val="ListBullet"/>
              <w:rPr>
                <w:lang w:val="en-NZ"/>
              </w:rPr>
            </w:pPr>
            <w:r w:rsidRPr="00971739">
              <w:t>knowledge of relevant court and tribunal etiquette, rules and procedures.</w:t>
            </w:r>
          </w:p>
        </w:tc>
      </w:tr>
      <w:tr w:rsidTr="007715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t>Assessment must ensure:</w:t>
            </w:r>
          </w:p>
          <w:p w:rsidR="00000000" w:rsidRPr="00971739" w:rsidP="00971739">
            <w:pPr>
              <w:pStyle w:val="ListBullet"/>
            </w:pPr>
            <w:r w:rsidRPr="00971739">
              <w:t>an actual or simulated tribunal environment</w:t>
            </w:r>
          </w:p>
          <w:p w:rsidR="00000000" w:rsidP="00971739">
            <w:pPr>
              <w:pStyle w:val="ListBullet"/>
              <w:rPr>
                <w:lang w:val="en-NZ"/>
              </w:rPr>
            </w:pPr>
            <w:r w:rsidRPr="00971739">
              <w:t>access to relevant documents.</w:t>
            </w:r>
          </w:p>
        </w:tc>
      </w:tr>
      <w:tr w:rsidTr="007715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t>A range of assessment methods should be used to assess practical skills and knowledge.</w:t>
            </w:r>
            <w:r w:rsidRPr="00971739">
              <w:t xml:space="preserve"> The following examples are appropriate for this unit:</w:t>
            </w:r>
          </w:p>
          <w:p w:rsidR="00000000" w:rsidRPr="00971739" w:rsidP="00971739">
            <w:pPr>
              <w:pStyle w:val="ListBullet"/>
            </w:pPr>
            <w:r w:rsidRPr="00971739">
              <w:t>direct questioning combined with review of portfolios of evidence and third party workplace reports of on-the-job performance by the candidate</w:t>
            </w:r>
          </w:p>
          <w:p w:rsidR="00000000" w:rsidRPr="00971739" w:rsidP="00971739">
            <w:pPr>
              <w:pStyle w:val="ListBullet"/>
            </w:pPr>
            <w:r w:rsidRPr="00971739">
              <w:t xml:space="preserve">review of documented assessments of case proceedings and </w:t>
            </w:r>
            <w:r w:rsidRPr="00971739">
              <w:t>alternative options</w:t>
            </w:r>
          </w:p>
          <w:p w:rsidR="00000000" w:rsidRPr="00971739" w:rsidP="00971739">
            <w:pPr>
              <w:pStyle w:val="ListBullet"/>
            </w:pPr>
            <w:r w:rsidRPr="00971739">
              <w:t>demonstration of techniques</w:t>
            </w:r>
          </w:p>
          <w:p w:rsidR="00000000" w:rsidRPr="00971739" w:rsidP="00971739">
            <w:pPr>
              <w:pStyle w:val="ListBullet"/>
            </w:pPr>
            <w:r w:rsidRPr="00971739">
              <w:t>observation of demonstrated techniques in advocating a case before a tribunal</w:t>
            </w:r>
          </w:p>
          <w:p w:rsidR="00000000" w:rsidRPr="00971739" w:rsidP="00971739">
            <w:pPr>
              <w:pStyle w:val="ListBullet"/>
            </w:pPr>
            <w:r w:rsidRPr="00971739">
              <w:t>oral or written questioning to assess knowledge of legislation and industrial relations</w:t>
            </w:r>
          </w:p>
          <w:p w:rsidR="00000000" w:rsidP="00971739">
            <w:pPr>
              <w:pStyle w:val="ListBullet"/>
              <w:rPr>
                <w:lang w:val="en-NZ"/>
              </w:rPr>
            </w:pPr>
            <w:r w:rsidRPr="00971739">
              <w:t>review of written case outlines and submissions.</w:t>
            </w:r>
          </w:p>
        </w:tc>
      </w:tr>
      <w:tr w:rsidTr="007715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t>Holistic assessment with other units relevant to the industry sector, workplace and job role is recommended, for example:</w:t>
            </w:r>
          </w:p>
          <w:p w:rsidR="00000000" w:rsidRPr="00971739" w:rsidP="00971739">
            <w:pPr>
              <w:pStyle w:val="ListBullet"/>
            </w:pPr>
            <w:r w:rsidRPr="00971739">
              <w:t>other workplace relations units.</w:t>
            </w: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11" w:name="O_68233"/>
      <w:bookmarkEnd w:id="11"/>
      <w:r w:rsidRPr="00971739">
        <w:t>Range Statement</w:t>
      </w:r>
    </w:p>
    <w:tbl>
      <w:tblPr>
        <w:tblW w:w="0" w:type="auto"/>
        <w:tblLayout w:type="fixed"/>
        <w:tblCellMar>
          <w:left w:w="62" w:type="dxa"/>
          <w:right w:w="62" w:type="dxa"/>
        </w:tblCellMar>
        <w:tblLook w:val="0000"/>
      </w:tblPr>
      <w:tblGrid>
        <w:gridCol w:w="3468"/>
        <w:gridCol w:w="5054"/>
      </w:tblGrid>
      <w:tr w:rsidTr="007715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RANGE STATEMENT</w:t>
            </w:r>
          </w:p>
        </w:tc>
      </w:tr>
      <w:tr w:rsidTr="007715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t xml:space="preserve">The range statement relates to the unit of competency as a whole. It allows for different work environments and situations that may affect </w:t>
            </w:r>
            <w:r w:rsidRPr="00971739">
              <w:t>performance. Bold italicised wording, if used in the performance criteria, is detailed below. Essential operating conditions that may be present with training and assessment (depending on the work situation, needs of the candidate, accessibility of the ite</w:t>
            </w:r>
            <w:r w:rsidRPr="00971739">
              <w:t>m, and local industry and regional contexts) may also be included.</w:t>
            </w:r>
          </w:p>
        </w:tc>
      </w:tr>
      <w:tr w:rsidTr="007715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BoldandItalics"/>
              </w:rPr>
              <w:t>Dispute resolution powers and procedures</w:t>
            </w:r>
            <w:r w:rsidRPr="00971739">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ListBullet"/>
            </w:pPr>
            <w:r w:rsidRPr="00971739">
              <w:t xml:space="preserve">arbitration </w:t>
            </w:r>
          </w:p>
          <w:p w:rsidR="00000000" w:rsidRPr="00971739" w:rsidP="00971739">
            <w:pPr>
              <w:pStyle w:val="ListBullet"/>
            </w:pPr>
            <w:r w:rsidRPr="00971739">
              <w:t>conciliation</w:t>
            </w:r>
          </w:p>
          <w:p w:rsidR="00000000" w:rsidP="00971739">
            <w:pPr>
              <w:pStyle w:val="ListBullet"/>
              <w:rPr>
                <w:lang w:val="en-NZ"/>
              </w:rPr>
            </w:pPr>
            <w:r w:rsidRPr="00971739">
              <w:t>mediation</w:t>
            </w:r>
          </w:p>
        </w:tc>
      </w:tr>
      <w:tr w:rsidTr="007715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BoldandItalics"/>
              </w:rPr>
              <w:t>Appropriate tactics</w:t>
            </w:r>
            <w:r w:rsidRPr="00971739">
              <w:t xml:space="preserve"> may involve: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ListBullet"/>
            </w:pPr>
            <w:r w:rsidRPr="00971739">
              <w:t>seeking adjournments to reconsider own position in light of respondent arguments/new evidence</w:t>
            </w:r>
          </w:p>
          <w:p w:rsidR="00000000" w:rsidRPr="00971739" w:rsidP="00971739">
            <w:pPr>
              <w:pStyle w:val="ListBullet"/>
            </w:pPr>
            <w:r w:rsidRPr="00971739">
              <w:t>using discovery processes to elicit further information from respondent/employer</w:t>
            </w:r>
          </w:p>
          <w:p w:rsidR="00000000" w:rsidP="00971739">
            <w:pPr>
              <w:pStyle w:val="ListBullet"/>
              <w:rPr>
                <w:lang w:val="en-NZ"/>
              </w:rPr>
            </w:pPr>
            <w:r w:rsidRPr="00971739">
              <w:t>using witnesses, including hostile witnesses, to draw out relevant evidence</w:t>
            </w:r>
          </w:p>
        </w:tc>
      </w:tr>
      <w:tr w:rsidTr="007715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BoldandItalics"/>
              </w:rPr>
              <w:t>Appr</w:t>
            </w:r>
            <w:r w:rsidRPr="00971739">
              <w:rPr>
                <w:rStyle w:val="BoldandItalics"/>
              </w:rPr>
              <w:t>opriate techniques for addressing a court or tribunal</w:t>
            </w:r>
            <w:r w:rsidRPr="00971739">
              <w:t xml:space="preserve">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ListBullet"/>
            </w:pPr>
            <w:r w:rsidRPr="00971739">
              <w:t>delivery, for example, voice, tone, rate of speech and inflection</w:t>
            </w:r>
          </w:p>
          <w:p w:rsidR="00000000" w:rsidRPr="00971739" w:rsidP="00971739">
            <w:pPr>
              <w:pStyle w:val="ListBullet"/>
            </w:pPr>
            <w:r w:rsidRPr="00971739">
              <w:t>different styles of questioning</w:t>
            </w:r>
          </w:p>
          <w:p w:rsidR="00000000" w:rsidRPr="00971739" w:rsidP="00971739">
            <w:pPr>
              <w:pStyle w:val="ListBullet"/>
            </w:pPr>
            <w:r w:rsidRPr="00971739">
              <w:t>examining witnesses</w:t>
            </w:r>
          </w:p>
          <w:p w:rsidR="00000000" w:rsidRPr="00971739" w:rsidP="00971739">
            <w:pPr>
              <w:pStyle w:val="ListBullet"/>
            </w:pPr>
            <w:r w:rsidRPr="00971739">
              <w:t>focusing attention by involving the tribunal</w:t>
            </w:r>
          </w:p>
          <w:p w:rsidR="00000000" w:rsidRPr="00971739" w:rsidP="00971739">
            <w:pPr>
              <w:pStyle w:val="ListBullet"/>
            </w:pPr>
            <w:r w:rsidRPr="00971739">
              <w:t>gestures and movements</w:t>
            </w:r>
          </w:p>
          <w:p w:rsidR="00000000" w:rsidRPr="00971739" w:rsidP="00971739">
            <w:pPr>
              <w:pStyle w:val="ListBullet"/>
            </w:pPr>
            <w:r w:rsidRPr="00971739">
              <w:t>listen</w:t>
            </w:r>
            <w:r w:rsidRPr="00971739">
              <w:t xml:space="preserve">ing </w:t>
            </w:r>
          </w:p>
          <w:p w:rsidR="00000000" w:rsidRPr="00971739" w:rsidP="00971739">
            <w:pPr>
              <w:pStyle w:val="ListBullet"/>
            </w:pPr>
            <w:r w:rsidRPr="00971739">
              <w:t>mannerisms</w:t>
            </w:r>
          </w:p>
          <w:p w:rsidR="00000000" w:rsidRPr="00971739" w:rsidP="00971739">
            <w:pPr>
              <w:pStyle w:val="ListBullet"/>
            </w:pPr>
            <w:r w:rsidRPr="00971739">
              <w:t>oral submissions</w:t>
            </w:r>
          </w:p>
          <w:p w:rsidR="00000000" w:rsidRPr="00971739" w:rsidP="00971739">
            <w:pPr>
              <w:pStyle w:val="ListBullet"/>
            </w:pPr>
            <w:r w:rsidRPr="00971739">
              <w:t xml:space="preserve">rebutting submissions or evidence </w:t>
            </w:r>
          </w:p>
          <w:p w:rsidR="00000000" w:rsidRPr="00971739" w:rsidP="00971739">
            <w:pPr>
              <w:pStyle w:val="ListBullet"/>
            </w:pPr>
            <w:r w:rsidRPr="00971739">
              <w:t>use of appropriate protocol in addressing tribunal members and other representatives</w:t>
            </w:r>
          </w:p>
          <w:p w:rsidR="00000000" w:rsidRPr="00971739" w:rsidP="00971739">
            <w:pPr>
              <w:pStyle w:val="ListBullet"/>
            </w:pPr>
            <w:r w:rsidRPr="00971739">
              <w:t>use of humour or other tactics</w:t>
            </w:r>
          </w:p>
          <w:p w:rsidR="00000000" w:rsidRPr="00971739" w:rsidP="00971739">
            <w:pPr>
              <w:pStyle w:val="ListBullet"/>
            </w:pPr>
            <w:r w:rsidRPr="00971739">
              <w:t>use of notes</w:t>
            </w:r>
          </w:p>
          <w:p w:rsidR="00000000" w:rsidRPr="00971739" w:rsidP="00971739">
            <w:pPr>
              <w:pStyle w:val="ListBullet"/>
            </w:pPr>
            <w:r w:rsidRPr="00971739">
              <w:t>verbal arguments</w:t>
            </w:r>
          </w:p>
        </w:tc>
      </w:tr>
    </w:tbl>
    <w:p w:rsidR="007715BE" w:rsidP="00971739">
      <w:pPr>
        <w:pStyle w:val="BodyText"/>
      </w:pPr>
    </w:p>
    <w:p w:rsidR="007715BE" w:rsidP="00971739">
      <w:pPr>
        <w:pStyle w:val="BodyText"/>
      </w:pPr>
    </w:p>
    <w:p w:rsidR="00000000" w:rsidRPr="00971739" w:rsidP="00971739">
      <w:pPr>
        <w:pStyle w:val="Heading1"/>
      </w:pPr>
      <w:bookmarkStart w:id="12" w:name="O_68234"/>
      <w:bookmarkEnd w:id="12"/>
      <w:r w:rsidRPr="00971739">
        <w:t>Unit Sector(s)</w:t>
      </w:r>
    </w:p>
    <w:tbl>
      <w:tblPr>
        <w:tblW w:w="0" w:type="auto"/>
        <w:tblLayout w:type="fixed"/>
        <w:tblCellMar>
          <w:left w:w="62" w:type="dxa"/>
          <w:right w:w="62" w:type="dxa"/>
        </w:tblCellMar>
        <w:tblLook w:val="0000"/>
      </w:tblPr>
      <w:tblGrid>
        <w:gridCol w:w="2654"/>
        <w:gridCol w:w="5868"/>
      </w:tblGrid>
      <w:tr w:rsidTr="007715B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13" w:name="O_154663"/>
      <w:bookmarkEnd w:id="13"/>
      <w:r w:rsidRPr="00971739">
        <w:t>Competency field</w:t>
      </w:r>
    </w:p>
    <w:tbl>
      <w:tblPr>
        <w:tblW w:w="0" w:type="auto"/>
        <w:tblLayout w:type="fixed"/>
        <w:tblCellMar>
          <w:left w:w="62" w:type="dxa"/>
          <w:right w:w="62" w:type="dxa"/>
        </w:tblCellMar>
        <w:tblLook w:val="0000"/>
      </w:tblPr>
      <w:tblGrid>
        <w:gridCol w:w="2776"/>
        <w:gridCol w:w="5746"/>
      </w:tblGrid>
      <w:tr w:rsidTr="007715B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r w:rsidRPr="00971739">
              <w:t>Workforce Development - Workplace Relations</w:t>
            </w:r>
          </w:p>
        </w:tc>
      </w:tr>
    </w:tbl>
    <w:p w:rsidR="00000000" w:rsidRPr="00971739" w:rsidP="00971739">
      <w:pPr>
        <w:pStyle w:val="BodyText"/>
      </w:pPr>
    </w:p>
    <w:p w:rsidR="00000000" w:rsidRPr="00971739" w:rsidP="00971739">
      <w:pPr>
        <w:pStyle w:val="AllowPageBreak"/>
      </w:pPr>
    </w:p>
    <w:p w:rsidR="00000000" w:rsidRPr="00971739" w:rsidP="00971739">
      <w:pPr>
        <w:pStyle w:val="Heading1"/>
      </w:pPr>
      <w:bookmarkStart w:id="14" w:name="O_154662"/>
      <w:bookmarkEnd w:id="14"/>
      <w:r w:rsidRPr="00971739">
        <w:t>Co-requisite units</w:t>
      </w:r>
    </w:p>
    <w:tbl>
      <w:tblPr>
        <w:tblW w:w="0" w:type="auto"/>
        <w:tblLayout w:type="fixed"/>
        <w:tblCellMar>
          <w:left w:w="62" w:type="dxa"/>
          <w:right w:w="62" w:type="dxa"/>
        </w:tblCellMar>
        <w:tblLook w:val="0000"/>
      </w:tblPr>
      <w:tblGrid>
        <w:gridCol w:w="2641"/>
        <w:gridCol w:w="1322"/>
        <w:gridCol w:w="4559"/>
      </w:tblGrid>
      <w:tr w:rsidTr="007715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r w:rsidRPr="009717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p>
        </w:tc>
      </w:tr>
      <w:tr w:rsidTr="007715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739">
            <w:pPr>
              <w:pStyle w:val="BodyText"/>
              <w:rPr>
                <w:lang w:val="en-NZ"/>
              </w:rPr>
            </w:pPr>
          </w:p>
        </w:tc>
      </w:tr>
      <w:tr w:rsidTr="007715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739" w:rsidP="00971739">
            <w:pPr>
              <w:pStyle w:val="BodyText"/>
            </w:pPr>
          </w:p>
        </w:tc>
      </w:tr>
    </w:tbl>
    <w:p w:rsidR="00000000" w:rsidRPr="00971739" w:rsidP="00971739">
      <w:pPr>
        <w:pStyle w:val="BodyText"/>
      </w:pPr>
    </w:p>
    <w:p w:rsidR="00000000" w:rsidRPr="00971739" w:rsidP="00971739"/>
    <w:sectPr w:rsidSect="009717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5BE" w:rsidP="00771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BE" w:rsidP="00971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15BE" w:rsidP="009717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15BE" w:rsidP="009717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5BE" w:rsidP="007715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BE" w:rsidP="00971739">
    <w:pPr>
      <w:pStyle w:val="Header"/>
      <w:framePr w:wrap="around"/>
    </w:pPr>
    <w:r>
      <w:fldChar w:fldCharType="begin"/>
    </w:r>
    <w:r>
      <w:instrText xml:space="preserve"> TITLE   \* MERGEFORMAT </w:instrText>
    </w:r>
    <w:r>
      <w:fldChar w:fldCharType="separate"/>
    </w:r>
    <w:r>
      <w:t>BSBWRK504A Advocate and present cases for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15BE" w:rsidP="009717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942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262F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7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739"/>
    <w:pPr>
      <w:spacing w:before="360" w:after="60"/>
      <w:outlineLvl w:val="0"/>
    </w:pPr>
    <w:rPr>
      <w:sz w:val="32"/>
    </w:rPr>
  </w:style>
  <w:style w:type="paragraph" w:styleId="Heading2">
    <w:name w:val="heading 2"/>
    <w:basedOn w:val="HeadingBase"/>
    <w:next w:val="BodyText"/>
    <w:link w:val="Heading2Char"/>
    <w:qFormat/>
    <w:rsid w:val="00971739"/>
    <w:pPr>
      <w:keepLines/>
      <w:spacing w:before="240" w:after="120"/>
      <w:outlineLvl w:val="1"/>
    </w:pPr>
    <w:rPr>
      <w:sz w:val="28"/>
      <w:szCs w:val="40"/>
    </w:rPr>
  </w:style>
  <w:style w:type="paragraph" w:styleId="Heading3">
    <w:name w:val="heading 3"/>
    <w:basedOn w:val="HeadingBase"/>
    <w:next w:val="BodyText"/>
    <w:link w:val="Heading3Char"/>
    <w:qFormat/>
    <w:rsid w:val="00971739"/>
    <w:pPr>
      <w:spacing w:before="180" w:after="120"/>
      <w:outlineLvl w:val="2"/>
    </w:pPr>
    <w:rPr>
      <w:spacing w:val="-10"/>
      <w:kern w:val="32"/>
    </w:rPr>
  </w:style>
  <w:style w:type="paragraph" w:styleId="Heading4">
    <w:name w:val="heading 4"/>
    <w:basedOn w:val="HeadingBase"/>
    <w:next w:val="BodyText"/>
    <w:link w:val="Heading4Char"/>
    <w:qFormat/>
    <w:rsid w:val="00971739"/>
    <w:pPr>
      <w:spacing w:before="160" w:after="120"/>
      <w:outlineLvl w:val="3"/>
    </w:pPr>
    <w:rPr>
      <w:sz w:val="22"/>
    </w:rPr>
  </w:style>
  <w:style w:type="paragraph" w:styleId="Heading5">
    <w:name w:val="heading 5"/>
    <w:basedOn w:val="HeadingBase"/>
    <w:next w:val="Normal"/>
    <w:link w:val="Heading5Char"/>
    <w:qFormat/>
    <w:rsid w:val="00971739"/>
    <w:pPr>
      <w:spacing w:before="80"/>
      <w:outlineLvl w:val="4"/>
    </w:pPr>
    <w:rPr>
      <w:color w:val="918585"/>
      <w:sz w:val="20"/>
    </w:rPr>
  </w:style>
  <w:style w:type="paragraph" w:styleId="Heading6">
    <w:name w:val="heading 6"/>
    <w:basedOn w:val="HeadingBase"/>
    <w:next w:val="Normal"/>
    <w:link w:val="Heading6Char"/>
    <w:qFormat/>
    <w:rsid w:val="00971739"/>
    <w:pPr>
      <w:spacing w:before="60"/>
      <w:outlineLvl w:val="5"/>
    </w:pPr>
    <w:rPr>
      <w:color w:val="918585"/>
      <w:sz w:val="20"/>
    </w:rPr>
  </w:style>
  <w:style w:type="paragraph" w:styleId="Heading7">
    <w:name w:val="heading 7"/>
    <w:basedOn w:val="Normal"/>
    <w:next w:val="Normal"/>
    <w:link w:val="Heading7Char"/>
    <w:qFormat/>
    <w:rsid w:val="00971739"/>
    <w:pPr>
      <w:ind w:left="720"/>
      <w:outlineLvl w:val="6"/>
    </w:pPr>
    <w:rPr>
      <w:i/>
    </w:rPr>
  </w:style>
  <w:style w:type="paragraph" w:styleId="Heading8">
    <w:name w:val="heading 8"/>
    <w:basedOn w:val="Normal"/>
    <w:next w:val="Normal"/>
    <w:link w:val="Heading8Char"/>
    <w:qFormat/>
    <w:rsid w:val="00971739"/>
    <w:pPr>
      <w:ind w:left="720"/>
      <w:outlineLvl w:val="7"/>
    </w:pPr>
    <w:rPr>
      <w:i/>
    </w:rPr>
  </w:style>
  <w:style w:type="paragraph" w:styleId="Heading9">
    <w:name w:val="heading 9"/>
    <w:basedOn w:val="Normal"/>
    <w:next w:val="Normal"/>
    <w:link w:val="Heading9Char"/>
    <w:qFormat/>
    <w:rsid w:val="00971739"/>
    <w:pPr>
      <w:ind w:left="720"/>
      <w:outlineLvl w:val="8"/>
    </w:pPr>
    <w:rPr>
      <w:i/>
    </w:rPr>
  </w:style>
  <w:style w:type="character" w:default="1" w:styleId="DefaultParagraphFont">
    <w:name w:val="Default Paragraph Font"/>
    <w:uiPriority w:val="1"/>
    <w:unhideWhenUsed/>
    <w:rsid w:val="00971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739"/>
  </w:style>
  <w:style w:type="character" w:customStyle="1" w:styleId="Heading1Char">
    <w:name w:val="Heading 1 Char"/>
    <w:basedOn w:val="DefaultParagraphFont"/>
    <w:link w:val="Heading1"/>
    <w:rsid w:val="00971739"/>
    <w:rPr>
      <w:rFonts w:ascii="Times New Roman" w:eastAsia="Times New Roman" w:hAnsi="Times New Roman" w:cs="Times New Roman"/>
      <w:b/>
      <w:sz w:val="32"/>
      <w:szCs w:val="20"/>
      <w:lang w:eastAsia="en-US"/>
    </w:rPr>
  </w:style>
  <w:style w:type="paragraph" w:styleId="BodyText">
    <w:name w:val="Body Text"/>
    <w:basedOn w:val="Normal"/>
    <w:link w:val="BodyTextChar"/>
    <w:rsid w:val="009717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739"/>
    <w:rPr>
      <w:rFonts w:ascii="Times New Roman" w:eastAsia="Times New Roman" w:hAnsi="Times New Roman" w:cs="Times New Roman"/>
      <w:sz w:val="24"/>
      <w:lang w:val="en-US" w:eastAsia="en-US"/>
    </w:rPr>
  </w:style>
  <w:style w:type="paragraph" w:styleId="Footer">
    <w:name w:val="footer"/>
    <w:basedOn w:val="Normal"/>
    <w:link w:val="FooterChar"/>
    <w:rsid w:val="00971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739"/>
    <w:rPr>
      <w:rFonts w:ascii="Times New Roman" w:eastAsia="Times New Roman" w:hAnsi="Times New Roman" w:cs="Times New Roman"/>
      <w:sz w:val="16"/>
      <w:lang w:val="en-US" w:eastAsia="en-US"/>
    </w:rPr>
  </w:style>
  <w:style w:type="paragraph" w:styleId="List">
    <w:name w:val="List"/>
    <w:basedOn w:val="BodyText"/>
    <w:next w:val="BodyText"/>
    <w:rsid w:val="00971739"/>
    <w:pPr>
      <w:tabs>
        <w:tab w:val="left" w:pos="340"/>
      </w:tabs>
      <w:spacing w:before="60" w:after="60"/>
      <w:ind w:left="340" w:hanging="340"/>
    </w:pPr>
  </w:style>
  <w:style w:type="paragraph" w:styleId="ListBullet">
    <w:name w:val="List Bullet"/>
    <w:basedOn w:val="List"/>
    <w:rsid w:val="00971739"/>
    <w:pPr>
      <w:numPr>
        <w:numId w:val="12"/>
      </w:numPr>
      <w:tabs>
        <w:tab w:val="clear" w:pos="340"/>
      </w:tabs>
      <w:spacing w:before="40" w:after="40"/>
    </w:pPr>
  </w:style>
  <w:style w:type="character" w:customStyle="1" w:styleId="SpecialBold">
    <w:name w:val="Special Bold"/>
    <w:basedOn w:val="DefaultParagraphFont"/>
    <w:rsid w:val="00971739"/>
    <w:rPr>
      <w:b/>
      <w:spacing w:val="0"/>
    </w:rPr>
  </w:style>
  <w:style w:type="paragraph" w:styleId="Header">
    <w:name w:val="header"/>
    <w:basedOn w:val="Normal"/>
    <w:link w:val="HeaderChar"/>
    <w:rsid w:val="00971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7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1739"/>
    <w:pPr>
      <w:spacing w:before="240" w:after="120"/>
      <w:outlineLvl w:val="0"/>
    </w:pPr>
    <w:rPr>
      <w:rFonts w:ascii="Times New Roman" w:hAnsi="Times New Roman"/>
      <w:b/>
      <w:sz w:val="28"/>
    </w:rPr>
  </w:style>
  <w:style w:type="paragraph" w:customStyle="1" w:styleId="AllowPageBreak">
    <w:name w:val="AllowPageBreak"/>
    <w:rsid w:val="009717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1739"/>
    <w:pPr>
      <w:tabs>
        <w:tab w:val="left" w:pos="680"/>
      </w:tabs>
      <w:spacing w:before="60" w:after="60"/>
      <w:ind w:left="680" w:hanging="340"/>
    </w:pPr>
  </w:style>
  <w:style w:type="character" w:customStyle="1" w:styleId="BoldandItalics">
    <w:name w:val="Bold and Italics"/>
    <w:qFormat/>
    <w:rsid w:val="00971739"/>
    <w:rPr>
      <w:b/>
      <w:i/>
      <w:u w:val="none"/>
    </w:rPr>
  </w:style>
  <w:style w:type="character" w:customStyle="1" w:styleId="Heading2Char">
    <w:name w:val="Heading 2 Char"/>
    <w:basedOn w:val="DefaultParagraphFont"/>
    <w:link w:val="Heading2"/>
    <w:rsid w:val="00971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7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7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739"/>
    <w:rPr>
      <w:rFonts w:ascii="Courier New" w:eastAsia="Times New Roman" w:hAnsi="Courier New" w:cs="Times New Roman"/>
      <w:i/>
      <w:szCs w:val="20"/>
      <w:lang w:val="en-US" w:eastAsia="en-US"/>
    </w:rPr>
  </w:style>
  <w:style w:type="paragraph" w:customStyle="1" w:styleId="HeadingBase">
    <w:name w:val="Heading Base"/>
    <w:rsid w:val="00971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739"/>
    <w:pPr>
      <w:tabs>
        <w:tab w:val="right" w:leader="dot" w:pos="9072"/>
      </w:tabs>
      <w:ind w:left="567"/>
    </w:pPr>
    <w:rPr>
      <w:szCs w:val="22"/>
    </w:rPr>
  </w:style>
  <w:style w:type="paragraph" w:customStyle="1" w:styleId="TOCBase">
    <w:name w:val="TOC Base"/>
    <w:rsid w:val="00971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739"/>
    <w:pPr>
      <w:tabs>
        <w:tab w:val="right" w:leader="dot" w:pos="9072"/>
      </w:tabs>
      <w:spacing w:before="40" w:after="40"/>
      <w:ind w:left="284"/>
    </w:pPr>
    <w:rPr>
      <w:rFonts w:ascii="Times New Roman" w:hAnsi="Times New Roman"/>
    </w:rPr>
  </w:style>
  <w:style w:type="paragraph" w:styleId="TOC1">
    <w:name w:val="toc 1"/>
    <w:basedOn w:val="TOCBase"/>
    <w:next w:val="Normal"/>
    <w:rsid w:val="009717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739"/>
    <w:pPr>
      <w:spacing w:before="5040"/>
      <w:jc w:val="center"/>
    </w:pPr>
    <w:rPr>
      <w:sz w:val="48"/>
      <w:szCs w:val="72"/>
      <w:lang w:val="en-US"/>
    </w:rPr>
  </w:style>
  <w:style w:type="character" w:customStyle="1" w:styleId="TitleChar">
    <w:name w:val="Title Char"/>
    <w:basedOn w:val="DefaultParagraphFont"/>
    <w:link w:val="Title"/>
    <w:rsid w:val="00971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739"/>
    <w:pPr>
      <w:tabs>
        <w:tab w:val="left" w:pos="3600"/>
        <w:tab w:val="left" w:pos="3958"/>
      </w:tabs>
    </w:pPr>
  </w:style>
  <w:style w:type="paragraph" w:customStyle="1" w:styleId="Note">
    <w:name w:val="Note"/>
    <w:basedOn w:val="BodyText"/>
    <w:rsid w:val="00971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739"/>
    <w:pPr>
      <w:framePr w:wrap="auto" w:hAnchor="text" w:y="6049"/>
    </w:pPr>
    <w:rPr>
      <w:color w:val="000000"/>
      <w:sz w:val="40"/>
    </w:rPr>
  </w:style>
  <w:style w:type="paragraph" w:customStyle="1" w:styleId="TOCTitle">
    <w:name w:val="TOCTitle"/>
    <w:basedOn w:val="Heading1"/>
    <w:rsid w:val="00971739"/>
    <w:pPr>
      <w:spacing w:after="240"/>
      <w:jc w:val="center"/>
      <w:outlineLvl w:val="9"/>
    </w:pPr>
    <w:rPr>
      <w:caps/>
    </w:rPr>
  </w:style>
  <w:style w:type="paragraph" w:customStyle="1" w:styleId="Version">
    <w:name w:val="Version"/>
    <w:rsid w:val="009717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739"/>
    <w:pPr>
      <w:numPr>
        <w:numId w:val="13"/>
      </w:numPr>
      <w:tabs>
        <w:tab w:val="clear" w:pos="680"/>
      </w:tabs>
    </w:pPr>
  </w:style>
  <w:style w:type="paragraph" w:styleId="Index1">
    <w:name w:val="index 1"/>
    <w:basedOn w:val="Normal"/>
    <w:next w:val="Normal"/>
    <w:semiHidden/>
    <w:rsid w:val="00971739"/>
    <w:pPr>
      <w:keepNext w:val="0"/>
      <w:tabs>
        <w:tab w:val="right" w:pos="4176"/>
      </w:tabs>
      <w:ind w:left="198" w:hanging="198"/>
    </w:pPr>
    <w:rPr>
      <w:rFonts w:ascii="Garamond" w:hAnsi="Garamond"/>
    </w:rPr>
  </w:style>
  <w:style w:type="paragraph" w:styleId="IndexHeading">
    <w:name w:val="index heading"/>
    <w:basedOn w:val="Normal"/>
    <w:next w:val="Index1"/>
    <w:semiHidden/>
    <w:rsid w:val="00971739"/>
    <w:pPr>
      <w:spacing w:before="120" w:after="120"/>
    </w:pPr>
    <w:rPr>
      <w:rFonts w:ascii="Arial" w:hAnsi="Arial"/>
      <w:b/>
      <w:color w:val="918585"/>
      <w:sz w:val="24"/>
    </w:rPr>
  </w:style>
  <w:style w:type="paragraph" w:customStyle="1" w:styleId="Chapter">
    <w:name w:val="Chapter"/>
    <w:basedOn w:val="Normal"/>
    <w:rsid w:val="00971739"/>
    <w:pPr>
      <w:spacing w:before="240"/>
    </w:pPr>
    <w:rPr>
      <w:rFonts w:ascii="Times New Roman" w:hAnsi="Times New Roman"/>
      <w:smallCaps/>
      <w:spacing w:val="80"/>
      <w:sz w:val="28"/>
    </w:rPr>
  </w:style>
  <w:style w:type="paragraph" w:customStyle="1" w:styleId="InChapter">
    <w:name w:val="InChapter"/>
    <w:basedOn w:val="Heading3"/>
    <w:rsid w:val="00971739"/>
    <w:pPr>
      <w:spacing w:after="240"/>
      <w:outlineLvl w:val="9"/>
    </w:pPr>
    <w:rPr>
      <w:noProof/>
    </w:rPr>
  </w:style>
  <w:style w:type="paragraph" w:styleId="Index2">
    <w:name w:val="index 2"/>
    <w:basedOn w:val="Normal"/>
    <w:next w:val="Normal"/>
    <w:semiHidden/>
    <w:rsid w:val="00971739"/>
    <w:pPr>
      <w:tabs>
        <w:tab w:val="right" w:pos="4176"/>
      </w:tabs>
      <w:ind w:left="568" w:hanging="284"/>
    </w:pPr>
    <w:rPr>
      <w:rFonts w:ascii="Garamond" w:hAnsi="Garamond"/>
    </w:rPr>
  </w:style>
  <w:style w:type="paragraph" w:customStyle="1" w:styleId="Byline">
    <w:name w:val="Byline"/>
    <w:rsid w:val="00971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739"/>
    <w:pPr>
      <w:tabs>
        <w:tab w:val="clear" w:pos="3600"/>
        <w:tab w:val="clear" w:pos="3958"/>
      </w:tabs>
      <w:jc w:val="right"/>
    </w:pPr>
  </w:style>
  <w:style w:type="character" w:styleId="Emphasis">
    <w:name w:val="Emphasis"/>
    <w:basedOn w:val="DefaultParagraphFont"/>
    <w:qFormat/>
    <w:rsid w:val="00971739"/>
    <w:rPr>
      <w:i/>
    </w:rPr>
  </w:style>
  <w:style w:type="paragraph" w:styleId="Caption">
    <w:name w:val="caption"/>
    <w:basedOn w:val="BodyText"/>
    <w:next w:val="Normal"/>
    <w:qFormat/>
    <w:rsid w:val="00971739"/>
    <w:pPr>
      <w:framePr w:w="2268" w:hSpace="181" w:vSpace="181" w:wrap="around" w:vAnchor="text" w:hAnchor="page" w:x="1135" w:y="285" w:anchorLock="1"/>
    </w:pPr>
    <w:rPr>
      <w:i/>
    </w:rPr>
  </w:style>
  <w:style w:type="paragraph" w:customStyle="1" w:styleId="MiniTOCTitle">
    <w:name w:val="MiniTOCTitle"/>
    <w:basedOn w:val="Heading4"/>
    <w:rsid w:val="00971739"/>
    <w:pPr>
      <w:spacing w:before="240"/>
      <w:outlineLvl w:val="9"/>
    </w:pPr>
    <w:rPr>
      <w:noProof/>
      <w:sz w:val="24"/>
    </w:rPr>
  </w:style>
  <w:style w:type="paragraph" w:customStyle="1" w:styleId="MiniTOCItem">
    <w:name w:val="MiniTOCItem"/>
    <w:basedOn w:val="ListBullet"/>
    <w:rsid w:val="00971739"/>
    <w:pPr>
      <w:numPr>
        <w:numId w:val="0"/>
      </w:numPr>
      <w:tabs>
        <w:tab w:val="right" w:leader="dot" w:pos="6521"/>
      </w:tabs>
      <w:spacing w:before="0" w:after="0"/>
    </w:pPr>
  </w:style>
  <w:style w:type="paragraph" w:customStyle="1" w:styleId="TOFTitle">
    <w:name w:val="TOFTitle"/>
    <w:basedOn w:val="TOCTitle"/>
    <w:rsid w:val="00971739"/>
  </w:style>
  <w:style w:type="paragraph" w:styleId="TableofFigures">
    <w:name w:val="table of figures"/>
    <w:basedOn w:val="Normal"/>
    <w:next w:val="Normal"/>
    <w:semiHidden/>
    <w:rsid w:val="00971739"/>
    <w:pPr>
      <w:tabs>
        <w:tab w:val="right" w:leader="dot" w:pos="9072"/>
      </w:tabs>
      <w:ind w:left="970" w:hanging="403"/>
    </w:pPr>
    <w:rPr>
      <w:rFonts w:ascii="Times New Roman" w:hAnsi="Times New Roman"/>
      <w:b/>
    </w:rPr>
  </w:style>
  <w:style w:type="paragraph" w:styleId="ListNumber">
    <w:name w:val="List Number"/>
    <w:basedOn w:val="List"/>
    <w:rsid w:val="00971739"/>
    <w:pPr>
      <w:numPr>
        <w:numId w:val="10"/>
      </w:numPr>
    </w:pPr>
  </w:style>
  <w:style w:type="character" w:customStyle="1" w:styleId="WingdingSymbols">
    <w:name w:val="Wingding Symbols"/>
    <w:rsid w:val="00971739"/>
    <w:rPr>
      <w:rFonts w:ascii="Wingdings" w:hAnsi="Wingdings"/>
    </w:rPr>
  </w:style>
  <w:style w:type="paragraph" w:customStyle="1" w:styleId="TableHeading">
    <w:name w:val="Table Heading"/>
    <w:basedOn w:val="HeadingBase"/>
    <w:rsid w:val="00971739"/>
    <w:pPr>
      <w:keepLines/>
      <w:pBdr>
        <w:bottom w:val="single" w:sz="6" w:space="1" w:color="918585"/>
      </w:pBdr>
      <w:spacing w:before="240"/>
    </w:pPr>
  </w:style>
  <w:style w:type="character" w:customStyle="1" w:styleId="HotSpot">
    <w:name w:val="HotSpot"/>
    <w:rsid w:val="00971739"/>
    <w:rPr>
      <w:color w:val="0033CC"/>
      <w:u w:val="none"/>
    </w:rPr>
  </w:style>
  <w:style w:type="paragraph" w:customStyle="1" w:styleId="BodyTextRight">
    <w:name w:val="Body Text Right"/>
    <w:basedOn w:val="BodyText"/>
    <w:rsid w:val="00971739"/>
    <w:pPr>
      <w:spacing w:before="0" w:after="0"/>
      <w:jc w:val="right"/>
    </w:pPr>
  </w:style>
  <w:style w:type="paragraph" w:styleId="Index3">
    <w:name w:val="index 3"/>
    <w:basedOn w:val="ListNumber2"/>
    <w:next w:val="Normal"/>
    <w:semiHidden/>
    <w:rsid w:val="00971739"/>
    <w:pPr>
      <w:numPr>
        <w:numId w:val="0"/>
      </w:numPr>
      <w:tabs>
        <w:tab w:val="right" w:leader="dot" w:pos="4176"/>
      </w:tabs>
    </w:pPr>
  </w:style>
  <w:style w:type="paragraph" w:styleId="ListNumber2">
    <w:name w:val="List Number 2"/>
    <w:basedOn w:val="List2"/>
    <w:rsid w:val="00971739"/>
    <w:pPr>
      <w:numPr>
        <w:numId w:val="9"/>
      </w:numPr>
      <w:tabs>
        <w:tab w:val="clear" w:pos="1060"/>
      </w:tabs>
    </w:pPr>
  </w:style>
  <w:style w:type="paragraph" w:customStyle="1" w:styleId="MarginNote">
    <w:name w:val="Margin Note"/>
    <w:basedOn w:val="BodyText"/>
    <w:rsid w:val="00971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7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739"/>
    <w:rPr>
      <w:sz w:val="32"/>
    </w:rPr>
  </w:style>
  <w:style w:type="paragraph" w:customStyle="1" w:styleId="HeadingProcedure">
    <w:name w:val="Heading Procedure"/>
    <w:basedOn w:val="HeadingBase"/>
    <w:next w:val="Normal"/>
    <w:rsid w:val="00971739"/>
    <w:pPr>
      <w:tabs>
        <w:tab w:val="left" w:pos="0"/>
      </w:tabs>
      <w:spacing w:before="120" w:after="60"/>
    </w:pPr>
    <w:rPr>
      <w:i/>
      <w:color w:val="918585"/>
      <w:sz w:val="22"/>
    </w:rPr>
  </w:style>
  <w:style w:type="paragraph" w:customStyle="1" w:styleId="TableBodyText">
    <w:name w:val="Table Body Text"/>
    <w:basedOn w:val="BodyText"/>
    <w:rsid w:val="00971739"/>
    <w:pPr>
      <w:spacing w:before="60" w:after="60"/>
    </w:pPr>
  </w:style>
  <w:style w:type="paragraph" w:styleId="ListContinue">
    <w:name w:val="List Continue"/>
    <w:basedOn w:val="List"/>
    <w:rsid w:val="00971739"/>
    <w:pPr>
      <w:ind w:firstLine="0"/>
    </w:pPr>
  </w:style>
  <w:style w:type="paragraph" w:customStyle="1" w:styleId="ListNote">
    <w:name w:val="List Note"/>
    <w:basedOn w:val="List"/>
    <w:rsid w:val="00971739"/>
    <w:pPr>
      <w:pBdr>
        <w:top w:val="single" w:sz="6" w:space="2" w:color="918585"/>
        <w:bottom w:val="single" w:sz="6" w:space="2" w:color="918585"/>
      </w:pBdr>
      <w:tabs>
        <w:tab w:val="left" w:pos="1021"/>
      </w:tabs>
      <w:ind w:firstLine="0"/>
    </w:pPr>
  </w:style>
  <w:style w:type="paragraph" w:customStyle="1" w:styleId="Warning">
    <w:name w:val="Warning"/>
    <w:basedOn w:val="BodyText"/>
    <w:rsid w:val="00971739"/>
    <w:pPr>
      <w:shd w:val="clear" w:color="auto" w:fill="D9D9D9"/>
      <w:tabs>
        <w:tab w:val="left" w:pos="992"/>
      </w:tabs>
      <w:ind w:left="119" w:right="119"/>
    </w:pPr>
    <w:rPr>
      <w:sz w:val="20"/>
    </w:rPr>
  </w:style>
  <w:style w:type="paragraph" w:customStyle="1" w:styleId="MarginIcons">
    <w:name w:val="Margin Icons"/>
    <w:basedOn w:val="BodyText"/>
    <w:rsid w:val="00971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739"/>
    <w:rPr>
      <w:rFonts w:ascii="Courier New" w:hAnsi="Courier New"/>
    </w:rPr>
  </w:style>
  <w:style w:type="paragraph" w:customStyle="1" w:styleId="NoteBullet">
    <w:name w:val="Note Bullet"/>
    <w:basedOn w:val="Note"/>
    <w:rsid w:val="00971739"/>
    <w:pPr>
      <w:tabs>
        <w:tab w:val="clear" w:pos="680"/>
      </w:tabs>
      <w:spacing w:before="60" w:after="60"/>
    </w:pPr>
  </w:style>
  <w:style w:type="paragraph" w:customStyle="1" w:styleId="SubHeading2">
    <w:name w:val="SubHeading2"/>
    <w:basedOn w:val="HeadingBase"/>
    <w:rsid w:val="00971739"/>
    <w:pPr>
      <w:spacing w:before="240" w:after="60"/>
    </w:pPr>
    <w:rPr>
      <w:sz w:val="20"/>
    </w:rPr>
  </w:style>
  <w:style w:type="paragraph" w:customStyle="1" w:styleId="SubHeading1">
    <w:name w:val="SubHeading1"/>
    <w:basedOn w:val="HeadingBase"/>
    <w:rsid w:val="00971739"/>
    <w:pPr>
      <w:spacing w:before="240" w:after="60"/>
    </w:pPr>
    <w:rPr>
      <w:color w:val="918585"/>
      <w:sz w:val="22"/>
    </w:rPr>
  </w:style>
  <w:style w:type="paragraph" w:customStyle="1" w:styleId="SideHeading">
    <w:name w:val="Side Heading"/>
    <w:basedOn w:val="HeadingBase"/>
    <w:rsid w:val="00971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739"/>
    <w:pPr>
      <w:tabs>
        <w:tab w:val="num" w:pos="360"/>
      </w:tabs>
    </w:pPr>
  </w:style>
  <w:style w:type="paragraph" w:styleId="PlainText">
    <w:name w:val="Plain Text"/>
    <w:basedOn w:val="Normal"/>
    <w:link w:val="PlainTextChar"/>
    <w:rsid w:val="00971739"/>
    <w:rPr>
      <w:sz w:val="20"/>
    </w:rPr>
  </w:style>
  <w:style w:type="character" w:customStyle="1" w:styleId="PlainTextChar">
    <w:name w:val="Plain Text Char"/>
    <w:basedOn w:val="DefaultParagraphFont"/>
    <w:link w:val="PlainText"/>
    <w:rsid w:val="009717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739"/>
    <w:rPr>
      <w:b/>
      <w:smallCaps/>
    </w:rPr>
  </w:style>
  <w:style w:type="paragraph" w:customStyle="1" w:styleId="TableListNumber">
    <w:name w:val="Table List Number"/>
    <w:basedOn w:val="ListNumber"/>
    <w:rsid w:val="00971739"/>
    <w:pPr>
      <w:numPr>
        <w:numId w:val="0"/>
      </w:numPr>
    </w:pPr>
  </w:style>
  <w:style w:type="paragraph" w:styleId="TOC4">
    <w:name w:val="toc 4"/>
    <w:basedOn w:val="TOCBase"/>
    <w:next w:val="Normal"/>
    <w:semiHidden/>
    <w:rsid w:val="00971739"/>
    <w:pPr>
      <w:tabs>
        <w:tab w:val="right" w:leader="dot" w:pos="9071"/>
      </w:tabs>
      <w:ind w:left="1701"/>
    </w:pPr>
  </w:style>
  <w:style w:type="paragraph" w:customStyle="1" w:styleId="ListAlpha">
    <w:name w:val="List Alpha"/>
    <w:basedOn w:val="List"/>
    <w:rsid w:val="00971739"/>
    <w:pPr>
      <w:numPr>
        <w:numId w:val="8"/>
      </w:numPr>
    </w:pPr>
  </w:style>
  <w:style w:type="paragraph" w:customStyle="1" w:styleId="ListAlpha2">
    <w:name w:val="List Alpha 2"/>
    <w:basedOn w:val="List2"/>
    <w:rsid w:val="00971739"/>
    <w:pPr>
      <w:numPr>
        <w:numId w:val="7"/>
      </w:numPr>
    </w:pPr>
  </w:style>
  <w:style w:type="paragraph" w:styleId="List3">
    <w:name w:val="List 3"/>
    <w:basedOn w:val="BodyText"/>
    <w:rsid w:val="00971739"/>
    <w:pPr>
      <w:tabs>
        <w:tab w:val="left" w:pos="1021"/>
      </w:tabs>
      <w:spacing w:before="60" w:after="60"/>
      <w:ind w:left="1020" w:hanging="340"/>
    </w:pPr>
  </w:style>
  <w:style w:type="paragraph" w:styleId="List4">
    <w:name w:val="List 4"/>
    <w:basedOn w:val="BodyText"/>
    <w:rsid w:val="00971739"/>
    <w:pPr>
      <w:tabs>
        <w:tab w:val="left" w:pos="1361"/>
      </w:tabs>
      <w:spacing w:before="60" w:after="60"/>
      <w:ind w:left="1361" w:hanging="340"/>
    </w:pPr>
  </w:style>
  <w:style w:type="paragraph" w:styleId="List5">
    <w:name w:val="List 5"/>
    <w:basedOn w:val="BodyText"/>
    <w:rsid w:val="00971739"/>
    <w:pPr>
      <w:tabs>
        <w:tab w:val="left" w:pos="1701"/>
      </w:tabs>
      <w:spacing w:before="60" w:after="60"/>
      <w:ind w:left="1701" w:hanging="340"/>
    </w:pPr>
  </w:style>
  <w:style w:type="paragraph" w:styleId="ListBullet3">
    <w:name w:val="List Bullet 3"/>
    <w:basedOn w:val="List3"/>
    <w:rsid w:val="00971739"/>
    <w:pPr>
      <w:numPr>
        <w:numId w:val="14"/>
      </w:numPr>
      <w:tabs>
        <w:tab w:val="clear" w:pos="1021"/>
      </w:tabs>
      <w:ind w:left="1037" w:hanging="357"/>
    </w:pPr>
  </w:style>
  <w:style w:type="paragraph" w:styleId="ListBullet4">
    <w:name w:val="List Bullet 4"/>
    <w:basedOn w:val="List4"/>
    <w:rsid w:val="00971739"/>
    <w:pPr>
      <w:numPr>
        <w:numId w:val="2"/>
      </w:numPr>
    </w:pPr>
  </w:style>
  <w:style w:type="paragraph" w:styleId="ListBullet5">
    <w:name w:val="List Bullet 5"/>
    <w:basedOn w:val="List5"/>
    <w:rsid w:val="00971739"/>
    <w:pPr>
      <w:numPr>
        <w:numId w:val="3"/>
      </w:numPr>
    </w:pPr>
  </w:style>
  <w:style w:type="paragraph" w:styleId="ListContinue2">
    <w:name w:val="List Continue 2"/>
    <w:basedOn w:val="List2"/>
    <w:rsid w:val="00971739"/>
    <w:pPr>
      <w:ind w:firstLine="0"/>
    </w:pPr>
  </w:style>
  <w:style w:type="paragraph" w:styleId="ListContinue3">
    <w:name w:val="List Continue 3"/>
    <w:basedOn w:val="List3"/>
    <w:rsid w:val="00971739"/>
    <w:pPr>
      <w:ind w:left="1021" w:firstLine="0"/>
    </w:pPr>
  </w:style>
  <w:style w:type="paragraph" w:styleId="ListContinue4">
    <w:name w:val="List Continue 4"/>
    <w:basedOn w:val="List4"/>
    <w:rsid w:val="00971739"/>
    <w:pPr>
      <w:ind w:firstLine="0"/>
    </w:pPr>
  </w:style>
  <w:style w:type="paragraph" w:styleId="ListContinue5">
    <w:name w:val="List Continue 5"/>
    <w:basedOn w:val="List5"/>
    <w:rsid w:val="00971739"/>
    <w:pPr>
      <w:ind w:firstLine="0"/>
    </w:pPr>
  </w:style>
  <w:style w:type="paragraph" w:styleId="ListNumber3">
    <w:name w:val="List Number 3"/>
    <w:basedOn w:val="List3"/>
    <w:rsid w:val="00971739"/>
    <w:pPr>
      <w:numPr>
        <w:numId w:val="4"/>
      </w:numPr>
    </w:pPr>
  </w:style>
  <w:style w:type="paragraph" w:styleId="ListNumber4">
    <w:name w:val="List Number 4"/>
    <w:basedOn w:val="List4"/>
    <w:rsid w:val="00971739"/>
    <w:pPr>
      <w:numPr>
        <w:numId w:val="5"/>
      </w:numPr>
    </w:pPr>
  </w:style>
  <w:style w:type="paragraph" w:styleId="ListNumber5">
    <w:name w:val="List Number 5"/>
    <w:basedOn w:val="List5"/>
    <w:rsid w:val="00971739"/>
    <w:pPr>
      <w:numPr>
        <w:numId w:val="6"/>
      </w:numPr>
    </w:pPr>
  </w:style>
  <w:style w:type="paragraph" w:styleId="BlockText">
    <w:name w:val="Block Text"/>
    <w:basedOn w:val="Normal"/>
    <w:rsid w:val="00971739"/>
    <w:pPr>
      <w:spacing w:after="120"/>
      <w:ind w:left="1440" w:right="1440"/>
    </w:pPr>
  </w:style>
  <w:style w:type="character" w:customStyle="1" w:styleId="Subscript">
    <w:name w:val="Subscript"/>
    <w:basedOn w:val="DefaultParagraphFont"/>
    <w:rsid w:val="00971739"/>
    <w:rPr>
      <w:sz w:val="16"/>
      <w:vertAlign w:val="subscript"/>
    </w:rPr>
  </w:style>
  <w:style w:type="character" w:customStyle="1" w:styleId="Superscript">
    <w:name w:val="Superscript"/>
    <w:basedOn w:val="DefaultParagraphFont"/>
    <w:rsid w:val="00971739"/>
    <w:rPr>
      <w:sz w:val="16"/>
      <w:vertAlign w:val="superscript"/>
    </w:rPr>
  </w:style>
  <w:style w:type="character" w:customStyle="1" w:styleId="Symbols">
    <w:name w:val="Symbols"/>
    <w:basedOn w:val="DefaultParagraphFont"/>
    <w:rsid w:val="00971739"/>
    <w:rPr>
      <w:rFonts w:ascii="Symbol" w:hAnsi="Symbol"/>
    </w:rPr>
  </w:style>
  <w:style w:type="character" w:customStyle="1" w:styleId="MenuOptions">
    <w:name w:val="Menu Options"/>
    <w:basedOn w:val="DefaultParagraphFont"/>
    <w:rsid w:val="00971739"/>
    <w:rPr>
      <w:rFonts w:ascii="Arial Narrow" w:hAnsi="Arial Narrow"/>
      <w:smallCaps/>
    </w:rPr>
  </w:style>
  <w:style w:type="character" w:customStyle="1" w:styleId="Buttons">
    <w:name w:val="Buttons"/>
    <w:basedOn w:val="DefaultParagraphFont"/>
    <w:rsid w:val="00971739"/>
    <w:rPr>
      <w:b/>
    </w:rPr>
  </w:style>
  <w:style w:type="character" w:customStyle="1" w:styleId="Underlined">
    <w:name w:val="Underlined"/>
    <w:basedOn w:val="DefaultParagraphFont"/>
    <w:rsid w:val="00971739"/>
    <w:rPr>
      <w:u w:val="single"/>
    </w:rPr>
  </w:style>
  <w:style w:type="paragraph" w:customStyle="1" w:styleId="TableBodyTextRight">
    <w:name w:val="Table Body Text Right"/>
    <w:basedOn w:val="TableBodyText"/>
    <w:rsid w:val="00971739"/>
    <w:pPr>
      <w:widowControl w:val="0"/>
      <w:autoSpaceDE w:val="0"/>
      <w:autoSpaceDN w:val="0"/>
      <w:adjustRightInd w:val="0"/>
      <w:jc w:val="right"/>
    </w:pPr>
    <w:rPr>
      <w:rFonts w:cs="Arial"/>
      <w:szCs w:val="18"/>
    </w:rPr>
  </w:style>
  <w:style w:type="paragraph" w:customStyle="1" w:styleId="CopyrightText">
    <w:name w:val="Copyright Text"/>
    <w:basedOn w:val="BodyText"/>
    <w:rsid w:val="00971739"/>
    <w:rPr>
      <w:sz w:val="18"/>
    </w:rPr>
  </w:style>
  <w:style w:type="paragraph" w:customStyle="1" w:styleId="BodySmallRight">
    <w:name w:val="Body Small Right"/>
    <w:basedOn w:val="BodyTextRight"/>
    <w:rsid w:val="00971739"/>
    <w:rPr>
      <w:sz w:val="18"/>
      <w:szCs w:val="18"/>
    </w:rPr>
  </w:style>
  <w:style w:type="paragraph" w:customStyle="1" w:styleId="MarginEdition">
    <w:name w:val="Margin Edition"/>
    <w:basedOn w:val="MarginNote"/>
    <w:rsid w:val="00971739"/>
    <w:pPr>
      <w:spacing w:before="0" w:after="0"/>
    </w:pPr>
    <w:rPr>
      <w:rFonts w:ascii="Times New Roman" w:hAnsi="Times New Roman"/>
      <w:color w:val="999999"/>
    </w:rPr>
  </w:style>
  <w:style w:type="paragraph" w:customStyle="1" w:styleId="Spacer">
    <w:name w:val="Spacer"/>
    <w:basedOn w:val="Normal"/>
    <w:rsid w:val="00971739"/>
    <w:rPr>
      <w:sz w:val="2"/>
      <w:szCs w:val="2"/>
    </w:rPr>
  </w:style>
  <w:style w:type="character" w:customStyle="1" w:styleId="Small">
    <w:name w:val="Small"/>
    <w:basedOn w:val="DefaultParagraphFont"/>
    <w:rsid w:val="00971739"/>
    <w:rPr>
      <w:sz w:val="16"/>
    </w:rPr>
  </w:style>
  <w:style w:type="paragraph" w:customStyle="1" w:styleId="WideTable">
    <w:name w:val="Wide Table"/>
    <w:basedOn w:val="Normal"/>
    <w:rsid w:val="00971739"/>
    <w:pPr>
      <w:ind w:left="-1418"/>
    </w:pPr>
    <w:rPr>
      <w:sz w:val="2"/>
      <w:szCs w:val="2"/>
    </w:rPr>
  </w:style>
  <w:style w:type="character" w:styleId="PageNumber">
    <w:name w:val="page number"/>
    <w:basedOn w:val="DefaultParagraphFont"/>
    <w:rsid w:val="00971739"/>
  </w:style>
  <w:style w:type="paragraph" w:styleId="Quote">
    <w:name w:val="Quote"/>
    <w:basedOn w:val="Heading1"/>
    <w:link w:val="QuoteChar"/>
    <w:qFormat/>
    <w:rsid w:val="00971739"/>
    <w:rPr>
      <w:b w:val="0"/>
      <w:sz w:val="72"/>
      <w:szCs w:val="72"/>
      <w:lang w:val="en-NZ"/>
    </w:rPr>
  </w:style>
  <w:style w:type="character" w:customStyle="1" w:styleId="QuoteChar">
    <w:name w:val="Quote Char"/>
    <w:basedOn w:val="DefaultParagraphFont"/>
    <w:link w:val="Quote"/>
    <w:rsid w:val="00971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739"/>
    <w:pPr>
      <w:pageBreakBefore/>
    </w:pPr>
  </w:style>
  <w:style w:type="paragraph" w:customStyle="1" w:styleId="Border">
    <w:name w:val="Border"/>
    <w:basedOn w:val="Normal"/>
    <w:qFormat/>
    <w:rsid w:val="00971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739"/>
    <w:rPr>
      <w:b/>
      <w:bCs/>
      <w:i/>
      <w:iCs/>
      <w:color w:val="auto"/>
    </w:rPr>
  </w:style>
  <w:style w:type="paragraph" w:styleId="IntenseQuote">
    <w:name w:val="Intense Quote"/>
    <w:basedOn w:val="Normal"/>
    <w:next w:val="Normal"/>
    <w:link w:val="IntenseQuoteChar"/>
    <w:uiPriority w:val="30"/>
    <w:qFormat/>
    <w:rsid w:val="00971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7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739"/>
    <w:rPr>
      <w:smallCaps/>
      <w:color w:val="auto"/>
      <w:u w:val="single"/>
    </w:rPr>
  </w:style>
  <w:style w:type="character" w:styleId="IntenseReference">
    <w:name w:val="Intense Reference"/>
    <w:basedOn w:val="DefaultParagraphFont"/>
    <w:uiPriority w:val="32"/>
    <w:qFormat/>
    <w:rsid w:val="00971739"/>
    <w:rPr>
      <w:b/>
      <w:bCs/>
      <w:smallCaps/>
      <w:color w:val="auto"/>
      <w:spacing w:val="5"/>
      <w:u w:val="single"/>
    </w:rPr>
  </w:style>
  <w:style w:type="paragraph" w:customStyle="1" w:styleId="2ColumnHeading">
    <w:name w:val="2Column Heading"/>
    <w:basedOn w:val="BodyText"/>
    <w:qFormat/>
    <w:rsid w:val="00971739"/>
    <w:pPr>
      <w:spacing w:after="60"/>
      <w:ind w:left="-2268"/>
    </w:pPr>
    <w:rPr>
      <w:b/>
    </w:rPr>
  </w:style>
  <w:style w:type="paragraph" w:customStyle="1" w:styleId="Heading1TOC">
    <w:name w:val="Heading1 TOC"/>
    <w:basedOn w:val="Normal"/>
    <w:qFormat/>
    <w:rsid w:val="00971739"/>
    <w:pPr>
      <w:spacing w:before="240" w:after="120"/>
    </w:pPr>
    <w:rPr>
      <w:rFonts w:ascii="Times New Roman" w:hAnsi="Times New Roman"/>
      <w:b/>
      <w:sz w:val="32"/>
    </w:rPr>
  </w:style>
  <w:style w:type="paragraph" w:customStyle="1" w:styleId="Heading2TOC">
    <w:name w:val="Heading2 TOC"/>
    <w:basedOn w:val="Normal"/>
    <w:qFormat/>
    <w:rsid w:val="00971739"/>
    <w:pPr>
      <w:spacing w:before="240" w:after="60"/>
    </w:pPr>
    <w:rPr>
      <w:rFonts w:ascii="Times New Roman" w:hAnsi="Times New Roman"/>
      <w:b/>
      <w:sz w:val="28"/>
    </w:rPr>
  </w:style>
  <w:style w:type="character" w:customStyle="1" w:styleId="Underline">
    <w:name w:val="Underline"/>
    <w:basedOn w:val="DefaultParagraphFont"/>
    <w:qFormat/>
    <w:rsid w:val="00971739"/>
    <w:rPr>
      <w:u w:val="single"/>
    </w:rPr>
  </w:style>
  <w:style w:type="paragraph" w:styleId="BalloonText">
    <w:name w:val="Balloon Text"/>
    <w:basedOn w:val="Normal"/>
    <w:link w:val="BalloonTextChar"/>
    <w:rsid w:val="00971739"/>
    <w:rPr>
      <w:rFonts w:ascii="Tahoma" w:hAnsi="Tahoma" w:cs="Tahoma"/>
      <w:sz w:val="16"/>
      <w:szCs w:val="16"/>
    </w:rPr>
  </w:style>
  <w:style w:type="character" w:customStyle="1" w:styleId="BalloonTextChar">
    <w:name w:val="Balloon Text Char"/>
    <w:basedOn w:val="DefaultParagraphFont"/>
    <w:link w:val="BalloonText"/>
    <w:rsid w:val="009717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7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7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959</Words>
  <Characters>6046</Characters>
  <Application>Microsoft Office Word</Application>
  <DocSecurity>0</DocSecurity>
  <Lines>234</Lines>
  <Paragraphs>114</Paragraphs>
  <ScaleCrop>false</ScaleCrop>
  <Company>Author-it Software Corporation Ltd.</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BSBWRK504A Advocate and present cases for members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2012-05-26T14:19:00Z</dcterms:created>
  <dcterms:modified xsi:type="dcterms:W3CDTF">2012-05-26T14:19:00Z</dcterms:modified>
</cp:coreProperties>
</file>