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462FF" w:rsidP="006462FF">
      <w:pPr>
        <w:pStyle w:val="Title"/>
      </w:pPr>
      <w:r>
        <w:fldChar w:fldCharType="begin"/>
      </w:r>
      <w:r>
        <w:instrText xml:space="preserve"> TITLE   \* MERGEFORMAT </w:instrText>
      </w:r>
      <w:r>
        <w:fldChar w:fldCharType="separate"/>
      </w:r>
      <w:r>
        <w:t>BSBWHS607A Apply ergonomics to manage WHS hazards and risks</w:t>
      </w:r>
      <w:r>
        <w:fldChar w:fldCharType="end"/>
      </w:r>
    </w:p>
    <w:p w:rsidR="006462FF" w:rsidP="006462FF">
      <w:pPr>
        <w:pStyle w:val="Version"/>
        <w:sectPr w:rsidSect="00E3058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3058C" w:rsidP="00E3058C">
      <w:pPr>
        <w:pStyle w:val="SuperHeading"/>
      </w:pPr>
      <w:r w:rsidRPr="00E3058C">
        <w:t>BSBWHS607A Apply ergonomics to manage WHS hazards and risks</w:t>
      </w:r>
    </w:p>
    <w:p w:rsidR="00000000" w:rsidRPr="00E3058C" w:rsidP="00E3058C">
      <w:pPr>
        <w:pStyle w:val="Heading1"/>
      </w:pPr>
      <w:bookmarkStart w:id="1" w:name="O_511294"/>
      <w:bookmarkEnd w:id="1"/>
      <w:r w:rsidRPr="00E3058C">
        <w:t>Modification History</w:t>
      </w:r>
    </w:p>
    <w:tbl>
      <w:tblPr>
        <w:tblW w:w="0" w:type="auto"/>
        <w:tblLayout w:type="fixed"/>
        <w:tblCellMar>
          <w:left w:w="62" w:type="dxa"/>
          <w:right w:w="62" w:type="dxa"/>
        </w:tblCellMar>
        <w:tblLook w:val="0000"/>
      </w:tblPr>
      <w:tblGrid>
        <w:gridCol w:w="3153"/>
        <w:gridCol w:w="5757"/>
      </w:tblGrid>
      <w:tr w:rsidTr="00E3058C">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058C" w:rsidP="00E3058C">
            <w:pPr>
              <w:pStyle w:val="BodyText"/>
            </w:pPr>
            <w:r w:rsidRPr="00E3058C">
              <w:rPr>
                <w:rStyle w:val="SpecialBold"/>
              </w:rPr>
              <w:t>Release</w:t>
            </w:r>
          </w:p>
        </w:tc>
        <w:tc>
          <w:tcPr>
            <w:tcW w:w="57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058C">
            <w:pPr>
              <w:pStyle w:val="BodyText"/>
              <w:rPr>
                <w:lang w:val="en-NZ"/>
              </w:rPr>
            </w:pPr>
            <w:r w:rsidRPr="00E3058C">
              <w:rPr>
                <w:rStyle w:val="SpecialBold"/>
              </w:rPr>
              <w:t>Comments</w:t>
            </w:r>
          </w:p>
        </w:tc>
      </w:tr>
      <w:tr w:rsidTr="00E3058C">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058C">
            <w:pPr>
              <w:pStyle w:val="BodyText"/>
              <w:rPr>
                <w:lang w:val="en-NZ"/>
              </w:rPr>
            </w:pPr>
            <w:r w:rsidRPr="00E3058C">
              <w:t>Release 1</w:t>
            </w:r>
          </w:p>
        </w:tc>
        <w:tc>
          <w:tcPr>
            <w:tcW w:w="57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058C" w:rsidP="00E3058C">
            <w:pPr>
              <w:pStyle w:val="BodyText"/>
            </w:pPr>
            <w:r w:rsidRPr="00E3058C">
              <w:t xml:space="preserve">This Unit first released with </w:t>
            </w:r>
            <w:r w:rsidRPr="00E3058C">
              <w:rPr>
                <w:rStyle w:val="Emphasis"/>
              </w:rPr>
              <w:t>BSB07 Business Training Package version 7.0</w:t>
            </w:r>
            <w:r w:rsidRPr="00E3058C">
              <w:t>.</w:t>
            </w:r>
          </w:p>
          <w:p w:rsidR="00000000" w:rsidRPr="00E3058C" w:rsidP="00E3058C">
            <w:pPr>
              <w:pStyle w:val="BodyText"/>
            </w:pPr>
          </w:p>
          <w:p w:rsidR="00000000" w:rsidRPr="00E3058C" w:rsidP="00E3058C">
            <w:pPr>
              <w:pStyle w:val="BodyText"/>
            </w:pPr>
            <w:r w:rsidRPr="00E3058C">
              <w:t>Replaces and is equivalent to BSBOHS604B Apply ergonomic principles to control OHS risk.</w:t>
            </w:r>
          </w:p>
        </w:tc>
      </w:tr>
    </w:tbl>
    <w:p w:rsidR="00000000" w:rsidRPr="00E3058C" w:rsidP="00E3058C">
      <w:pPr>
        <w:pStyle w:val="BodyText"/>
      </w:pPr>
    </w:p>
    <w:p w:rsidR="00000000" w:rsidRPr="00E3058C" w:rsidP="00E3058C">
      <w:pPr>
        <w:pStyle w:val="AllowPageBreak"/>
      </w:pPr>
    </w:p>
    <w:p w:rsidR="00000000" w:rsidRPr="00E3058C" w:rsidP="00E3058C">
      <w:pPr>
        <w:pStyle w:val="Heading1"/>
      </w:pPr>
      <w:bookmarkStart w:id="2" w:name="O_511295"/>
      <w:bookmarkEnd w:id="2"/>
      <w:r w:rsidRPr="00E3058C">
        <w:t>Unit De</w:t>
      </w:r>
      <w:r w:rsidRPr="00E3058C">
        <w:t>scriptor</w:t>
      </w:r>
    </w:p>
    <w:p w:rsidR="00000000" w:rsidRPr="00E3058C" w:rsidP="00E3058C">
      <w:pPr>
        <w:pStyle w:val="BodyText"/>
      </w:pPr>
      <w:r w:rsidRPr="00E3058C">
        <w:t>This unit describes the performance outcomes, skills and knowledge required to apply ergonomics to manage work health and safety (WHS) hazards and risks.</w:t>
      </w:r>
    </w:p>
    <w:p w:rsidR="00000000" w:rsidRPr="00E3058C" w:rsidP="00E3058C">
      <w:pPr>
        <w:pStyle w:val="BodyText"/>
      </w:pPr>
    </w:p>
    <w:p w:rsidR="00000000" w:rsidRPr="00E3058C" w:rsidP="00E3058C">
      <w:pPr>
        <w:pStyle w:val="BodyText"/>
      </w:pPr>
      <w:r w:rsidRPr="00E3058C">
        <w:t>This unit addresses the principles, processes and methods of ergonomics and their applicatio</w:t>
      </w:r>
      <w:r w:rsidRPr="00E3058C">
        <w:t>n to the management of WHS hazards and risks. It enables improved management of WHS through an understanding of how ergonomics contributes to WHS management; the appropriate application of ergonomics principles, processes and methods; and working with ergo</w:t>
      </w:r>
      <w:r w:rsidRPr="00E3058C">
        <w:t>nomists and other specialists.</w:t>
      </w:r>
    </w:p>
    <w:p w:rsidR="00000000" w:rsidRPr="00E3058C" w:rsidP="00E3058C">
      <w:pPr>
        <w:pStyle w:val="AllowPageBreak"/>
      </w:pPr>
    </w:p>
    <w:p w:rsidR="00000000" w:rsidRPr="00E3058C" w:rsidP="00E3058C">
      <w:pPr>
        <w:pStyle w:val="Heading1"/>
      </w:pPr>
      <w:bookmarkStart w:id="3" w:name="O_511296"/>
      <w:bookmarkEnd w:id="3"/>
      <w:r w:rsidRPr="00E3058C">
        <w:t>Application of the Unit</w:t>
      </w:r>
    </w:p>
    <w:p w:rsidR="00000000" w:rsidRPr="00E3058C" w:rsidP="00E3058C">
      <w:pPr>
        <w:pStyle w:val="BodyText"/>
      </w:pPr>
      <w:r w:rsidRPr="00E3058C">
        <w:t>This unit applies to people who manage WHS hazards and risks and who need to consider the role ergonomics plays in this process. Working with ergonomists may be required as part of thi</w:t>
      </w:r>
      <w:r w:rsidRPr="00E3058C">
        <w:t>s role.</w:t>
      </w:r>
    </w:p>
    <w:p w:rsidR="00000000" w:rsidRPr="00E3058C" w:rsidP="00E3058C">
      <w:pPr>
        <w:pStyle w:val="BodyText"/>
      </w:pPr>
    </w:p>
    <w:p w:rsidR="00000000" w:rsidRPr="00E3058C" w:rsidP="00E3058C">
      <w:pPr>
        <w:pStyle w:val="BodyText"/>
      </w:pPr>
      <w:r w:rsidRPr="00E3058C">
        <w:t>The unit applies to people who apply advanced practical knowledge to coordinate, facilitate and maintain the WHS program within an organisation.</w:t>
      </w:r>
    </w:p>
    <w:p w:rsidR="00000000" w:rsidRPr="00E3058C" w:rsidP="00E3058C">
      <w:pPr>
        <w:pStyle w:val="BodyText"/>
      </w:pPr>
    </w:p>
    <w:p w:rsidR="00000000" w:rsidRPr="00E3058C" w:rsidP="00E3058C">
      <w:pPr>
        <w:pStyle w:val="BodyText"/>
      </w:pPr>
      <w:r w:rsidRPr="00E3058C">
        <w:rPr>
          <w:rStyle w:val="Emphasis"/>
        </w:rPr>
        <w:t>NOTE:  The terms Occupational Health and Safety (OHS) and Work Health and Safety (WHS) are equivalent and generally either can be used in the workplace.  In jurisdictions where the National Model WHS Legislation has not been implemented RTOs are advised to</w:t>
      </w:r>
      <w:r w:rsidRPr="00E3058C">
        <w:rPr>
          <w:rStyle w:val="Emphasis"/>
        </w:rPr>
        <w:t xml:space="preserve"> contextualise the unit of competency by referring to the existing State/Territory OHS legislative requirements.</w:t>
      </w:r>
    </w:p>
    <w:p w:rsidR="00000000" w:rsidRPr="00E3058C" w:rsidP="00E3058C">
      <w:pPr>
        <w:pStyle w:val="AllowPageBreak"/>
      </w:pPr>
    </w:p>
    <w:p w:rsidR="00000000" w:rsidRPr="00E3058C" w:rsidP="00E3058C">
      <w:pPr>
        <w:pStyle w:val="Heading1"/>
      </w:pPr>
      <w:bookmarkStart w:id="4" w:name="O_511297"/>
      <w:bookmarkEnd w:id="4"/>
      <w:r w:rsidRPr="00E3058C">
        <w:t>Licensing/Regulatory Information</w:t>
      </w:r>
    </w:p>
    <w:p w:rsidR="00000000" w:rsidRPr="00E3058C" w:rsidP="00E3058C">
      <w:pPr>
        <w:pStyle w:val="BodyText"/>
      </w:pPr>
      <w:r w:rsidRPr="00E3058C">
        <w:t>No licensing, legislative, regulatory or certification requirements apply to this unit at the</w:t>
      </w:r>
      <w:r w:rsidRPr="00E3058C">
        <w:t xml:space="preserve"> time of endorsement.</w:t>
      </w:r>
    </w:p>
    <w:p w:rsidR="00000000" w:rsidRPr="00E3058C" w:rsidP="00E3058C">
      <w:pPr>
        <w:pStyle w:val="AllowPageBreak"/>
      </w:pPr>
    </w:p>
    <w:p w:rsidR="00000000" w:rsidRPr="00E3058C" w:rsidP="00E3058C">
      <w:pPr>
        <w:pStyle w:val="Heading1"/>
      </w:pPr>
      <w:bookmarkStart w:id="5" w:name="O_511298"/>
      <w:bookmarkEnd w:id="5"/>
      <w:r w:rsidRPr="00E3058C">
        <w:t>Pre-Requisites</w:t>
      </w:r>
    </w:p>
    <w:p w:rsidR="00000000" w:rsidRPr="00E3058C" w:rsidP="00E3058C">
      <w:pPr>
        <w:pStyle w:val="BodyText"/>
      </w:pPr>
      <w:r w:rsidRPr="00E3058C">
        <w:t>Not applicable.</w:t>
      </w:r>
    </w:p>
    <w:p w:rsidR="00000000" w:rsidRPr="00E3058C" w:rsidP="00E3058C">
      <w:pPr>
        <w:pStyle w:val="AllowPageBreak"/>
      </w:pPr>
    </w:p>
    <w:p w:rsidR="00000000" w:rsidRPr="00E3058C" w:rsidP="00E3058C">
      <w:pPr>
        <w:pStyle w:val="Heading1"/>
      </w:pPr>
      <w:bookmarkStart w:id="6" w:name="O_511299"/>
      <w:bookmarkEnd w:id="6"/>
      <w:r w:rsidRPr="00E3058C">
        <w:t>Employability Skills Information</w:t>
      </w:r>
    </w:p>
    <w:p w:rsidR="00000000" w:rsidRPr="00E3058C" w:rsidP="00E3058C">
      <w:pPr>
        <w:pStyle w:val="BodyText"/>
      </w:pPr>
      <w:r w:rsidRPr="00E3058C">
        <w:t>This unit contains employability skills.</w:t>
      </w:r>
    </w:p>
    <w:p w:rsidR="00000000" w:rsidRPr="00E3058C" w:rsidP="00E3058C">
      <w:pPr>
        <w:pStyle w:val="AllowPageBreak"/>
      </w:pPr>
    </w:p>
    <w:p w:rsidR="00000000" w:rsidRPr="00E3058C" w:rsidP="00E3058C">
      <w:pPr>
        <w:pStyle w:val="Heading1"/>
      </w:pPr>
      <w:bookmarkStart w:id="7" w:name="O_511300"/>
      <w:bookmarkEnd w:id="7"/>
      <w:r w:rsidRPr="00E3058C">
        <w:t>Elements and Performance Criteria Pre-Content</w:t>
      </w:r>
    </w:p>
    <w:tbl>
      <w:tblPr>
        <w:tblW w:w="0" w:type="auto"/>
        <w:tblLayout w:type="fixed"/>
        <w:tblCellMar>
          <w:left w:w="62" w:type="dxa"/>
          <w:right w:w="62" w:type="dxa"/>
        </w:tblCellMar>
        <w:tblLook w:val="0000"/>
      </w:tblPr>
      <w:tblGrid>
        <w:gridCol w:w="2518"/>
        <w:gridCol w:w="6482"/>
      </w:tblGrid>
      <w:tr w:rsidTr="00E3058C">
        <w:tblPrEx>
          <w:tblW w:w="0" w:type="auto"/>
          <w:tblLayout w:type="fixed"/>
          <w:tblCellMar>
            <w:left w:w="62" w:type="dxa"/>
            <w:right w:w="62" w:type="dxa"/>
          </w:tblCellMar>
          <w:tblLook w:val="0000"/>
        </w:tblPrEx>
        <w:trPr>
          <w:tblHeader/>
        </w:trPr>
        <w:tc>
          <w:tcPr>
            <w:tcW w:w="251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3058C" w:rsidP="00E3058C">
            <w:pPr>
              <w:pStyle w:val="BodyText"/>
            </w:pPr>
            <w:r w:rsidRPr="00E3058C">
              <w:rPr>
                <w:rStyle w:val="SpecialBold"/>
              </w:rPr>
              <w:t>Element</w:t>
            </w:r>
          </w:p>
        </w:tc>
        <w:tc>
          <w:tcPr>
            <w:tcW w:w="648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3058C">
            <w:pPr>
              <w:pStyle w:val="BodyText"/>
              <w:rPr>
                <w:lang w:val="en-NZ"/>
              </w:rPr>
            </w:pPr>
            <w:r w:rsidRPr="00E3058C">
              <w:rPr>
                <w:rStyle w:val="SpecialBold"/>
              </w:rPr>
              <w:t>Performance Criteria</w:t>
            </w:r>
          </w:p>
        </w:tc>
      </w:tr>
      <w:tr w:rsidTr="00E3058C">
        <w:tblPrEx>
          <w:tblW w:w="0" w:type="auto"/>
          <w:tblLayout w:type="fixed"/>
          <w:tblCellMar>
            <w:left w:w="62" w:type="dxa"/>
            <w:right w:w="62" w:type="dxa"/>
          </w:tblCellMar>
          <w:tblLook w:val="0000"/>
        </w:tblPrEx>
        <w:tc>
          <w:tcPr>
            <w:tcW w:w="251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3058C" w:rsidP="00E3058C">
            <w:pPr>
              <w:pStyle w:val="BodyText"/>
            </w:pPr>
            <w:r w:rsidRPr="00E3058C">
              <w:rPr>
                <w:rStyle w:val="Emphasis"/>
              </w:rPr>
              <w:t>El</w:t>
            </w:r>
            <w:r w:rsidRPr="00E3058C">
              <w:rPr>
                <w:rStyle w:val="Emphasis"/>
              </w:rPr>
              <w:t>ements describe the essential outcomes of a unit of competency.</w:t>
            </w:r>
          </w:p>
        </w:tc>
        <w:tc>
          <w:tcPr>
            <w:tcW w:w="648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3058C" w:rsidP="00E3058C">
            <w:pPr>
              <w:pStyle w:val="BodyText"/>
            </w:pPr>
            <w:r w:rsidRPr="00E3058C">
              <w:rPr>
                <w:rStyle w:val="Emphasis"/>
              </w:rPr>
              <w:t>Performance criteria describe the performance needed to demonstrate achievement of the element. Where bold italicised text is used, further information is detailed in the required skills and k</w:t>
            </w:r>
            <w:r w:rsidRPr="00E3058C">
              <w:rPr>
                <w:rStyle w:val="Emphasis"/>
              </w:rPr>
              <w:t>nowledge section and the range statement. Assessment of performance is to be consistent with the evidence guide.</w:t>
            </w:r>
          </w:p>
        </w:tc>
      </w:tr>
    </w:tbl>
    <w:p w:rsidR="00000000" w:rsidRPr="00E3058C" w:rsidP="00E3058C">
      <w:pPr>
        <w:pStyle w:val="BodyText"/>
      </w:pPr>
    </w:p>
    <w:p w:rsidR="00000000" w:rsidRPr="00E3058C" w:rsidP="00E3058C">
      <w:pPr>
        <w:pStyle w:val="AllowPageBreak"/>
      </w:pPr>
    </w:p>
    <w:p w:rsidR="00000000" w:rsidRPr="00E3058C" w:rsidP="00E3058C">
      <w:pPr>
        <w:pStyle w:val="Heading1"/>
      </w:pPr>
      <w:bookmarkStart w:id="8" w:name="O_511301"/>
      <w:bookmarkEnd w:id="8"/>
      <w:r w:rsidRPr="00E3058C">
        <w:t>Elements and Performance Criteria</w:t>
      </w:r>
    </w:p>
    <w:tbl>
      <w:tblPr>
        <w:tblW w:w="0" w:type="auto"/>
        <w:tblLayout w:type="fixed"/>
        <w:tblCellMar>
          <w:left w:w="62" w:type="dxa"/>
          <w:right w:w="62" w:type="dxa"/>
        </w:tblCellMar>
        <w:tblLook w:val="0000"/>
      </w:tblPr>
      <w:tblGrid>
        <w:gridCol w:w="2519"/>
        <w:gridCol w:w="6481"/>
      </w:tblGrid>
      <w:tr w:rsidTr="00E3058C">
        <w:tblPrEx>
          <w:tblW w:w="0" w:type="auto"/>
          <w:tblLayout w:type="fixed"/>
          <w:tblCellMar>
            <w:left w:w="62" w:type="dxa"/>
            <w:right w:w="62" w:type="dxa"/>
          </w:tblCellMar>
          <w:tblLook w:val="0000"/>
        </w:tblPrEx>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058C">
            <w:pPr>
              <w:pStyle w:val="BodyText"/>
              <w:rPr>
                <w:lang w:val="en-NZ"/>
              </w:rPr>
            </w:pPr>
            <w:r w:rsidRPr="00E3058C">
              <w:t>1. Identify WHS hazards and risks whose management could include the application of ergonomics</w:t>
            </w:r>
          </w:p>
        </w:tc>
        <w:tc>
          <w:tcPr>
            <w:tcW w:w="6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058C" w:rsidP="00E3058C">
            <w:pPr>
              <w:pStyle w:val="BodyText"/>
            </w:pPr>
            <w:r w:rsidRPr="00E3058C">
              <w:t>1.1 Use workplace WHS information to identify WHS hazards and risks</w:t>
            </w:r>
          </w:p>
          <w:p w:rsidR="00000000" w:rsidP="00E3058C">
            <w:pPr>
              <w:pStyle w:val="BodyText"/>
              <w:rPr>
                <w:lang w:val="en-NZ"/>
              </w:rPr>
            </w:pPr>
            <w:r w:rsidRPr="00E3058C">
              <w:t xml:space="preserve">1.2. Apply knowledge of ergonomics principles, processes and methods to identify workplace </w:t>
            </w:r>
            <w:r w:rsidRPr="00E3058C">
              <w:rPr>
                <w:rStyle w:val="BoldandItalics"/>
              </w:rPr>
              <w:t>WH</w:t>
            </w:r>
            <w:r w:rsidRPr="00E3058C">
              <w:rPr>
                <w:rStyle w:val="BoldandItalics"/>
              </w:rPr>
              <w:t xml:space="preserve">S hazards and risks </w:t>
            </w:r>
            <w:r w:rsidRPr="00E3058C">
              <w:t>whose management could include the application of ergonomics</w:t>
            </w:r>
          </w:p>
        </w:tc>
      </w:tr>
      <w:tr w:rsidTr="00E3058C">
        <w:tblPrEx>
          <w:tblW w:w="0" w:type="auto"/>
          <w:tblLayout w:type="fixed"/>
          <w:tblCellMar>
            <w:left w:w="62" w:type="dxa"/>
            <w:right w:w="62" w:type="dxa"/>
          </w:tblCellMar>
          <w:tblLook w:val="0000"/>
        </w:tblPrEx>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058C">
            <w:pPr>
              <w:pStyle w:val="BodyText"/>
              <w:rPr>
                <w:lang w:val="en-NZ"/>
              </w:rPr>
            </w:pPr>
            <w:r w:rsidRPr="00E3058C">
              <w:t>2. Use ergonomics to address WHS issues</w:t>
            </w:r>
          </w:p>
        </w:tc>
        <w:tc>
          <w:tcPr>
            <w:tcW w:w="6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058C" w:rsidP="00E3058C">
            <w:pPr>
              <w:pStyle w:val="BodyText"/>
            </w:pPr>
            <w:r w:rsidRPr="00E3058C">
              <w:t>2.1 Apply ergonomics principles, processes and methods in the assessment of WHS hazards and risks</w:t>
            </w:r>
          </w:p>
          <w:p w:rsidR="00000000" w:rsidRPr="00E3058C" w:rsidP="00E3058C">
            <w:pPr>
              <w:pStyle w:val="BodyText"/>
            </w:pPr>
            <w:r w:rsidRPr="00E3058C">
              <w:t>2.2. Apply ergonomics principles, pr</w:t>
            </w:r>
            <w:r w:rsidRPr="00E3058C">
              <w:t>ocesses and methods in the development of risk controls</w:t>
            </w:r>
          </w:p>
          <w:p w:rsidR="00000000" w:rsidP="00E3058C">
            <w:pPr>
              <w:pStyle w:val="BodyText"/>
              <w:rPr>
                <w:lang w:val="en-NZ"/>
              </w:rPr>
            </w:pPr>
            <w:r w:rsidRPr="00E3058C">
              <w:t>2.3. Apply ergonomics principles, processes and methods in the evaluation of risk controls</w:t>
            </w:r>
          </w:p>
        </w:tc>
      </w:tr>
      <w:tr w:rsidTr="00E3058C">
        <w:tblPrEx>
          <w:tblW w:w="0" w:type="auto"/>
          <w:tblLayout w:type="fixed"/>
          <w:tblCellMar>
            <w:left w:w="62" w:type="dxa"/>
            <w:right w:w="62" w:type="dxa"/>
          </w:tblCellMar>
          <w:tblLook w:val="0000"/>
        </w:tblPrEx>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058C">
            <w:pPr>
              <w:pStyle w:val="BodyText"/>
              <w:rPr>
                <w:lang w:val="en-NZ"/>
              </w:rPr>
            </w:pPr>
            <w:r w:rsidRPr="00E3058C">
              <w:t>3. Apply ergonomics in WHS-related planning and design activities</w:t>
            </w:r>
          </w:p>
        </w:tc>
        <w:tc>
          <w:tcPr>
            <w:tcW w:w="6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058C" w:rsidP="00E3058C">
            <w:pPr>
              <w:pStyle w:val="BodyText"/>
            </w:pPr>
            <w:r w:rsidRPr="00E3058C">
              <w:t xml:space="preserve">3.1 Identify </w:t>
            </w:r>
            <w:r w:rsidRPr="00E3058C">
              <w:rPr>
                <w:rStyle w:val="BoldandItalics"/>
              </w:rPr>
              <w:t>WHS-related planning and desi</w:t>
            </w:r>
            <w:r w:rsidRPr="00E3058C">
              <w:rPr>
                <w:rStyle w:val="BoldandItalics"/>
              </w:rPr>
              <w:t>gn activities and processes</w:t>
            </w:r>
          </w:p>
          <w:p w:rsidR="00000000" w:rsidRPr="00E3058C" w:rsidP="00E3058C">
            <w:pPr>
              <w:pStyle w:val="BodyText"/>
            </w:pPr>
            <w:r w:rsidRPr="00E3058C">
              <w:t>3.2. Identify opportunities for the application of ergonomics principles, processes and methods to enhance WHS-related planning and design activities</w:t>
            </w:r>
          </w:p>
          <w:p w:rsidR="00000000" w:rsidRPr="00E3058C" w:rsidP="00E3058C">
            <w:pPr>
              <w:pStyle w:val="BodyText"/>
            </w:pPr>
            <w:r w:rsidRPr="00E3058C">
              <w:t>3.3. Apply ergonomics principles, processes and methods to enhance WHS-related planning and design activities</w:t>
            </w:r>
          </w:p>
          <w:p w:rsidR="00000000" w:rsidP="00E3058C">
            <w:pPr>
              <w:pStyle w:val="BodyText"/>
              <w:rPr>
                <w:lang w:val="en-NZ"/>
              </w:rPr>
            </w:pPr>
            <w:r w:rsidRPr="00E3058C">
              <w:t>3.4. Review and evaluate enhancements to WHS-related planning and design activities</w:t>
            </w:r>
          </w:p>
        </w:tc>
      </w:tr>
      <w:tr w:rsidTr="00E3058C">
        <w:tblPrEx>
          <w:tblW w:w="0" w:type="auto"/>
          <w:tblLayout w:type="fixed"/>
          <w:tblCellMar>
            <w:left w:w="62" w:type="dxa"/>
            <w:right w:w="62" w:type="dxa"/>
          </w:tblCellMar>
          <w:tblLook w:val="0000"/>
        </w:tblPrEx>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058C">
            <w:pPr>
              <w:pStyle w:val="BodyText"/>
              <w:rPr>
                <w:lang w:val="en-NZ"/>
              </w:rPr>
            </w:pPr>
            <w:r w:rsidRPr="00E3058C">
              <w:t>4. Ensure ergonomics activities are appropriate</w:t>
            </w:r>
          </w:p>
        </w:tc>
        <w:tc>
          <w:tcPr>
            <w:tcW w:w="6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058C" w:rsidP="00E3058C">
            <w:pPr>
              <w:pStyle w:val="BodyText"/>
            </w:pPr>
            <w:r w:rsidRPr="00E3058C">
              <w:t>4.1 Ensure er</w:t>
            </w:r>
            <w:r w:rsidRPr="00E3058C">
              <w:t xml:space="preserve">gonomics activities comply with all applicable WHS legislation, regulations, codes of practice and </w:t>
            </w:r>
            <w:r w:rsidRPr="00E3058C">
              <w:rPr>
                <w:rStyle w:val="BoldandItalics"/>
              </w:rPr>
              <w:t>other relevant documents</w:t>
            </w:r>
          </w:p>
          <w:p w:rsidR="00000000" w:rsidRPr="00E3058C" w:rsidP="00E3058C">
            <w:pPr>
              <w:pStyle w:val="BodyText"/>
            </w:pPr>
            <w:r w:rsidRPr="00E3058C">
              <w:t>4.2 Ensure ergonomics activities comply with relevant workplace processes, procedures, standards and systems</w:t>
            </w:r>
          </w:p>
          <w:p w:rsidR="00000000" w:rsidRPr="00E3058C" w:rsidP="00E3058C">
            <w:pPr>
              <w:pStyle w:val="BodyText"/>
            </w:pPr>
            <w:r w:rsidRPr="00E3058C">
              <w:t>4.3 Apply appropriate e</w:t>
            </w:r>
            <w:r w:rsidRPr="00E3058C">
              <w:t>rgonomics principles, processes and methods according to available resources and own role, responsibilities, skill and knowledge</w:t>
            </w:r>
          </w:p>
          <w:p w:rsidR="00000000" w:rsidRPr="00E3058C" w:rsidP="00E3058C">
            <w:pPr>
              <w:pStyle w:val="BodyText"/>
            </w:pPr>
            <w:r w:rsidRPr="00E3058C">
              <w:t xml:space="preserve">4.4 Seek advice, support and input from </w:t>
            </w:r>
            <w:r w:rsidRPr="00E3058C">
              <w:rPr>
                <w:rStyle w:val="BoldandItalics"/>
              </w:rPr>
              <w:t xml:space="preserve">specialists </w:t>
            </w:r>
            <w:r w:rsidRPr="00E3058C">
              <w:t>where necessary and appropriate</w:t>
            </w:r>
          </w:p>
        </w:tc>
      </w:tr>
    </w:tbl>
    <w:p w:rsidR="00000000" w:rsidRPr="00E3058C" w:rsidP="00E3058C">
      <w:pPr>
        <w:pStyle w:val="BodyText"/>
      </w:pPr>
    </w:p>
    <w:p w:rsidR="00000000" w:rsidRPr="00E3058C" w:rsidP="00E3058C">
      <w:pPr>
        <w:pStyle w:val="AllowPageBreak"/>
      </w:pPr>
    </w:p>
    <w:p w:rsidR="00000000" w:rsidRPr="00E3058C" w:rsidP="00E3058C">
      <w:pPr>
        <w:pStyle w:val="Heading1"/>
      </w:pPr>
      <w:bookmarkStart w:id="9" w:name="O_511302"/>
      <w:bookmarkEnd w:id="9"/>
      <w:r w:rsidRPr="00E3058C">
        <w:t>Required Skills and Know</w:t>
      </w:r>
      <w:r w:rsidRPr="00E3058C">
        <w:t>ledge</w:t>
      </w:r>
    </w:p>
    <w:p w:rsidR="00000000" w:rsidRPr="00E3058C" w:rsidP="00E3058C">
      <w:pPr>
        <w:pStyle w:val="BodyText"/>
      </w:pPr>
      <w:r w:rsidRPr="00E3058C">
        <w:rPr>
          <w:rStyle w:val="Emphasis"/>
        </w:rPr>
        <w:t>This section describes the skills and knowledge required for this unit.</w:t>
      </w:r>
    </w:p>
    <w:p w:rsidR="00000000" w:rsidRPr="00E3058C" w:rsidP="00E3058C">
      <w:pPr>
        <w:pStyle w:val="BodyText"/>
      </w:pPr>
    </w:p>
    <w:p w:rsidR="00000000" w:rsidRPr="00E3058C" w:rsidP="00E3058C">
      <w:pPr>
        <w:pStyle w:val="BodyText"/>
      </w:pPr>
      <w:r w:rsidRPr="00E3058C">
        <w:rPr>
          <w:rStyle w:val="SpecialBold"/>
        </w:rPr>
        <w:t>Required skills</w:t>
      </w:r>
    </w:p>
    <w:p w:rsidR="00000000" w:rsidRPr="00E3058C" w:rsidP="00E3058C">
      <w:pPr>
        <w:pStyle w:val="BodyText"/>
      </w:pPr>
    </w:p>
    <w:p w:rsidR="00000000" w:rsidRPr="00E3058C" w:rsidP="00E3058C">
      <w:pPr>
        <w:pStyle w:val="ListBullet"/>
      </w:pPr>
      <w:r w:rsidRPr="00E3058C">
        <w:t>analytical skills to:</w:t>
      </w:r>
    </w:p>
    <w:p w:rsidR="00000000" w:rsidRPr="00E3058C" w:rsidP="00E3058C">
      <w:pPr>
        <w:pStyle w:val="ListBullet2"/>
      </w:pPr>
      <w:r w:rsidRPr="00E3058C">
        <w:t>identify areas for WHS improvement</w:t>
      </w:r>
    </w:p>
    <w:p w:rsidR="00000000" w:rsidRPr="00E3058C" w:rsidP="00E3058C">
      <w:pPr>
        <w:pStyle w:val="ListBullet2"/>
      </w:pPr>
      <w:r w:rsidRPr="00E3058C">
        <w:t>analyse relevant workplace information and data, and make observations of workplace tasks and interactions between people, their activities, equipment, environment and systems</w:t>
      </w:r>
    </w:p>
    <w:p w:rsidR="00000000" w:rsidRPr="00E3058C" w:rsidP="00E3058C">
      <w:pPr>
        <w:pStyle w:val="ListBullet2"/>
      </w:pPr>
      <w:r w:rsidRPr="00E3058C">
        <w:t>contribute to the assessment of resources needed to manage WHS and where appropr</w:t>
      </w:r>
      <w:r w:rsidRPr="00E3058C">
        <w:t>iate access these resources</w:t>
      </w:r>
    </w:p>
    <w:p w:rsidR="00000000" w:rsidRPr="00E3058C" w:rsidP="00E3058C">
      <w:pPr>
        <w:pStyle w:val="ListBullet2"/>
      </w:pPr>
      <w:r w:rsidRPr="00E3058C">
        <w:t>contribute to the strategic WHS performance of the organisation</w:t>
      </w:r>
    </w:p>
    <w:p w:rsidR="00000000" w:rsidRPr="00E3058C" w:rsidP="00E3058C">
      <w:pPr>
        <w:pStyle w:val="ListBullet"/>
      </w:pPr>
      <w:r w:rsidRPr="00E3058C">
        <w:t>communication skills to:</w:t>
      </w:r>
    </w:p>
    <w:p w:rsidR="00000000" w:rsidRPr="00E3058C" w:rsidP="00E3058C">
      <w:pPr>
        <w:pStyle w:val="ListBullet2"/>
      </w:pPr>
      <w:r w:rsidRPr="00E3058C">
        <w:t>conduct effective formal and informal meetings and communicate effectively with personnel at all levels of the organisation, and with ext</w:t>
      </w:r>
      <w:r w:rsidRPr="00E3058C">
        <w:t>ernal parties and individuals</w:t>
      </w:r>
    </w:p>
    <w:p w:rsidR="00000000" w:rsidRPr="00E3058C" w:rsidP="00E3058C">
      <w:pPr>
        <w:pStyle w:val="ListBullet2"/>
      </w:pPr>
      <w:r w:rsidRPr="00E3058C">
        <w:t>use language appropriate to the work team and the task</w:t>
      </w:r>
    </w:p>
    <w:p w:rsidR="00000000" w:rsidRPr="00E3058C" w:rsidP="00E3058C">
      <w:pPr>
        <w:pStyle w:val="ListBullet2"/>
      </w:pPr>
      <w:r w:rsidRPr="00E3058C">
        <w:t>write policies, procedures and plans</w:t>
      </w:r>
    </w:p>
    <w:p w:rsidR="00000000" w:rsidRPr="00E3058C" w:rsidP="00E3058C">
      <w:pPr>
        <w:pStyle w:val="ListBullet"/>
      </w:pPr>
      <w:r w:rsidRPr="00E3058C">
        <w:t>consultation and negotiation skills to:</w:t>
      </w:r>
    </w:p>
    <w:p w:rsidR="00000000" w:rsidRPr="00E3058C" w:rsidP="00E3058C">
      <w:pPr>
        <w:pStyle w:val="ListBullet2"/>
      </w:pPr>
      <w:r w:rsidRPr="00E3058C">
        <w:t>develop plans</w:t>
      </w:r>
    </w:p>
    <w:p w:rsidR="00000000" w:rsidRPr="00E3058C" w:rsidP="00E3058C">
      <w:pPr>
        <w:pStyle w:val="ListBullet2"/>
      </w:pPr>
      <w:r w:rsidRPr="00E3058C">
        <w:t>implement and monitor designated actions</w:t>
      </w:r>
    </w:p>
    <w:p w:rsidR="00000000" w:rsidRPr="00E3058C" w:rsidP="00E3058C">
      <w:pPr>
        <w:pStyle w:val="ListBullet"/>
      </w:pPr>
      <w:r w:rsidRPr="00E3058C">
        <w:t>information technology skills to acc</w:t>
      </w:r>
      <w:r w:rsidRPr="00E3058C">
        <w:t>ess and download internal and external information and data on WHS</w:t>
      </w:r>
    </w:p>
    <w:p w:rsidR="00000000" w:rsidRPr="00E3058C" w:rsidP="00E3058C">
      <w:pPr>
        <w:pStyle w:val="ListBullet"/>
      </w:pPr>
      <w:r w:rsidRPr="00E3058C">
        <w:t>organisational skills to manage own tasks within a timeframe</w:t>
      </w:r>
    </w:p>
    <w:p w:rsidR="00000000" w:rsidRPr="00E3058C" w:rsidP="00E3058C">
      <w:pPr>
        <w:pStyle w:val="ListBullet"/>
      </w:pPr>
      <w:r w:rsidRPr="00E3058C">
        <w:t>project-management skills to achieve continuous improvement and to action processes about WHS matters</w:t>
      </w:r>
    </w:p>
    <w:p w:rsidR="00000000" w:rsidRPr="00E3058C" w:rsidP="00E3058C">
      <w:pPr>
        <w:pStyle w:val="ListBullet"/>
      </w:pPr>
      <w:r w:rsidRPr="00E3058C">
        <w:t>research skills to:</w:t>
      </w:r>
    </w:p>
    <w:p w:rsidR="00000000" w:rsidRPr="00E3058C" w:rsidP="00E3058C">
      <w:pPr>
        <w:pStyle w:val="ListBullet2"/>
      </w:pPr>
      <w:r w:rsidRPr="00E3058C">
        <w:t>access relevant WHS information and data</w:t>
      </w:r>
    </w:p>
    <w:p w:rsidR="00000000" w:rsidRPr="00E3058C" w:rsidP="00E3058C">
      <w:pPr>
        <w:pStyle w:val="ListBullet2"/>
      </w:pPr>
      <w:r w:rsidRPr="00E3058C">
        <w:t>identify areas for improvement</w:t>
      </w:r>
    </w:p>
    <w:p w:rsidR="00000000" w:rsidRPr="00E3058C" w:rsidP="00E3058C">
      <w:pPr>
        <w:pStyle w:val="ListBullet2"/>
      </w:pPr>
      <w:r w:rsidRPr="00E3058C">
        <w:t>interpret information and data</w:t>
      </w:r>
    </w:p>
    <w:p w:rsidR="00000000" w:rsidRPr="00E3058C" w:rsidP="00E3058C">
      <w:pPr>
        <w:pStyle w:val="ListBullet2"/>
      </w:pPr>
      <w:r w:rsidRPr="00E3058C">
        <w:t>pay attention to detail when making observations and recording outcomes</w:t>
      </w:r>
    </w:p>
    <w:p w:rsidR="00000000" w:rsidRPr="00E3058C" w:rsidP="00E3058C">
      <w:pPr>
        <w:pStyle w:val="ListBullet2"/>
      </w:pPr>
      <w:r w:rsidRPr="00E3058C">
        <w:t>use information and data-gathering techniques, such as brainstorming, polling and</w:t>
      </w:r>
      <w:r w:rsidRPr="00E3058C">
        <w:t xml:space="preserve"> interviewing.</w:t>
      </w:r>
    </w:p>
    <w:p w:rsidR="00000000" w:rsidRPr="00E3058C" w:rsidP="00E3058C">
      <w:pPr>
        <w:pStyle w:val="BodyText"/>
      </w:pPr>
    </w:p>
    <w:p w:rsidR="00000000" w:rsidRPr="00E3058C" w:rsidP="00E3058C">
      <w:pPr>
        <w:pStyle w:val="BodyText"/>
      </w:pPr>
      <w:r w:rsidRPr="00E3058C">
        <w:rPr>
          <w:rStyle w:val="SpecialBold"/>
        </w:rPr>
        <w:t>Required knowledge</w:t>
      </w:r>
    </w:p>
    <w:p w:rsidR="00000000" w:rsidRPr="00E3058C" w:rsidP="00E3058C">
      <w:pPr>
        <w:pStyle w:val="BodyText"/>
      </w:pPr>
    </w:p>
    <w:p w:rsidR="00000000" w:rsidRPr="00E3058C" w:rsidP="00E3058C">
      <w:pPr>
        <w:pStyle w:val="ListBullet"/>
      </w:pPr>
      <w:r w:rsidRPr="00E3058C">
        <w:t>application domains of ergonomics</w:t>
      </w:r>
    </w:p>
    <w:p w:rsidR="00000000" w:rsidRPr="00E3058C" w:rsidP="00E3058C">
      <w:pPr>
        <w:pStyle w:val="ListBullet"/>
      </w:pPr>
      <w:r w:rsidRPr="00E3058C">
        <w:t>broad overview of the knowledge base, skills, methods, techniques, expertise, roles and functions of ergonomists</w:t>
      </w:r>
    </w:p>
    <w:p w:rsidR="00000000" w:rsidRPr="00E3058C" w:rsidP="00E3058C">
      <w:pPr>
        <w:pStyle w:val="ListBullet"/>
      </w:pPr>
      <w:r w:rsidRPr="00E3058C">
        <w:t>ergonomics as the scientific discipline concerned with the understanding</w:t>
      </w:r>
      <w:r w:rsidRPr="00E3058C">
        <w:t xml:space="preserve"> of the interactions among humans and other elements of a system, and the profession that applies theoretical principles, data and methods to design in order to optimise human wellbeing and overall system performance</w:t>
      </w:r>
    </w:p>
    <w:p w:rsidR="00000000" w:rsidRPr="00E3058C" w:rsidP="00E3058C">
      <w:pPr>
        <w:pStyle w:val="ListBullet"/>
      </w:pPr>
      <w:r w:rsidRPr="00E3058C">
        <w:t>ergonomics principles, processes and me</w:t>
      </w:r>
      <w:r w:rsidRPr="00E3058C">
        <w:t>thods applicable to the management of WHS hazards and risks, and WHS-related planning and design activities and processes</w:t>
      </w:r>
    </w:p>
    <w:p w:rsidR="00000000" w:rsidRPr="00E3058C" w:rsidP="00E3058C">
      <w:pPr>
        <w:pStyle w:val="ListBullet"/>
      </w:pPr>
      <w:r w:rsidRPr="00E3058C">
        <w:t>ergonomics-related content of applicable WHS legislation, regulations, codes of practice and other documents, such as policie</w:t>
      </w:r>
      <w:r w:rsidRPr="00E3058C">
        <w:t>s, standards, guidance publications and alerts issued by the relevant WHS regulators</w:t>
      </w:r>
    </w:p>
    <w:p w:rsidR="00000000" w:rsidRPr="00E3058C" w:rsidP="00E3058C">
      <w:pPr>
        <w:pStyle w:val="ListBullet"/>
      </w:pPr>
      <w:r w:rsidRPr="00E3058C">
        <w:t>general principles and processes of ergonomics</w:t>
      </w:r>
    </w:p>
    <w:p w:rsidR="00000000" w:rsidRPr="00E3058C" w:rsidP="00E3058C">
      <w:pPr>
        <w:pStyle w:val="ListBullet"/>
      </w:pPr>
      <w:r w:rsidRPr="00E3058C">
        <w:t>risk management as a duty of persons conducting businesses or undertakings (PCBUs) or their officers under WHS legislation</w:t>
      </w:r>
    </w:p>
    <w:p w:rsidR="00000000" w:rsidRPr="00E3058C" w:rsidP="00E3058C">
      <w:pPr>
        <w:pStyle w:val="ListBullet"/>
      </w:pPr>
      <w:r w:rsidRPr="00E3058C">
        <w:t>s</w:t>
      </w:r>
      <w:r w:rsidRPr="00E3058C">
        <w:t>cope and broad content of Australian and international ergonomics standards</w:t>
      </w:r>
    </w:p>
    <w:p w:rsidR="00000000" w:rsidRPr="00E3058C" w:rsidP="00E3058C">
      <w:pPr>
        <w:pStyle w:val="ListBullet"/>
      </w:pPr>
      <w:r w:rsidRPr="00E3058C">
        <w:t>systems and systems concepts as used in ergonomics.</w:t>
      </w:r>
    </w:p>
    <w:p w:rsidR="00000000" w:rsidRPr="00E3058C" w:rsidP="00E3058C">
      <w:pPr>
        <w:pStyle w:val="AllowPageBreak"/>
      </w:pPr>
    </w:p>
    <w:p w:rsidR="00000000" w:rsidRPr="00E3058C" w:rsidP="00E3058C">
      <w:pPr>
        <w:pStyle w:val="Heading1"/>
      </w:pPr>
      <w:bookmarkStart w:id="10" w:name="O_511303"/>
      <w:bookmarkEnd w:id="10"/>
      <w:r w:rsidRPr="00E3058C">
        <w:t>Evidence Guide</w:t>
      </w:r>
    </w:p>
    <w:p w:rsidR="00000000" w:rsidRPr="00E3058C" w:rsidP="00E3058C">
      <w:pPr>
        <w:pStyle w:val="BodyText"/>
      </w:pPr>
      <w:r w:rsidRPr="00E3058C">
        <w:rPr>
          <w:rStyle w:val="Emphasis"/>
        </w:rPr>
        <w:t>The evidence guide provides advice on assessment and must be read in conjunction with the perfor</w:t>
      </w:r>
      <w:r w:rsidRPr="00E3058C">
        <w:rPr>
          <w:rStyle w:val="Emphasis"/>
        </w:rPr>
        <w:t>mance criteria, required skills and knowledge, range statement and the Assessment Guidelines for the Training Package.</w:t>
      </w:r>
    </w:p>
    <w:p w:rsidR="00000000" w:rsidRPr="00E3058C" w:rsidP="00E3058C">
      <w:pPr>
        <w:pStyle w:val="BodyText"/>
      </w:pPr>
    </w:p>
    <w:tbl>
      <w:tblPr>
        <w:tblW w:w="0" w:type="auto"/>
        <w:tblLayout w:type="fixed"/>
        <w:tblCellMar>
          <w:left w:w="62" w:type="dxa"/>
          <w:right w:w="62" w:type="dxa"/>
        </w:tblCellMar>
        <w:tblLook w:val="0000"/>
      </w:tblPr>
      <w:tblGrid>
        <w:gridCol w:w="3555"/>
        <w:gridCol w:w="5445"/>
      </w:tblGrid>
      <w:tr w:rsidTr="00E3058C">
        <w:tblPrEx>
          <w:tblW w:w="0" w:type="auto"/>
          <w:tblLayout w:type="fixed"/>
          <w:tblCellMar>
            <w:left w:w="62" w:type="dxa"/>
            <w:right w:w="62" w:type="dxa"/>
          </w:tblCellMar>
          <w:tblLook w:val="0000"/>
        </w:tblPrEx>
        <w:tc>
          <w:tcPr>
            <w:tcW w:w="3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058C">
            <w:pPr>
              <w:pStyle w:val="BodyText"/>
              <w:rPr>
                <w:lang w:val="en-NZ"/>
              </w:rPr>
            </w:pPr>
            <w:r w:rsidRPr="00E3058C">
              <w:rPr>
                <w:rStyle w:val="SpecialBold"/>
              </w:rPr>
              <w:t>Overview of assessment</w:t>
            </w:r>
          </w:p>
        </w:tc>
        <w:tc>
          <w:tcPr>
            <w:tcW w:w="54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058C">
            <w:pPr>
              <w:pStyle w:val="BodyText"/>
              <w:rPr>
                <w:lang w:val="en-NZ"/>
              </w:rPr>
            </w:pPr>
          </w:p>
        </w:tc>
      </w:tr>
      <w:tr w:rsidTr="00E3058C">
        <w:tblPrEx>
          <w:tblW w:w="0" w:type="auto"/>
          <w:tblLayout w:type="fixed"/>
          <w:tblCellMar>
            <w:left w:w="62" w:type="dxa"/>
            <w:right w:w="62" w:type="dxa"/>
          </w:tblCellMar>
          <w:tblLook w:val="0000"/>
        </w:tblPrEx>
        <w:tc>
          <w:tcPr>
            <w:tcW w:w="3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058C">
            <w:pPr>
              <w:pStyle w:val="BodyText"/>
              <w:rPr>
                <w:lang w:val="en-NZ"/>
              </w:rPr>
            </w:pPr>
            <w:r w:rsidRPr="00E3058C">
              <w:rPr>
                <w:rStyle w:val="SpecialBold"/>
              </w:rPr>
              <w:t>Critical aspects for assessment and evidence required to demonstrate competency in this unit</w:t>
            </w:r>
          </w:p>
        </w:tc>
        <w:tc>
          <w:tcPr>
            <w:tcW w:w="54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058C" w:rsidP="00E3058C">
            <w:pPr>
              <w:pStyle w:val="BodyText"/>
            </w:pPr>
            <w:r w:rsidRPr="00E3058C">
              <w:t>Evidence of the fo</w:t>
            </w:r>
            <w:r w:rsidRPr="00E3058C">
              <w:t>llowing is essential:</w:t>
            </w:r>
          </w:p>
          <w:p w:rsidR="00000000" w:rsidRPr="00E3058C" w:rsidP="00E3058C">
            <w:pPr>
              <w:pStyle w:val="BodyText"/>
            </w:pPr>
          </w:p>
          <w:p w:rsidR="00000000" w:rsidRPr="00E3058C" w:rsidP="00E3058C">
            <w:pPr>
              <w:pStyle w:val="ListBullet"/>
            </w:pPr>
            <w:r w:rsidRPr="00E3058C">
              <w:t>applying ergonomics principles, processes and methods in the assessment of a range of WHS hazards and risks, and in the development and evaluation of risk controls</w:t>
            </w:r>
          </w:p>
          <w:p w:rsidR="00000000" w:rsidRPr="00E3058C" w:rsidP="00E3058C">
            <w:pPr>
              <w:pStyle w:val="ListBullet"/>
            </w:pPr>
            <w:r w:rsidRPr="00E3058C">
              <w:t>applying ergonomics principles, processes and methods to enhance WHS-related planning and design activities</w:t>
            </w:r>
          </w:p>
          <w:p w:rsidR="00000000" w:rsidRPr="00E3058C" w:rsidP="00E3058C">
            <w:pPr>
              <w:pStyle w:val="ListBullet"/>
            </w:pPr>
            <w:r w:rsidRPr="00E3058C">
              <w:t>working with specialists to manage WHS hazards and risks</w:t>
            </w:r>
          </w:p>
          <w:p w:rsidR="00000000" w:rsidP="00E3058C">
            <w:pPr>
              <w:pStyle w:val="ListBullet"/>
              <w:rPr>
                <w:lang w:val="en-NZ"/>
              </w:rPr>
            </w:pPr>
            <w:r w:rsidRPr="00E3058C">
              <w:t>knowledge of current approaches to and developments in ergonomics in the workplace.</w:t>
            </w:r>
          </w:p>
        </w:tc>
      </w:tr>
      <w:tr w:rsidTr="00E3058C">
        <w:tblPrEx>
          <w:tblW w:w="0" w:type="auto"/>
          <w:tblLayout w:type="fixed"/>
          <w:tblCellMar>
            <w:left w:w="62" w:type="dxa"/>
            <w:right w:w="62" w:type="dxa"/>
          </w:tblCellMar>
          <w:tblLook w:val="0000"/>
        </w:tblPrEx>
        <w:tc>
          <w:tcPr>
            <w:tcW w:w="3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058C">
            <w:pPr>
              <w:pStyle w:val="BodyText"/>
              <w:rPr>
                <w:lang w:val="en-NZ"/>
              </w:rPr>
            </w:pPr>
            <w:r w:rsidRPr="00E3058C">
              <w:rPr>
                <w:rStyle w:val="SpecialBold"/>
              </w:rPr>
              <w:t>Contex</w:t>
            </w:r>
            <w:r w:rsidRPr="00E3058C">
              <w:rPr>
                <w:rStyle w:val="SpecialBold"/>
              </w:rPr>
              <w:t>t of and specific resources for assessment</w:t>
            </w:r>
          </w:p>
        </w:tc>
        <w:tc>
          <w:tcPr>
            <w:tcW w:w="54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058C" w:rsidP="00E3058C">
            <w:pPr>
              <w:pStyle w:val="BodyText"/>
            </w:pPr>
            <w:r w:rsidRPr="00E3058C">
              <w:t>Assessment must ensure access to:</w:t>
            </w:r>
          </w:p>
          <w:p w:rsidR="00000000" w:rsidRPr="00E3058C" w:rsidP="00E3058C">
            <w:pPr>
              <w:pStyle w:val="BodyText"/>
            </w:pPr>
          </w:p>
          <w:p w:rsidR="00000000" w:rsidRPr="00E3058C" w:rsidP="00E3058C">
            <w:pPr>
              <w:pStyle w:val="ListBullet"/>
            </w:pPr>
            <w:r w:rsidRPr="00E3058C">
              <w:t>a workplace</w:t>
            </w:r>
          </w:p>
          <w:p w:rsidR="00000000" w:rsidRPr="00E3058C" w:rsidP="00E3058C">
            <w:pPr>
              <w:pStyle w:val="ListBullet"/>
            </w:pPr>
            <w:r w:rsidRPr="00E3058C">
              <w:t>relevant legislation, standards, guidelines, information and data</w:t>
            </w:r>
          </w:p>
          <w:p w:rsidR="00000000" w:rsidP="00E3058C">
            <w:pPr>
              <w:pStyle w:val="ListBullet"/>
              <w:rPr>
                <w:lang w:val="en-NZ"/>
              </w:rPr>
            </w:pPr>
            <w:r w:rsidRPr="00E3058C">
              <w:t>reports from other parties consulted in developing ergonomics interventions.</w:t>
            </w:r>
          </w:p>
        </w:tc>
      </w:tr>
      <w:tr w:rsidTr="00E3058C">
        <w:tblPrEx>
          <w:tblW w:w="0" w:type="auto"/>
          <w:tblLayout w:type="fixed"/>
          <w:tblCellMar>
            <w:left w:w="62" w:type="dxa"/>
            <w:right w:w="62" w:type="dxa"/>
          </w:tblCellMar>
          <w:tblLook w:val="0000"/>
        </w:tblPrEx>
        <w:tc>
          <w:tcPr>
            <w:tcW w:w="3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058C">
            <w:pPr>
              <w:pStyle w:val="BodyText"/>
              <w:rPr>
                <w:lang w:val="en-NZ"/>
              </w:rPr>
            </w:pPr>
            <w:r w:rsidRPr="00E3058C">
              <w:rPr>
                <w:rStyle w:val="SpecialBold"/>
              </w:rPr>
              <w:t>Method of assessment</w:t>
            </w:r>
          </w:p>
        </w:tc>
        <w:tc>
          <w:tcPr>
            <w:tcW w:w="54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058C" w:rsidP="00E3058C">
            <w:pPr>
              <w:pStyle w:val="BodyText"/>
            </w:pPr>
            <w:r w:rsidRPr="00E3058C">
              <w:t>A range of assessment methods should be used to assess practical skills and knowledge. The following examples are appropriate for this unit:</w:t>
            </w:r>
          </w:p>
          <w:p w:rsidR="00000000" w:rsidRPr="00E3058C" w:rsidP="00E3058C">
            <w:pPr>
              <w:pStyle w:val="BodyText"/>
            </w:pPr>
          </w:p>
          <w:p w:rsidR="00000000" w:rsidRPr="00E3058C" w:rsidP="00E3058C">
            <w:pPr>
              <w:pStyle w:val="ListBullet"/>
            </w:pPr>
            <w:r w:rsidRPr="00E3058C">
              <w:t>analysis of responses to case studies and scenarios</w:t>
            </w:r>
          </w:p>
          <w:p w:rsidR="00000000" w:rsidRPr="00E3058C" w:rsidP="00E3058C">
            <w:pPr>
              <w:pStyle w:val="ListBullet"/>
            </w:pPr>
            <w:r w:rsidRPr="00E3058C">
              <w:t>direct questioning combined with review of portfolios of evidence and third-party reports of on</w:t>
            </w:r>
            <w:r w:rsidRPr="00E3058C">
              <w:noBreakHyphen/>
              <w:t>the-job performance by the candidate</w:t>
            </w:r>
          </w:p>
          <w:p w:rsidR="00000000" w:rsidRPr="00E3058C" w:rsidP="00E3058C">
            <w:pPr>
              <w:pStyle w:val="ListBullet"/>
            </w:pPr>
            <w:r w:rsidRPr="00E3058C">
              <w:t>observation of presentations</w:t>
            </w:r>
          </w:p>
          <w:p w:rsidR="00000000" w:rsidRPr="00E3058C" w:rsidP="00E3058C">
            <w:pPr>
              <w:pStyle w:val="ListBullet"/>
            </w:pPr>
            <w:r w:rsidRPr="00E3058C">
              <w:t>oral or written questioning to assess knowledge of ergonomics principles, processes and method</w:t>
            </w:r>
            <w:r w:rsidRPr="00E3058C">
              <w:t>s applicable to the management of WHS hazards and risks, and WHS-related planning and design activities and processes</w:t>
            </w:r>
          </w:p>
          <w:p w:rsidR="00000000" w:rsidP="00E3058C">
            <w:pPr>
              <w:pStyle w:val="ListBullet"/>
              <w:rPr>
                <w:lang w:val="en-NZ"/>
              </w:rPr>
            </w:pPr>
            <w:r w:rsidRPr="00E3058C">
              <w:t xml:space="preserve">written examples and reports on the review and </w:t>
            </w:r>
            <w:r w:rsidRPr="00E3058C">
              <w:t xml:space="preserve">outcomes of ergonomics recommendations made to manage WHS risks and hazards and to enhance </w:t>
            </w:r>
            <w:r w:rsidRPr="00E3058C">
              <w:t>WHS-related planning and design activities.</w:t>
            </w:r>
          </w:p>
        </w:tc>
      </w:tr>
      <w:tr w:rsidTr="00E3058C">
        <w:tblPrEx>
          <w:tblW w:w="0" w:type="auto"/>
          <w:tblLayout w:type="fixed"/>
          <w:tblCellMar>
            <w:left w:w="62" w:type="dxa"/>
            <w:right w:w="62" w:type="dxa"/>
          </w:tblCellMar>
          <w:tblLook w:val="0000"/>
        </w:tblPrEx>
        <w:tc>
          <w:tcPr>
            <w:tcW w:w="3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058C">
            <w:pPr>
              <w:pStyle w:val="BodyText"/>
              <w:rPr>
                <w:lang w:val="en-NZ"/>
              </w:rPr>
            </w:pPr>
            <w:r w:rsidRPr="00E3058C">
              <w:rPr>
                <w:rStyle w:val="SpecialBold"/>
              </w:rPr>
              <w:t>Guidance information for assessment</w:t>
            </w:r>
          </w:p>
        </w:tc>
        <w:tc>
          <w:tcPr>
            <w:tcW w:w="54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058C" w:rsidP="00E3058C">
            <w:pPr>
              <w:pStyle w:val="BodyText"/>
            </w:pPr>
            <w:r w:rsidRPr="00E3058C">
              <w:t>Holistic assessment with other units relevant to the industry sector, workplace and job role is recommended, for example:</w:t>
            </w:r>
          </w:p>
          <w:p w:rsidR="00000000" w:rsidRPr="00E3058C" w:rsidP="00E3058C">
            <w:pPr>
              <w:pStyle w:val="BodyText"/>
            </w:pPr>
          </w:p>
          <w:p w:rsidR="00000000" w:rsidRPr="00E3058C" w:rsidP="00E3058C">
            <w:pPr>
              <w:pStyle w:val="ListBullet"/>
            </w:pPr>
            <w:r w:rsidRPr="00E3058C">
              <w:t>BSBWHS609A Advise on the application of safe design</w:t>
            </w:r>
            <w:r w:rsidRPr="00E3058C">
              <w:t xml:space="preserve"> principles to control WHS risks.</w:t>
            </w:r>
          </w:p>
        </w:tc>
      </w:tr>
    </w:tbl>
    <w:p w:rsidR="00000000" w:rsidRPr="00E3058C" w:rsidP="00E3058C">
      <w:pPr>
        <w:pStyle w:val="BodyText"/>
      </w:pPr>
    </w:p>
    <w:p w:rsidR="00000000" w:rsidRPr="00E3058C" w:rsidP="00E3058C">
      <w:pPr>
        <w:pStyle w:val="AllowPageBreak"/>
      </w:pPr>
    </w:p>
    <w:p w:rsidR="00000000" w:rsidRPr="00E3058C" w:rsidP="00E3058C">
      <w:pPr>
        <w:pStyle w:val="Heading1"/>
      </w:pPr>
      <w:bookmarkStart w:id="11" w:name="O_511304"/>
      <w:bookmarkEnd w:id="11"/>
      <w:r w:rsidRPr="00E3058C">
        <w:t>Range Statement</w:t>
      </w:r>
    </w:p>
    <w:p w:rsidR="00000000" w:rsidRPr="00E3058C" w:rsidP="00E3058C">
      <w:pPr>
        <w:pStyle w:val="BodyText"/>
      </w:pPr>
      <w:r w:rsidRPr="00E3058C">
        <w:rPr>
          <w:rStyle w:val="Emphasis"/>
        </w:rPr>
        <w:t xml:space="preserve">The range statement relates to the unit of competency as a whole. It allows for different work environments and situations that may affect </w:t>
      </w:r>
      <w:r w:rsidRPr="00E3058C">
        <w:rPr>
          <w:rStyle w:val="Emphasis"/>
        </w:rPr>
        <w:t>performance. Bold italicised wording, if used in the performance criteria, is detailed below. Essential operating conditions that may be present with training and assessment (depending on the work situation, needs of the candidate, accessibility of the ite</w:t>
      </w:r>
      <w:r w:rsidRPr="00E3058C">
        <w:rPr>
          <w:rStyle w:val="Emphasis"/>
        </w:rPr>
        <w:t>m, and local industry and regional contexts) may also be included.</w:t>
      </w:r>
    </w:p>
    <w:p w:rsidR="00000000" w:rsidRPr="00E3058C" w:rsidP="00E3058C">
      <w:pPr>
        <w:pStyle w:val="BodyText"/>
      </w:pPr>
    </w:p>
    <w:tbl>
      <w:tblPr>
        <w:tblW w:w="0" w:type="auto"/>
        <w:tblLayout w:type="fixed"/>
        <w:tblCellMar>
          <w:left w:w="62" w:type="dxa"/>
          <w:right w:w="62" w:type="dxa"/>
        </w:tblCellMar>
        <w:tblLook w:val="0000"/>
      </w:tblPr>
      <w:tblGrid>
        <w:gridCol w:w="3552"/>
        <w:gridCol w:w="5448"/>
      </w:tblGrid>
      <w:tr w:rsidTr="00E3058C">
        <w:tblPrEx>
          <w:tblW w:w="0" w:type="auto"/>
          <w:tblLayout w:type="fixed"/>
          <w:tblCellMar>
            <w:left w:w="62" w:type="dxa"/>
            <w:right w:w="62" w:type="dxa"/>
          </w:tblCellMar>
          <w:tblLook w:val="0000"/>
        </w:tblPrEx>
        <w:tc>
          <w:tcPr>
            <w:tcW w:w="3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058C">
            <w:pPr>
              <w:pStyle w:val="BodyText"/>
              <w:rPr>
                <w:lang w:val="en-NZ"/>
              </w:rPr>
            </w:pPr>
            <w:r w:rsidRPr="00E3058C">
              <w:rPr>
                <w:rStyle w:val="BoldandItalics"/>
              </w:rPr>
              <w:t xml:space="preserve">WHS hazards and risks </w:t>
            </w:r>
            <w:r w:rsidRPr="00E3058C">
              <w:t>may include:</w:t>
            </w:r>
          </w:p>
        </w:tc>
        <w:tc>
          <w:tcPr>
            <w:tcW w:w="54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058C" w:rsidP="00E3058C">
            <w:pPr>
              <w:pStyle w:val="ListBullet"/>
            </w:pPr>
            <w:r w:rsidRPr="00E3058C">
              <w:t>bullying</w:t>
            </w:r>
          </w:p>
          <w:p w:rsidR="00000000" w:rsidRPr="00E3058C" w:rsidP="00E3058C">
            <w:pPr>
              <w:pStyle w:val="ListBullet"/>
            </w:pPr>
            <w:r w:rsidRPr="00E3058C">
              <w:t>fatigue</w:t>
            </w:r>
          </w:p>
          <w:p w:rsidR="00000000" w:rsidRPr="00E3058C" w:rsidP="00E3058C">
            <w:pPr>
              <w:pStyle w:val="ListBullet"/>
            </w:pPr>
            <w:r w:rsidRPr="00E3058C">
              <w:t>hazardous physical and/or mental workloads</w:t>
            </w:r>
          </w:p>
          <w:p w:rsidR="00000000" w:rsidRPr="00E3058C" w:rsidP="00E3058C">
            <w:pPr>
              <w:pStyle w:val="ListBullet"/>
            </w:pPr>
            <w:r w:rsidRPr="00E3058C">
              <w:t>lighting</w:t>
            </w:r>
          </w:p>
          <w:p w:rsidR="00000000" w:rsidRPr="00E3058C" w:rsidP="00E3058C">
            <w:pPr>
              <w:pStyle w:val="ListBullet"/>
            </w:pPr>
            <w:r w:rsidRPr="00E3058C">
              <w:t>manual handling</w:t>
            </w:r>
          </w:p>
          <w:p w:rsidR="00000000" w:rsidRPr="00E3058C" w:rsidP="00E3058C">
            <w:pPr>
              <w:pStyle w:val="ListBullet"/>
            </w:pPr>
            <w:r w:rsidRPr="00E3058C">
              <w:t>noise and infrasound</w:t>
            </w:r>
          </w:p>
          <w:p w:rsidR="00000000" w:rsidRPr="00E3058C" w:rsidP="00E3058C">
            <w:pPr>
              <w:pStyle w:val="ListBullet"/>
            </w:pPr>
            <w:r w:rsidRPr="00E3058C">
              <w:t>plant-related hazards and risks</w:t>
            </w:r>
          </w:p>
          <w:p w:rsidR="00000000" w:rsidRPr="00E3058C" w:rsidP="00E3058C">
            <w:pPr>
              <w:pStyle w:val="ListBullet"/>
            </w:pPr>
            <w:r w:rsidRPr="00E3058C">
              <w:t>psychosocial h</w:t>
            </w:r>
            <w:r w:rsidRPr="00E3058C">
              <w:t>azards</w:t>
            </w:r>
          </w:p>
          <w:p w:rsidR="00000000" w:rsidRPr="00E3058C" w:rsidP="00E3058C">
            <w:pPr>
              <w:pStyle w:val="ListBullet"/>
            </w:pPr>
            <w:r w:rsidRPr="00E3058C">
              <w:t>shift work and extended shifts</w:t>
            </w:r>
          </w:p>
          <w:p w:rsidR="00000000" w:rsidRPr="00E3058C" w:rsidP="00E3058C">
            <w:pPr>
              <w:pStyle w:val="ListBullet"/>
            </w:pPr>
            <w:r w:rsidRPr="00E3058C">
              <w:t>vibration</w:t>
            </w:r>
          </w:p>
          <w:p w:rsidR="00000000" w:rsidRPr="00E3058C" w:rsidP="00E3058C">
            <w:pPr>
              <w:pStyle w:val="ListBullet"/>
            </w:pPr>
            <w:r w:rsidRPr="00E3058C">
              <w:t>work stress</w:t>
            </w:r>
          </w:p>
          <w:p w:rsidR="00000000" w:rsidP="00E3058C">
            <w:pPr>
              <w:pStyle w:val="ListBullet"/>
              <w:rPr>
                <w:lang w:val="en-NZ"/>
              </w:rPr>
            </w:pPr>
            <w:r w:rsidRPr="00E3058C">
              <w:t>workplace layout hazards.</w:t>
            </w:r>
          </w:p>
        </w:tc>
      </w:tr>
      <w:tr w:rsidTr="00E3058C">
        <w:tblPrEx>
          <w:tblW w:w="0" w:type="auto"/>
          <w:tblLayout w:type="fixed"/>
          <w:tblCellMar>
            <w:left w:w="62" w:type="dxa"/>
            <w:right w:w="62" w:type="dxa"/>
          </w:tblCellMar>
          <w:tblLook w:val="0000"/>
        </w:tblPrEx>
        <w:tc>
          <w:tcPr>
            <w:tcW w:w="3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058C">
            <w:pPr>
              <w:pStyle w:val="BodyText"/>
              <w:rPr>
                <w:lang w:val="en-NZ"/>
              </w:rPr>
            </w:pPr>
            <w:r w:rsidRPr="00E3058C">
              <w:rPr>
                <w:rStyle w:val="BoldandItalics"/>
              </w:rPr>
              <w:t xml:space="preserve">WHS-related planning and design activities and processes </w:t>
            </w:r>
            <w:r w:rsidRPr="00E3058C">
              <w:t>may include:</w:t>
            </w:r>
          </w:p>
        </w:tc>
        <w:tc>
          <w:tcPr>
            <w:tcW w:w="54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058C" w:rsidP="00E3058C">
            <w:pPr>
              <w:pStyle w:val="ListBullet"/>
            </w:pPr>
            <w:r w:rsidRPr="00E3058C">
              <w:t>work and workplace systems</w:t>
            </w:r>
          </w:p>
          <w:p w:rsidR="00000000" w:rsidRPr="00E3058C" w:rsidP="00E3058C">
            <w:pPr>
              <w:pStyle w:val="ListBullet"/>
            </w:pPr>
            <w:r w:rsidRPr="00E3058C">
              <w:t>workstations and work areas</w:t>
            </w:r>
          </w:p>
          <w:p w:rsidR="00000000" w:rsidRPr="00E3058C" w:rsidP="00E3058C">
            <w:pPr>
              <w:pStyle w:val="ListBullet"/>
            </w:pPr>
            <w:r w:rsidRPr="00E3058C">
              <w:t>jobs and tasks</w:t>
            </w:r>
          </w:p>
          <w:p w:rsidR="00000000" w:rsidRPr="00E3058C" w:rsidP="00E3058C">
            <w:pPr>
              <w:pStyle w:val="ListBullet"/>
            </w:pPr>
            <w:r w:rsidRPr="00E3058C">
              <w:t>physical and psychosocial work environments</w:t>
            </w:r>
          </w:p>
          <w:p w:rsidR="00000000" w:rsidRPr="00E3058C" w:rsidP="00E3058C">
            <w:pPr>
              <w:pStyle w:val="ListBullet"/>
            </w:pPr>
            <w:r w:rsidRPr="00E3058C">
              <w:t>shift work and general work rosters</w:t>
            </w:r>
          </w:p>
          <w:p w:rsidR="00000000" w:rsidRPr="00E3058C" w:rsidP="00E3058C">
            <w:pPr>
              <w:pStyle w:val="ListBullet"/>
            </w:pPr>
            <w:r w:rsidRPr="00E3058C">
              <w:t>workplace policies, procedures, processes and structures</w:t>
            </w:r>
          </w:p>
          <w:p w:rsidR="00000000" w:rsidRPr="00E3058C" w:rsidP="00E3058C">
            <w:pPr>
              <w:pStyle w:val="ListBullet"/>
            </w:pPr>
            <w:r w:rsidRPr="00E3058C">
              <w:t>workplace communications systems and processes</w:t>
            </w:r>
          </w:p>
          <w:p w:rsidR="00000000" w:rsidRPr="00E3058C" w:rsidP="00E3058C">
            <w:pPr>
              <w:pStyle w:val="ListBullet"/>
            </w:pPr>
            <w:r w:rsidRPr="00E3058C">
              <w:t>WHS management systems</w:t>
            </w:r>
          </w:p>
          <w:p w:rsidR="00000000" w:rsidRPr="00E3058C" w:rsidP="00E3058C">
            <w:pPr>
              <w:pStyle w:val="ListBullet"/>
            </w:pPr>
            <w:r w:rsidRPr="00E3058C">
              <w:t>information technology systems</w:t>
            </w:r>
          </w:p>
          <w:p w:rsidR="00000000" w:rsidRPr="00E3058C" w:rsidP="00E3058C">
            <w:pPr>
              <w:pStyle w:val="ListBullet"/>
            </w:pPr>
            <w:r w:rsidRPr="00E3058C">
              <w:t>plant, equipment a</w:t>
            </w:r>
            <w:r w:rsidRPr="00E3058C">
              <w:t>nd tools, including their specification and acquisition</w:t>
            </w:r>
          </w:p>
          <w:p w:rsidR="00000000" w:rsidRPr="00E3058C" w:rsidP="00E3058C">
            <w:pPr>
              <w:pStyle w:val="ListBullet"/>
            </w:pPr>
            <w:r w:rsidRPr="00E3058C">
              <w:t>specification and acquisition of services</w:t>
            </w:r>
          </w:p>
          <w:p w:rsidR="00000000" w:rsidP="00E3058C">
            <w:pPr>
              <w:pStyle w:val="ListBullet"/>
              <w:rPr>
                <w:lang w:val="en-NZ"/>
              </w:rPr>
            </w:pPr>
            <w:r w:rsidRPr="00E3058C">
              <w:t>maintenance processes and procedures.</w:t>
            </w:r>
          </w:p>
        </w:tc>
      </w:tr>
      <w:tr w:rsidTr="00E3058C">
        <w:tblPrEx>
          <w:tblW w:w="0" w:type="auto"/>
          <w:tblLayout w:type="fixed"/>
          <w:tblCellMar>
            <w:left w:w="62" w:type="dxa"/>
            <w:right w:w="62" w:type="dxa"/>
          </w:tblCellMar>
          <w:tblLook w:val="0000"/>
        </w:tblPrEx>
        <w:tc>
          <w:tcPr>
            <w:tcW w:w="3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058C">
            <w:pPr>
              <w:pStyle w:val="BodyText"/>
              <w:rPr>
                <w:lang w:val="en-NZ"/>
              </w:rPr>
            </w:pPr>
            <w:r w:rsidRPr="00E3058C">
              <w:rPr>
                <w:rStyle w:val="BoldandItalics"/>
              </w:rPr>
              <w:t xml:space="preserve">Other relevant documents </w:t>
            </w:r>
            <w:r w:rsidRPr="00E3058C">
              <w:t>may include:</w:t>
            </w:r>
          </w:p>
        </w:tc>
        <w:tc>
          <w:tcPr>
            <w:tcW w:w="54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058C" w:rsidP="00E3058C">
            <w:pPr>
              <w:pStyle w:val="ListBullet"/>
            </w:pPr>
            <w:r w:rsidRPr="00E3058C">
              <w:t>policies</w:t>
            </w:r>
          </w:p>
          <w:p w:rsidR="00000000" w:rsidRPr="00E3058C" w:rsidP="00E3058C">
            <w:pPr>
              <w:pStyle w:val="ListBullet"/>
            </w:pPr>
            <w:r w:rsidRPr="00E3058C">
              <w:t>standards</w:t>
            </w:r>
          </w:p>
          <w:p w:rsidR="00000000" w:rsidRPr="00E3058C" w:rsidP="00E3058C">
            <w:pPr>
              <w:pStyle w:val="ListBullet"/>
            </w:pPr>
            <w:r w:rsidRPr="00E3058C">
              <w:t>guidance publications</w:t>
            </w:r>
          </w:p>
          <w:p w:rsidR="00000000" w:rsidP="00E3058C">
            <w:pPr>
              <w:pStyle w:val="ListBullet"/>
              <w:rPr>
                <w:lang w:val="en-NZ"/>
              </w:rPr>
            </w:pPr>
            <w:r w:rsidRPr="00E3058C">
              <w:t>alerts issued by the relevant WHS regulators.</w:t>
            </w:r>
          </w:p>
        </w:tc>
      </w:tr>
      <w:tr w:rsidTr="00E3058C">
        <w:tblPrEx>
          <w:tblW w:w="0" w:type="auto"/>
          <w:tblLayout w:type="fixed"/>
          <w:tblCellMar>
            <w:left w:w="62" w:type="dxa"/>
            <w:right w:w="62" w:type="dxa"/>
          </w:tblCellMar>
          <w:tblLook w:val="0000"/>
        </w:tblPrEx>
        <w:tc>
          <w:tcPr>
            <w:tcW w:w="3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058C">
            <w:pPr>
              <w:pStyle w:val="BodyText"/>
              <w:rPr>
                <w:lang w:val="en-NZ"/>
              </w:rPr>
            </w:pPr>
            <w:r w:rsidRPr="00E3058C">
              <w:rPr>
                <w:rStyle w:val="BoldandItalics"/>
              </w:rPr>
              <w:t xml:space="preserve">Specialists </w:t>
            </w:r>
            <w:r w:rsidRPr="00E3058C">
              <w:t>may include:</w:t>
            </w:r>
          </w:p>
        </w:tc>
        <w:tc>
          <w:tcPr>
            <w:tcW w:w="54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058C" w:rsidP="00E3058C">
            <w:pPr>
              <w:pStyle w:val="ListBullet"/>
            </w:pPr>
            <w:r w:rsidRPr="00E3058C">
              <w:t>designers</w:t>
            </w:r>
          </w:p>
          <w:p w:rsidR="00000000" w:rsidRPr="00E3058C" w:rsidP="00E3058C">
            <w:pPr>
              <w:pStyle w:val="ListBullet"/>
            </w:pPr>
            <w:r w:rsidRPr="00E3058C">
              <w:t>engineers: design, acoustic, safety and mechanical</w:t>
            </w:r>
          </w:p>
          <w:p w:rsidR="00000000" w:rsidRPr="00E3058C" w:rsidP="00E3058C">
            <w:pPr>
              <w:pStyle w:val="ListBullet"/>
            </w:pPr>
            <w:r w:rsidRPr="00E3058C">
              <w:t>health professionals</w:t>
            </w:r>
          </w:p>
          <w:p w:rsidR="00000000" w:rsidRPr="00E3058C" w:rsidP="00E3058C">
            <w:pPr>
              <w:pStyle w:val="ListBullet"/>
            </w:pPr>
            <w:r w:rsidRPr="00E3058C">
              <w:t xml:space="preserve">manufacturers and suppliers of workplace goods </w:t>
            </w:r>
            <w:r w:rsidRPr="00E3058C">
              <w:t>and services</w:t>
            </w:r>
          </w:p>
          <w:p w:rsidR="00000000" w:rsidRPr="00E3058C" w:rsidP="00E3058C">
            <w:pPr>
              <w:pStyle w:val="ListBullet"/>
            </w:pPr>
            <w:r w:rsidRPr="00E3058C">
              <w:t>professional ergonomists.</w:t>
            </w:r>
          </w:p>
        </w:tc>
      </w:tr>
    </w:tbl>
    <w:p w:rsidR="00000000" w:rsidRPr="00E3058C" w:rsidP="00E3058C">
      <w:pPr>
        <w:pStyle w:val="BodyText"/>
      </w:pPr>
    </w:p>
    <w:p w:rsidR="00000000" w:rsidRPr="00E3058C" w:rsidP="00E3058C">
      <w:pPr>
        <w:pStyle w:val="AllowPageBreak"/>
      </w:pPr>
    </w:p>
    <w:p w:rsidR="00000000" w:rsidRPr="00E3058C" w:rsidP="00E3058C">
      <w:pPr>
        <w:pStyle w:val="Heading1"/>
      </w:pPr>
      <w:bookmarkStart w:id="12" w:name="O_511305"/>
      <w:bookmarkEnd w:id="12"/>
      <w:r w:rsidRPr="00E3058C">
        <w:t>Unit Sector(s)</w:t>
      </w:r>
    </w:p>
    <w:p w:rsidR="00000000" w:rsidRPr="00E3058C" w:rsidP="00E3058C">
      <w:pPr>
        <w:pStyle w:val="BodyText"/>
      </w:pPr>
      <w:r w:rsidRPr="00E3058C">
        <w:t>Regulation, Licensing and Risk – Work Health and Safety</w:t>
      </w:r>
    </w:p>
    <w:p w:rsidR="00000000" w:rsidRPr="00E3058C" w:rsidP="00E3058C"/>
    <w:sectPr w:rsidSect="00E3058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58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58C" w:rsidRPr="006462FF" w:rsidP="006462F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58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62FF" w:rsidP="00E3058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6462FF" w:rsidP="00E3058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462FF" w:rsidP="00E3058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58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58C" w:rsidRPr="006462FF" w:rsidP="006462F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58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62FF" w:rsidRPr="002D2AF8" w:rsidP="00E3058C">
    <w:pPr>
      <w:pStyle w:val="Header"/>
      <w:framePr w:wrap="around"/>
    </w:pPr>
    <w:r>
      <w:fldChar w:fldCharType="begin"/>
    </w:r>
    <w:r>
      <w:instrText xml:space="preserve"> TITLE   \* MERGEFORMAT </w:instrText>
    </w:r>
    <w:r>
      <w:fldChar w:fldCharType="separate"/>
    </w:r>
    <w:r>
      <w:t>BSBWHS607A Apply ergonomics to manage WHS hazards and risks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18/12/2012</w:t>
    </w:r>
    <w:r>
      <w:fldChar w:fldCharType="end"/>
    </w:r>
  </w:p>
  <w:p w:rsidR="006462FF" w:rsidP="00E3058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D8E7F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2EA07F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33254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058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3058C"/>
    <w:pPr>
      <w:spacing w:before="360" w:after="60"/>
      <w:outlineLvl w:val="0"/>
    </w:pPr>
    <w:rPr>
      <w:sz w:val="32"/>
    </w:rPr>
  </w:style>
  <w:style w:type="paragraph" w:styleId="Heading2">
    <w:name w:val="heading 2"/>
    <w:basedOn w:val="HeadingBase"/>
    <w:next w:val="BodyText"/>
    <w:link w:val="Heading2Char"/>
    <w:qFormat/>
    <w:rsid w:val="00E3058C"/>
    <w:pPr>
      <w:keepLines/>
      <w:spacing w:before="240" w:after="120"/>
      <w:outlineLvl w:val="1"/>
    </w:pPr>
    <w:rPr>
      <w:sz w:val="28"/>
      <w:szCs w:val="40"/>
    </w:rPr>
  </w:style>
  <w:style w:type="paragraph" w:styleId="Heading3">
    <w:name w:val="heading 3"/>
    <w:basedOn w:val="HeadingBase"/>
    <w:next w:val="BodyText"/>
    <w:link w:val="Heading3Char"/>
    <w:qFormat/>
    <w:rsid w:val="00E3058C"/>
    <w:pPr>
      <w:spacing w:before="180" w:after="120"/>
      <w:outlineLvl w:val="2"/>
    </w:pPr>
    <w:rPr>
      <w:spacing w:val="-10"/>
      <w:kern w:val="32"/>
    </w:rPr>
  </w:style>
  <w:style w:type="paragraph" w:styleId="Heading4">
    <w:name w:val="heading 4"/>
    <w:basedOn w:val="HeadingBase"/>
    <w:next w:val="BodyText"/>
    <w:link w:val="Heading4Char"/>
    <w:qFormat/>
    <w:rsid w:val="00E3058C"/>
    <w:pPr>
      <w:spacing w:before="160" w:after="120"/>
      <w:outlineLvl w:val="3"/>
    </w:pPr>
    <w:rPr>
      <w:sz w:val="22"/>
    </w:rPr>
  </w:style>
  <w:style w:type="paragraph" w:styleId="Heading5">
    <w:name w:val="heading 5"/>
    <w:basedOn w:val="HeadingBase"/>
    <w:next w:val="Normal"/>
    <w:link w:val="Heading5Char"/>
    <w:qFormat/>
    <w:rsid w:val="00E3058C"/>
    <w:pPr>
      <w:spacing w:before="80"/>
      <w:outlineLvl w:val="4"/>
    </w:pPr>
    <w:rPr>
      <w:color w:val="918585"/>
      <w:sz w:val="20"/>
    </w:rPr>
  </w:style>
  <w:style w:type="paragraph" w:styleId="Heading6">
    <w:name w:val="heading 6"/>
    <w:basedOn w:val="HeadingBase"/>
    <w:next w:val="Normal"/>
    <w:link w:val="Heading6Char"/>
    <w:qFormat/>
    <w:rsid w:val="00E3058C"/>
    <w:pPr>
      <w:spacing w:before="60"/>
      <w:outlineLvl w:val="5"/>
    </w:pPr>
    <w:rPr>
      <w:color w:val="918585"/>
      <w:sz w:val="20"/>
    </w:rPr>
  </w:style>
  <w:style w:type="paragraph" w:styleId="Heading7">
    <w:name w:val="heading 7"/>
    <w:basedOn w:val="Normal"/>
    <w:next w:val="Normal"/>
    <w:link w:val="Heading7Char"/>
    <w:qFormat/>
    <w:rsid w:val="00E3058C"/>
    <w:pPr>
      <w:ind w:left="720"/>
      <w:outlineLvl w:val="6"/>
    </w:pPr>
    <w:rPr>
      <w:i/>
    </w:rPr>
  </w:style>
  <w:style w:type="paragraph" w:styleId="Heading8">
    <w:name w:val="heading 8"/>
    <w:basedOn w:val="Normal"/>
    <w:next w:val="Normal"/>
    <w:link w:val="Heading8Char"/>
    <w:qFormat/>
    <w:rsid w:val="00E3058C"/>
    <w:pPr>
      <w:ind w:left="720"/>
      <w:outlineLvl w:val="7"/>
    </w:pPr>
    <w:rPr>
      <w:i/>
    </w:rPr>
  </w:style>
  <w:style w:type="paragraph" w:styleId="Heading9">
    <w:name w:val="heading 9"/>
    <w:basedOn w:val="Normal"/>
    <w:next w:val="Normal"/>
    <w:link w:val="Heading9Char"/>
    <w:qFormat/>
    <w:rsid w:val="00E3058C"/>
    <w:pPr>
      <w:ind w:left="720"/>
      <w:outlineLvl w:val="8"/>
    </w:pPr>
    <w:rPr>
      <w:i/>
    </w:rPr>
  </w:style>
  <w:style w:type="character" w:default="1" w:styleId="DefaultParagraphFont">
    <w:name w:val="Default Paragraph Font"/>
    <w:uiPriority w:val="1"/>
    <w:unhideWhenUsed/>
    <w:rsid w:val="00E3058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3058C"/>
  </w:style>
  <w:style w:type="character" w:customStyle="1" w:styleId="Heading1Char">
    <w:name w:val="Heading 1 Char"/>
    <w:basedOn w:val="DefaultParagraphFont"/>
    <w:link w:val="Heading1"/>
    <w:rsid w:val="00E3058C"/>
    <w:rPr>
      <w:rFonts w:ascii="Times New Roman" w:eastAsia="Times New Roman" w:hAnsi="Times New Roman" w:cs="Times New Roman"/>
      <w:b/>
      <w:sz w:val="32"/>
      <w:szCs w:val="20"/>
      <w:lang w:eastAsia="en-US"/>
    </w:rPr>
  </w:style>
  <w:style w:type="paragraph" w:styleId="BodyText">
    <w:name w:val="Body Text"/>
    <w:basedOn w:val="Normal"/>
    <w:link w:val="BodyTextChar"/>
    <w:rsid w:val="00E3058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3058C"/>
    <w:rPr>
      <w:rFonts w:ascii="Times New Roman" w:eastAsia="Times New Roman" w:hAnsi="Times New Roman" w:cs="Times New Roman"/>
      <w:sz w:val="24"/>
      <w:lang w:eastAsia="en-US"/>
    </w:rPr>
  </w:style>
  <w:style w:type="paragraph" w:styleId="ListBullet">
    <w:name w:val="List Bullet"/>
    <w:basedOn w:val="List"/>
    <w:rsid w:val="00E3058C"/>
    <w:pPr>
      <w:numPr>
        <w:numId w:val="13"/>
      </w:numPr>
      <w:tabs>
        <w:tab w:val="clear" w:pos="340"/>
      </w:tabs>
      <w:spacing w:before="40" w:after="40"/>
    </w:pPr>
  </w:style>
  <w:style w:type="character" w:customStyle="1" w:styleId="SpecialBold">
    <w:name w:val="Special Bold"/>
    <w:basedOn w:val="DefaultParagraphFont"/>
    <w:rsid w:val="00E3058C"/>
    <w:rPr>
      <w:b/>
      <w:spacing w:val="0"/>
    </w:rPr>
  </w:style>
  <w:style w:type="paragraph" w:styleId="ListBullet2">
    <w:name w:val="List Bullet 2"/>
    <w:basedOn w:val="List2"/>
    <w:rsid w:val="00E3058C"/>
    <w:pPr>
      <w:numPr>
        <w:numId w:val="14"/>
      </w:numPr>
      <w:tabs>
        <w:tab w:val="clear" w:pos="680"/>
      </w:tabs>
    </w:pPr>
  </w:style>
  <w:style w:type="character" w:styleId="Emphasis">
    <w:name w:val="Emphasis"/>
    <w:basedOn w:val="DefaultParagraphFont"/>
    <w:qFormat/>
    <w:rsid w:val="00E3058C"/>
    <w:rPr>
      <w:i/>
    </w:rPr>
  </w:style>
  <w:style w:type="paragraph" w:customStyle="1" w:styleId="SuperHeading">
    <w:name w:val="SuperHeading"/>
    <w:basedOn w:val="Normal"/>
    <w:rsid w:val="00E3058C"/>
    <w:pPr>
      <w:spacing w:before="240" w:after="120"/>
      <w:outlineLvl w:val="0"/>
    </w:pPr>
    <w:rPr>
      <w:rFonts w:ascii="Times New Roman" w:hAnsi="Times New Roman"/>
      <w:b/>
      <w:sz w:val="32"/>
    </w:rPr>
  </w:style>
  <w:style w:type="paragraph" w:customStyle="1" w:styleId="AllowPageBreak">
    <w:name w:val="AllowPageBreak"/>
    <w:rsid w:val="00E3058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3058C"/>
    <w:rPr>
      <w:b/>
      <w:i/>
      <w:u w:val="none"/>
    </w:rPr>
  </w:style>
  <w:style w:type="character" w:customStyle="1" w:styleId="Heading2Char">
    <w:name w:val="Heading 2 Char"/>
    <w:basedOn w:val="DefaultParagraphFont"/>
    <w:link w:val="Heading2"/>
    <w:rsid w:val="00E3058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3058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3058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3058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3058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3058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3058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3058C"/>
    <w:rPr>
      <w:rFonts w:ascii="Courier New" w:eastAsia="Times New Roman" w:hAnsi="Courier New" w:cs="Times New Roman"/>
      <w:i/>
      <w:szCs w:val="20"/>
      <w:lang w:eastAsia="en-US"/>
    </w:rPr>
  </w:style>
  <w:style w:type="paragraph" w:customStyle="1" w:styleId="HeadingBase">
    <w:name w:val="Heading Base"/>
    <w:rsid w:val="00E3058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3058C"/>
    <w:pPr>
      <w:tabs>
        <w:tab w:val="right" w:leader="dot" w:pos="9072"/>
      </w:tabs>
      <w:ind w:left="567"/>
    </w:pPr>
    <w:rPr>
      <w:szCs w:val="22"/>
    </w:rPr>
  </w:style>
  <w:style w:type="paragraph" w:customStyle="1" w:styleId="TOCBase">
    <w:name w:val="TOC Base"/>
    <w:rsid w:val="00E3058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3058C"/>
    <w:pPr>
      <w:tabs>
        <w:tab w:val="right" w:leader="dot" w:pos="9072"/>
      </w:tabs>
      <w:spacing w:before="40" w:after="40"/>
      <w:ind w:left="284"/>
    </w:pPr>
    <w:rPr>
      <w:rFonts w:ascii="Times New Roman" w:hAnsi="Times New Roman"/>
    </w:rPr>
  </w:style>
  <w:style w:type="paragraph" w:styleId="TOC1">
    <w:name w:val="toc 1"/>
    <w:basedOn w:val="TOCBase"/>
    <w:next w:val="Normal"/>
    <w:rsid w:val="00E3058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3058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3058C"/>
    <w:rPr>
      <w:rFonts w:ascii="Times New Roman" w:eastAsia="Times New Roman" w:hAnsi="Times New Roman" w:cs="Times New Roman"/>
      <w:sz w:val="16"/>
      <w:lang w:eastAsia="en-US"/>
    </w:rPr>
  </w:style>
  <w:style w:type="paragraph" w:styleId="Title">
    <w:name w:val="Title"/>
    <w:basedOn w:val="HeadingBase"/>
    <w:link w:val="TitleChar"/>
    <w:qFormat/>
    <w:rsid w:val="00E3058C"/>
    <w:pPr>
      <w:spacing w:before="5040"/>
      <w:jc w:val="center"/>
    </w:pPr>
    <w:rPr>
      <w:sz w:val="48"/>
      <w:szCs w:val="72"/>
      <w:lang w:val="en-US"/>
    </w:rPr>
  </w:style>
  <w:style w:type="character" w:customStyle="1" w:styleId="TitleChar">
    <w:name w:val="Title Char"/>
    <w:basedOn w:val="DefaultParagraphFont"/>
    <w:link w:val="Title"/>
    <w:rsid w:val="00E3058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3058C"/>
    <w:pPr>
      <w:tabs>
        <w:tab w:val="left" w:pos="3600"/>
        <w:tab w:val="left" w:pos="3958"/>
      </w:tabs>
    </w:pPr>
  </w:style>
  <w:style w:type="paragraph" w:styleId="List">
    <w:name w:val="List"/>
    <w:basedOn w:val="BodyText"/>
    <w:next w:val="BodyText"/>
    <w:rsid w:val="00E3058C"/>
    <w:pPr>
      <w:tabs>
        <w:tab w:val="left" w:pos="340"/>
      </w:tabs>
      <w:spacing w:before="60" w:after="60"/>
      <w:ind w:left="340" w:hanging="340"/>
    </w:pPr>
  </w:style>
  <w:style w:type="paragraph" w:customStyle="1" w:styleId="Note">
    <w:name w:val="Note"/>
    <w:basedOn w:val="BodyText"/>
    <w:rsid w:val="00E3058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3058C"/>
    <w:pPr>
      <w:framePr w:wrap="auto" w:hAnchor="text" w:y="6049"/>
    </w:pPr>
    <w:rPr>
      <w:color w:val="000000"/>
      <w:sz w:val="40"/>
    </w:rPr>
  </w:style>
  <w:style w:type="paragraph" w:customStyle="1" w:styleId="TOCTitle">
    <w:name w:val="TOCTitle"/>
    <w:basedOn w:val="Heading1"/>
    <w:rsid w:val="00E3058C"/>
    <w:pPr>
      <w:spacing w:after="240"/>
      <w:jc w:val="center"/>
      <w:outlineLvl w:val="9"/>
    </w:pPr>
    <w:rPr>
      <w:caps/>
    </w:rPr>
  </w:style>
  <w:style w:type="paragraph" w:customStyle="1" w:styleId="Version">
    <w:name w:val="Version"/>
    <w:rsid w:val="00E3058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3058C"/>
    <w:pPr>
      <w:keepNext w:val="0"/>
      <w:tabs>
        <w:tab w:val="right" w:pos="4176"/>
      </w:tabs>
      <w:ind w:left="198" w:hanging="198"/>
    </w:pPr>
    <w:rPr>
      <w:rFonts w:ascii="Garamond" w:hAnsi="Garamond"/>
    </w:rPr>
  </w:style>
  <w:style w:type="paragraph" w:styleId="IndexHeading">
    <w:name w:val="index heading"/>
    <w:basedOn w:val="Normal"/>
    <w:next w:val="Index1"/>
    <w:semiHidden/>
    <w:rsid w:val="00E3058C"/>
    <w:pPr>
      <w:spacing w:before="120" w:after="120"/>
    </w:pPr>
    <w:rPr>
      <w:rFonts w:ascii="Arial" w:hAnsi="Arial"/>
      <w:b/>
      <w:color w:val="918585"/>
      <w:sz w:val="24"/>
    </w:rPr>
  </w:style>
  <w:style w:type="paragraph" w:styleId="Header">
    <w:name w:val="header"/>
    <w:basedOn w:val="Normal"/>
    <w:link w:val="HeaderChar"/>
    <w:rsid w:val="00E3058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3058C"/>
    <w:rPr>
      <w:rFonts w:ascii="Times New Roman" w:eastAsia="Times New Roman" w:hAnsi="Times New Roman" w:cs="Times New Roman"/>
      <w:sz w:val="16"/>
      <w:szCs w:val="20"/>
      <w:lang w:val="en-GB" w:eastAsia="en-US"/>
    </w:rPr>
  </w:style>
  <w:style w:type="paragraph" w:customStyle="1" w:styleId="Chapter">
    <w:name w:val="Chapter"/>
    <w:basedOn w:val="Normal"/>
    <w:rsid w:val="00E3058C"/>
    <w:pPr>
      <w:spacing w:before="240"/>
    </w:pPr>
    <w:rPr>
      <w:rFonts w:ascii="Times New Roman" w:hAnsi="Times New Roman"/>
      <w:smallCaps/>
      <w:spacing w:val="80"/>
      <w:sz w:val="28"/>
    </w:rPr>
  </w:style>
  <w:style w:type="paragraph" w:customStyle="1" w:styleId="InChapter">
    <w:name w:val="InChapter"/>
    <w:basedOn w:val="Heading3"/>
    <w:rsid w:val="00E3058C"/>
    <w:pPr>
      <w:spacing w:after="240"/>
      <w:outlineLvl w:val="9"/>
    </w:pPr>
    <w:rPr>
      <w:noProof/>
    </w:rPr>
  </w:style>
  <w:style w:type="paragraph" w:styleId="Index2">
    <w:name w:val="index 2"/>
    <w:basedOn w:val="Normal"/>
    <w:next w:val="Normal"/>
    <w:semiHidden/>
    <w:rsid w:val="00E3058C"/>
    <w:pPr>
      <w:tabs>
        <w:tab w:val="right" w:pos="4176"/>
      </w:tabs>
      <w:ind w:left="568" w:hanging="284"/>
    </w:pPr>
    <w:rPr>
      <w:rFonts w:ascii="Garamond" w:hAnsi="Garamond"/>
    </w:rPr>
  </w:style>
  <w:style w:type="paragraph" w:customStyle="1" w:styleId="Byline">
    <w:name w:val="Byline"/>
    <w:rsid w:val="00E3058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3058C"/>
    <w:pPr>
      <w:tabs>
        <w:tab w:val="clear" w:pos="3600"/>
        <w:tab w:val="clear" w:pos="3958"/>
      </w:tabs>
      <w:jc w:val="right"/>
    </w:pPr>
  </w:style>
  <w:style w:type="paragraph" w:styleId="Caption">
    <w:name w:val="caption"/>
    <w:basedOn w:val="BodyText"/>
    <w:next w:val="Normal"/>
    <w:qFormat/>
    <w:rsid w:val="00E3058C"/>
    <w:pPr>
      <w:framePr w:w="2268" w:hSpace="181" w:vSpace="181" w:wrap="around" w:vAnchor="text" w:hAnchor="page" w:x="1135" w:y="285" w:anchorLock="1"/>
    </w:pPr>
    <w:rPr>
      <w:i/>
    </w:rPr>
  </w:style>
  <w:style w:type="paragraph" w:customStyle="1" w:styleId="MiniTOCTitle">
    <w:name w:val="MiniTOCTitle"/>
    <w:basedOn w:val="Heading4"/>
    <w:rsid w:val="00E3058C"/>
    <w:pPr>
      <w:spacing w:before="240"/>
      <w:outlineLvl w:val="9"/>
    </w:pPr>
    <w:rPr>
      <w:noProof/>
      <w:sz w:val="24"/>
    </w:rPr>
  </w:style>
  <w:style w:type="paragraph" w:customStyle="1" w:styleId="MiniTOCItem">
    <w:name w:val="MiniTOCItem"/>
    <w:basedOn w:val="ListBullet"/>
    <w:rsid w:val="00E3058C"/>
    <w:pPr>
      <w:numPr>
        <w:numId w:val="0"/>
      </w:numPr>
      <w:tabs>
        <w:tab w:val="right" w:leader="dot" w:pos="6521"/>
      </w:tabs>
      <w:spacing w:before="0" w:after="0"/>
    </w:pPr>
  </w:style>
  <w:style w:type="paragraph" w:customStyle="1" w:styleId="TOFTitle">
    <w:name w:val="TOFTitle"/>
    <w:basedOn w:val="TOCTitle"/>
    <w:rsid w:val="00E3058C"/>
  </w:style>
  <w:style w:type="paragraph" w:styleId="TableofFigures">
    <w:name w:val="table of figures"/>
    <w:basedOn w:val="Normal"/>
    <w:next w:val="Normal"/>
    <w:semiHidden/>
    <w:rsid w:val="00E3058C"/>
    <w:pPr>
      <w:tabs>
        <w:tab w:val="right" w:leader="dot" w:pos="9072"/>
      </w:tabs>
      <w:ind w:left="970" w:hanging="403"/>
    </w:pPr>
    <w:rPr>
      <w:rFonts w:ascii="Times New Roman" w:hAnsi="Times New Roman"/>
      <w:b/>
    </w:rPr>
  </w:style>
  <w:style w:type="paragraph" w:styleId="ListNumber">
    <w:name w:val="List Number"/>
    <w:basedOn w:val="List"/>
    <w:rsid w:val="00E3058C"/>
    <w:pPr>
      <w:numPr>
        <w:numId w:val="11"/>
      </w:numPr>
    </w:pPr>
  </w:style>
  <w:style w:type="character" w:customStyle="1" w:styleId="WingdingSymbols">
    <w:name w:val="Wingding Symbols"/>
    <w:rsid w:val="00E3058C"/>
    <w:rPr>
      <w:rFonts w:ascii="Wingdings" w:hAnsi="Wingdings"/>
    </w:rPr>
  </w:style>
  <w:style w:type="paragraph" w:customStyle="1" w:styleId="TableHeading">
    <w:name w:val="Table Heading"/>
    <w:basedOn w:val="HeadingBase"/>
    <w:rsid w:val="00E3058C"/>
    <w:pPr>
      <w:keepLines/>
      <w:pBdr>
        <w:bottom w:val="single" w:sz="6" w:space="1" w:color="918585"/>
      </w:pBdr>
      <w:spacing w:before="240"/>
    </w:pPr>
  </w:style>
  <w:style w:type="character" w:customStyle="1" w:styleId="HotSpot">
    <w:name w:val="HotSpot"/>
    <w:rsid w:val="00E3058C"/>
    <w:rPr>
      <w:color w:val="0033CC"/>
      <w:u w:val="none"/>
    </w:rPr>
  </w:style>
  <w:style w:type="paragraph" w:customStyle="1" w:styleId="BodyTextRight">
    <w:name w:val="Body Text Right"/>
    <w:basedOn w:val="BodyText"/>
    <w:rsid w:val="00E3058C"/>
    <w:pPr>
      <w:spacing w:before="0" w:after="0"/>
      <w:jc w:val="right"/>
    </w:pPr>
  </w:style>
  <w:style w:type="paragraph" w:styleId="Index3">
    <w:name w:val="index 3"/>
    <w:basedOn w:val="ListNumber2"/>
    <w:next w:val="Normal"/>
    <w:semiHidden/>
    <w:rsid w:val="00E3058C"/>
    <w:pPr>
      <w:numPr>
        <w:numId w:val="0"/>
      </w:numPr>
      <w:tabs>
        <w:tab w:val="right" w:leader="dot" w:pos="4176"/>
      </w:tabs>
    </w:pPr>
  </w:style>
  <w:style w:type="paragraph" w:styleId="ListNumber2">
    <w:name w:val="List Number 2"/>
    <w:basedOn w:val="List2"/>
    <w:rsid w:val="00E3058C"/>
    <w:pPr>
      <w:numPr>
        <w:numId w:val="10"/>
      </w:numPr>
      <w:tabs>
        <w:tab w:val="clear" w:pos="1060"/>
      </w:tabs>
    </w:pPr>
  </w:style>
  <w:style w:type="paragraph" w:customStyle="1" w:styleId="MarginNote">
    <w:name w:val="Margin Note"/>
    <w:basedOn w:val="BodyText"/>
    <w:rsid w:val="00E3058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3058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3058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3058C"/>
    <w:rPr>
      <w:sz w:val="32"/>
    </w:rPr>
  </w:style>
  <w:style w:type="paragraph" w:customStyle="1" w:styleId="HeadingProcedure">
    <w:name w:val="Heading Procedure"/>
    <w:basedOn w:val="HeadingBase"/>
    <w:next w:val="Normal"/>
    <w:rsid w:val="00E3058C"/>
    <w:pPr>
      <w:tabs>
        <w:tab w:val="left" w:pos="0"/>
      </w:tabs>
      <w:spacing w:before="120" w:after="60"/>
    </w:pPr>
    <w:rPr>
      <w:i/>
      <w:color w:val="918585"/>
      <w:sz w:val="22"/>
    </w:rPr>
  </w:style>
  <w:style w:type="paragraph" w:customStyle="1" w:styleId="TableBodyText">
    <w:name w:val="Table Body Text"/>
    <w:basedOn w:val="BodyText"/>
    <w:rsid w:val="00E3058C"/>
    <w:pPr>
      <w:spacing w:before="60" w:after="60"/>
    </w:pPr>
  </w:style>
  <w:style w:type="paragraph" w:styleId="ListContinue">
    <w:name w:val="List Continue"/>
    <w:basedOn w:val="List"/>
    <w:rsid w:val="00E3058C"/>
    <w:pPr>
      <w:ind w:firstLine="0"/>
    </w:pPr>
  </w:style>
  <w:style w:type="paragraph" w:customStyle="1" w:styleId="ListNote">
    <w:name w:val="List Note"/>
    <w:basedOn w:val="List"/>
    <w:rsid w:val="00E3058C"/>
    <w:pPr>
      <w:pBdr>
        <w:top w:val="single" w:sz="6" w:space="2" w:color="918585"/>
        <w:bottom w:val="single" w:sz="6" w:space="2" w:color="918585"/>
      </w:pBdr>
      <w:tabs>
        <w:tab w:val="left" w:pos="1021"/>
      </w:tabs>
      <w:ind w:firstLine="0"/>
    </w:pPr>
  </w:style>
  <w:style w:type="paragraph" w:customStyle="1" w:styleId="Warning">
    <w:name w:val="Warning"/>
    <w:basedOn w:val="BodyText"/>
    <w:rsid w:val="00E3058C"/>
    <w:pPr>
      <w:shd w:val="clear" w:color="auto" w:fill="D9D9D9"/>
      <w:tabs>
        <w:tab w:val="left" w:pos="992"/>
      </w:tabs>
      <w:ind w:left="119" w:right="119"/>
    </w:pPr>
    <w:rPr>
      <w:sz w:val="20"/>
    </w:rPr>
  </w:style>
  <w:style w:type="paragraph" w:customStyle="1" w:styleId="MarginIcons">
    <w:name w:val="Margin Icons"/>
    <w:basedOn w:val="BodyText"/>
    <w:rsid w:val="00E3058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3058C"/>
    <w:rPr>
      <w:rFonts w:ascii="Courier New" w:hAnsi="Courier New"/>
    </w:rPr>
  </w:style>
  <w:style w:type="paragraph" w:customStyle="1" w:styleId="NoteBullet">
    <w:name w:val="Note Bullet"/>
    <w:basedOn w:val="Note"/>
    <w:rsid w:val="00E3058C"/>
    <w:pPr>
      <w:tabs>
        <w:tab w:val="clear" w:pos="680"/>
      </w:tabs>
      <w:spacing w:before="60" w:after="60"/>
    </w:pPr>
  </w:style>
  <w:style w:type="paragraph" w:customStyle="1" w:styleId="SubHeading2">
    <w:name w:val="SubHeading2"/>
    <w:basedOn w:val="HeadingBase"/>
    <w:rsid w:val="00E3058C"/>
    <w:pPr>
      <w:spacing w:before="240" w:after="60"/>
    </w:pPr>
    <w:rPr>
      <w:sz w:val="20"/>
    </w:rPr>
  </w:style>
  <w:style w:type="paragraph" w:customStyle="1" w:styleId="SubHeading1">
    <w:name w:val="SubHeading1"/>
    <w:basedOn w:val="HeadingBase"/>
    <w:rsid w:val="00E3058C"/>
    <w:pPr>
      <w:spacing w:before="240" w:after="60"/>
    </w:pPr>
    <w:rPr>
      <w:color w:val="918585"/>
      <w:sz w:val="22"/>
    </w:rPr>
  </w:style>
  <w:style w:type="paragraph" w:customStyle="1" w:styleId="SideHeading">
    <w:name w:val="Side Heading"/>
    <w:basedOn w:val="HeadingBase"/>
    <w:rsid w:val="00E3058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3058C"/>
    <w:pPr>
      <w:numPr>
        <w:numId w:val="12"/>
      </w:numPr>
    </w:pPr>
  </w:style>
  <w:style w:type="paragraph" w:styleId="PlainText">
    <w:name w:val="Plain Text"/>
    <w:basedOn w:val="Normal"/>
    <w:link w:val="PlainTextChar"/>
    <w:rsid w:val="00E3058C"/>
    <w:rPr>
      <w:sz w:val="20"/>
    </w:rPr>
  </w:style>
  <w:style w:type="character" w:customStyle="1" w:styleId="PlainTextChar">
    <w:name w:val="Plain Text Char"/>
    <w:basedOn w:val="DefaultParagraphFont"/>
    <w:link w:val="PlainText"/>
    <w:rsid w:val="00E3058C"/>
    <w:rPr>
      <w:rFonts w:ascii="Courier New" w:eastAsia="Times New Roman" w:hAnsi="Courier New" w:cs="Times New Roman"/>
      <w:sz w:val="20"/>
      <w:szCs w:val="20"/>
      <w:lang w:eastAsia="en-US"/>
    </w:rPr>
  </w:style>
  <w:style w:type="character" w:customStyle="1" w:styleId="MenuOption">
    <w:name w:val="Menu Option"/>
    <w:basedOn w:val="DefaultParagraphFont"/>
    <w:rsid w:val="00E3058C"/>
    <w:rPr>
      <w:b/>
      <w:smallCaps/>
    </w:rPr>
  </w:style>
  <w:style w:type="paragraph" w:customStyle="1" w:styleId="TableListNumber">
    <w:name w:val="Table List Number"/>
    <w:basedOn w:val="ListNumber"/>
    <w:rsid w:val="00E3058C"/>
    <w:pPr>
      <w:numPr>
        <w:numId w:val="0"/>
      </w:numPr>
    </w:pPr>
  </w:style>
  <w:style w:type="paragraph" w:styleId="TOC4">
    <w:name w:val="toc 4"/>
    <w:basedOn w:val="TOCBase"/>
    <w:next w:val="Normal"/>
    <w:semiHidden/>
    <w:rsid w:val="00E3058C"/>
    <w:pPr>
      <w:tabs>
        <w:tab w:val="right" w:leader="dot" w:pos="9071"/>
      </w:tabs>
      <w:ind w:left="1701"/>
    </w:pPr>
  </w:style>
  <w:style w:type="paragraph" w:customStyle="1" w:styleId="ListAlpha">
    <w:name w:val="List Alpha"/>
    <w:basedOn w:val="List"/>
    <w:rsid w:val="00E3058C"/>
    <w:pPr>
      <w:numPr>
        <w:numId w:val="9"/>
      </w:numPr>
    </w:pPr>
  </w:style>
  <w:style w:type="paragraph" w:customStyle="1" w:styleId="ListAlpha2">
    <w:name w:val="List Alpha 2"/>
    <w:basedOn w:val="List2"/>
    <w:rsid w:val="00E3058C"/>
    <w:pPr>
      <w:numPr>
        <w:numId w:val="8"/>
      </w:numPr>
    </w:pPr>
  </w:style>
  <w:style w:type="paragraph" w:styleId="List2">
    <w:name w:val="List 2"/>
    <w:basedOn w:val="BodyText"/>
    <w:rsid w:val="00E3058C"/>
    <w:pPr>
      <w:tabs>
        <w:tab w:val="left" w:pos="680"/>
      </w:tabs>
      <w:spacing w:before="60" w:after="60"/>
      <w:ind w:left="680" w:hanging="340"/>
    </w:pPr>
  </w:style>
  <w:style w:type="paragraph" w:styleId="List3">
    <w:name w:val="List 3"/>
    <w:basedOn w:val="BodyText"/>
    <w:rsid w:val="00E3058C"/>
    <w:pPr>
      <w:tabs>
        <w:tab w:val="left" w:pos="1021"/>
      </w:tabs>
      <w:spacing w:before="60" w:after="60"/>
      <w:ind w:left="1020" w:hanging="340"/>
    </w:pPr>
  </w:style>
  <w:style w:type="paragraph" w:styleId="List4">
    <w:name w:val="List 4"/>
    <w:basedOn w:val="BodyText"/>
    <w:rsid w:val="00E3058C"/>
    <w:pPr>
      <w:tabs>
        <w:tab w:val="left" w:pos="1361"/>
      </w:tabs>
      <w:spacing w:before="60" w:after="60"/>
      <w:ind w:left="1361" w:hanging="340"/>
    </w:pPr>
  </w:style>
  <w:style w:type="paragraph" w:styleId="List5">
    <w:name w:val="List 5"/>
    <w:basedOn w:val="BodyText"/>
    <w:rsid w:val="00E3058C"/>
    <w:pPr>
      <w:tabs>
        <w:tab w:val="left" w:pos="1701"/>
      </w:tabs>
      <w:spacing w:before="60" w:after="60"/>
      <w:ind w:left="1701" w:hanging="340"/>
    </w:pPr>
  </w:style>
  <w:style w:type="paragraph" w:styleId="ListBullet3">
    <w:name w:val="List Bullet 3"/>
    <w:basedOn w:val="List3"/>
    <w:rsid w:val="00E3058C"/>
    <w:pPr>
      <w:numPr>
        <w:numId w:val="15"/>
      </w:numPr>
      <w:tabs>
        <w:tab w:val="clear" w:pos="1021"/>
      </w:tabs>
      <w:ind w:left="1037" w:hanging="357"/>
    </w:pPr>
  </w:style>
  <w:style w:type="paragraph" w:styleId="ListBullet4">
    <w:name w:val="List Bullet 4"/>
    <w:basedOn w:val="List4"/>
    <w:rsid w:val="00E3058C"/>
    <w:pPr>
      <w:numPr>
        <w:numId w:val="3"/>
      </w:numPr>
    </w:pPr>
  </w:style>
  <w:style w:type="paragraph" w:styleId="ListBullet5">
    <w:name w:val="List Bullet 5"/>
    <w:basedOn w:val="List5"/>
    <w:rsid w:val="00E3058C"/>
    <w:pPr>
      <w:numPr>
        <w:numId w:val="4"/>
      </w:numPr>
    </w:pPr>
  </w:style>
  <w:style w:type="paragraph" w:styleId="ListContinue2">
    <w:name w:val="List Continue 2"/>
    <w:basedOn w:val="List2"/>
    <w:rsid w:val="00E3058C"/>
    <w:pPr>
      <w:ind w:firstLine="0"/>
    </w:pPr>
  </w:style>
  <w:style w:type="paragraph" w:styleId="ListContinue3">
    <w:name w:val="List Continue 3"/>
    <w:basedOn w:val="List3"/>
    <w:rsid w:val="00E3058C"/>
    <w:pPr>
      <w:ind w:left="1021" w:firstLine="0"/>
    </w:pPr>
  </w:style>
  <w:style w:type="paragraph" w:styleId="ListContinue4">
    <w:name w:val="List Continue 4"/>
    <w:basedOn w:val="List4"/>
    <w:rsid w:val="00E3058C"/>
    <w:pPr>
      <w:ind w:firstLine="0"/>
    </w:pPr>
  </w:style>
  <w:style w:type="paragraph" w:styleId="ListContinue5">
    <w:name w:val="List Continue 5"/>
    <w:basedOn w:val="List5"/>
    <w:rsid w:val="00E3058C"/>
    <w:pPr>
      <w:ind w:firstLine="0"/>
    </w:pPr>
  </w:style>
  <w:style w:type="paragraph" w:styleId="ListNumber3">
    <w:name w:val="List Number 3"/>
    <w:basedOn w:val="List3"/>
    <w:rsid w:val="00E3058C"/>
    <w:pPr>
      <w:numPr>
        <w:numId w:val="5"/>
      </w:numPr>
    </w:pPr>
  </w:style>
  <w:style w:type="paragraph" w:styleId="ListNumber4">
    <w:name w:val="List Number 4"/>
    <w:basedOn w:val="List4"/>
    <w:rsid w:val="00E3058C"/>
    <w:pPr>
      <w:numPr>
        <w:numId w:val="6"/>
      </w:numPr>
    </w:pPr>
  </w:style>
  <w:style w:type="paragraph" w:styleId="ListNumber5">
    <w:name w:val="List Number 5"/>
    <w:basedOn w:val="List5"/>
    <w:rsid w:val="00E3058C"/>
    <w:pPr>
      <w:numPr>
        <w:numId w:val="7"/>
      </w:numPr>
    </w:pPr>
  </w:style>
  <w:style w:type="paragraph" w:styleId="BlockText">
    <w:name w:val="Block Text"/>
    <w:basedOn w:val="Normal"/>
    <w:rsid w:val="00E3058C"/>
    <w:pPr>
      <w:spacing w:after="120"/>
      <w:ind w:left="1440" w:right="1440"/>
    </w:pPr>
  </w:style>
  <w:style w:type="character" w:customStyle="1" w:styleId="Subscript">
    <w:name w:val="Subscript"/>
    <w:basedOn w:val="DefaultParagraphFont"/>
    <w:rsid w:val="00E3058C"/>
    <w:rPr>
      <w:sz w:val="16"/>
      <w:vertAlign w:val="subscript"/>
    </w:rPr>
  </w:style>
  <w:style w:type="character" w:customStyle="1" w:styleId="Superscript">
    <w:name w:val="Superscript"/>
    <w:basedOn w:val="DefaultParagraphFont"/>
    <w:rsid w:val="00E3058C"/>
    <w:rPr>
      <w:sz w:val="16"/>
      <w:vertAlign w:val="superscript"/>
    </w:rPr>
  </w:style>
  <w:style w:type="character" w:customStyle="1" w:styleId="Symbols">
    <w:name w:val="Symbols"/>
    <w:basedOn w:val="DefaultParagraphFont"/>
    <w:rsid w:val="00E3058C"/>
    <w:rPr>
      <w:rFonts w:ascii="Symbol" w:hAnsi="Symbol"/>
    </w:rPr>
  </w:style>
  <w:style w:type="character" w:customStyle="1" w:styleId="MenuOptions">
    <w:name w:val="Menu Options"/>
    <w:basedOn w:val="DefaultParagraphFont"/>
    <w:rsid w:val="00E3058C"/>
    <w:rPr>
      <w:rFonts w:ascii="Arial Narrow" w:hAnsi="Arial Narrow"/>
      <w:smallCaps/>
    </w:rPr>
  </w:style>
  <w:style w:type="character" w:customStyle="1" w:styleId="Buttons">
    <w:name w:val="Buttons"/>
    <w:basedOn w:val="DefaultParagraphFont"/>
    <w:rsid w:val="00E3058C"/>
    <w:rPr>
      <w:b/>
    </w:rPr>
  </w:style>
  <w:style w:type="character" w:customStyle="1" w:styleId="Underlined">
    <w:name w:val="Underlined"/>
    <w:basedOn w:val="DefaultParagraphFont"/>
    <w:rsid w:val="00E3058C"/>
    <w:rPr>
      <w:u w:val="single"/>
    </w:rPr>
  </w:style>
  <w:style w:type="paragraph" w:customStyle="1" w:styleId="TableBodyTextRight">
    <w:name w:val="Table Body Text Right"/>
    <w:basedOn w:val="TableBodyText"/>
    <w:rsid w:val="00E3058C"/>
    <w:pPr>
      <w:widowControl w:val="0"/>
      <w:autoSpaceDE w:val="0"/>
      <w:autoSpaceDN w:val="0"/>
      <w:adjustRightInd w:val="0"/>
      <w:jc w:val="right"/>
    </w:pPr>
    <w:rPr>
      <w:rFonts w:cs="Arial"/>
      <w:szCs w:val="18"/>
    </w:rPr>
  </w:style>
  <w:style w:type="paragraph" w:customStyle="1" w:styleId="CopyrightText">
    <w:name w:val="Copyright Text"/>
    <w:basedOn w:val="BodyText"/>
    <w:rsid w:val="00E3058C"/>
    <w:rPr>
      <w:sz w:val="18"/>
    </w:rPr>
  </w:style>
  <w:style w:type="paragraph" w:customStyle="1" w:styleId="BodySmallRight">
    <w:name w:val="Body Small Right"/>
    <w:basedOn w:val="BodyTextRight"/>
    <w:rsid w:val="00E3058C"/>
    <w:rPr>
      <w:sz w:val="18"/>
      <w:szCs w:val="18"/>
    </w:rPr>
  </w:style>
  <w:style w:type="paragraph" w:customStyle="1" w:styleId="MarginEdition">
    <w:name w:val="Margin Edition"/>
    <w:basedOn w:val="MarginNote"/>
    <w:rsid w:val="00E3058C"/>
    <w:pPr>
      <w:spacing w:before="0" w:after="0"/>
    </w:pPr>
    <w:rPr>
      <w:rFonts w:ascii="Times New Roman" w:hAnsi="Times New Roman"/>
      <w:color w:val="999999"/>
    </w:rPr>
  </w:style>
  <w:style w:type="paragraph" w:customStyle="1" w:styleId="Spacer">
    <w:name w:val="Spacer"/>
    <w:basedOn w:val="Normal"/>
    <w:rsid w:val="00E3058C"/>
    <w:rPr>
      <w:sz w:val="2"/>
      <w:szCs w:val="2"/>
    </w:rPr>
  </w:style>
  <w:style w:type="character" w:customStyle="1" w:styleId="Small">
    <w:name w:val="Small"/>
    <w:basedOn w:val="DefaultParagraphFont"/>
    <w:rsid w:val="00E3058C"/>
    <w:rPr>
      <w:sz w:val="16"/>
    </w:rPr>
  </w:style>
  <w:style w:type="paragraph" w:customStyle="1" w:styleId="WideTable">
    <w:name w:val="Wide Table"/>
    <w:basedOn w:val="Normal"/>
    <w:rsid w:val="00E3058C"/>
    <w:pPr>
      <w:ind w:left="-1418"/>
    </w:pPr>
    <w:rPr>
      <w:sz w:val="2"/>
      <w:szCs w:val="2"/>
    </w:rPr>
  </w:style>
  <w:style w:type="character" w:styleId="PageNumber">
    <w:name w:val="page number"/>
    <w:basedOn w:val="DefaultParagraphFont"/>
    <w:rsid w:val="00E3058C"/>
  </w:style>
  <w:style w:type="paragraph" w:styleId="Quote">
    <w:name w:val="Quote"/>
    <w:basedOn w:val="Heading1"/>
    <w:link w:val="QuoteChar"/>
    <w:qFormat/>
    <w:rsid w:val="00E3058C"/>
    <w:rPr>
      <w:b w:val="0"/>
      <w:sz w:val="72"/>
      <w:szCs w:val="72"/>
      <w:lang w:val="en-NZ"/>
    </w:rPr>
  </w:style>
  <w:style w:type="character" w:customStyle="1" w:styleId="QuoteChar">
    <w:name w:val="Quote Char"/>
    <w:basedOn w:val="DefaultParagraphFont"/>
    <w:link w:val="Quote"/>
    <w:rsid w:val="00E3058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3058C"/>
    <w:pPr>
      <w:pageBreakBefore/>
    </w:pPr>
  </w:style>
  <w:style w:type="paragraph" w:customStyle="1" w:styleId="Border">
    <w:name w:val="Border"/>
    <w:basedOn w:val="Normal"/>
    <w:qFormat/>
    <w:rsid w:val="00E3058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3058C"/>
    <w:rPr>
      <w:b/>
      <w:bCs/>
      <w:i/>
      <w:iCs/>
      <w:color w:val="auto"/>
    </w:rPr>
  </w:style>
  <w:style w:type="paragraph" w:styleId="IntenseQuote">
    <w:name w:val="Intense Quote"/>
    <w:basedOn w:val="Normal"/>
    <w:next w:val="Normal"/>
    <w:link w:val="IntenseQuoteChar"/>
    <w:uiPriority w:val="30"/>
    <w:qFormat/>
    <w:rsid w:val="00E3058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3058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3058C"/>
    <w:rPr>
      <w:smallCaps/>
      <w:color w:val="auto"/>
      <w:u w:val="single"/>
    </w:rPr>
  </w:style>
  <w:style w:type="character" w:styleId="IntenseReference">
    <w:name w:val="Intense Reference"/>
    <w:basedOn w:val="DefaultParagraphFont"/>
    <w:uiPriority w:val="32"/>
    <w:qFormat/>
    <w:rsid w:val="00E3058C"/>
    <w:rPr>
      <w:b/>
      <w:bCs/>
      <w:smallCaps/>
      <w:color w:val="auto"/>
      <w:spacing w:val="5"/>
      <w:u w:val="single"/>
    </w:rPr>
  </w:style>
  <w:style w:type="paragraph" w:customStyle="1" w:styleId="2ColumnHeading">
    <w:name w:val="2Column Heading"/>
    <w:basedOn w:val="BodyText"/>
    <w:qFormat/>
    <w:rsid w:val="00E3058C"/>
    <w:pPr>
      <w:spacing w:after="60"/>
      <w:ind w:left="-2268"/>
    </w:pPr>
    <w:rPr>
      <w:b/>
    </w:rPr>
  </w:style>
  <w:style w:type="paragraph" w:customStyle="1" w:styleId="Heading1TOC">
    <w:name w:val="Heading1 TOC"/>
    <w:basedOn w:val="Normal"/>
    <w:qFormat/>
    <w:rsid w:val="00E3058C"/>
    <w:pPr>
      <w:spacing w:before="240" w:after="120"/>
    </w:pPr>
    <w:rPr>
      <w:rFonts w:ascii="Times New Roman" w:hAnsi="Times New Roman"/>
      <w:b/>
      <w:sz w:val="32"/>
    </w:rPr>
  </w:style>
  <w:style w:type="paragraph" w:customStyle="1" w:styleId="Heading2TOC">
    <w:name w:val="Heading2 TOC"/>
    <w:basedOn w:val="Normal"/>
    <w:qFormat/>
    <w:rsid w:val="00E3058C"/>
    <w:pPr>
      <w:spacing w:before="240" w:after="60"/>
    </w:pPr>
    <w:rPr>
      <w:rFonts w:ascii="Times New Roman" w:hAnsi="Times New Roman"/>
      <w:b/>
      <w:sz w:val="28"/>
    </w:rPr>
  </w:style>
  <w:style w:type="character" w:customStyle="1" w:styleId="Underline">
    <w:name w:val="Underline"/>
    <w:basedOn w:val="DefaultParagraphFont"/>
    <w:qFormat/>
    <w:rsid w:val="00E3058C"/>
    <w:rPr>
      <w:u w:val="single"/>
    </w:rPr>
  </w:style>
  <w:style w:type="paragraph" w:styleId="BalloonText">
    <w:name w:val="Balloon Text"/>
    <w:basedOn w:val="Normal"/>
    <w:link w:val="BalloonTextChar"/>
    <w:rsid w:val="00E3058C"/>
    <w:rPr>
      <w:rFonts w:ascii="Tahoma" w:hAnsi="Tahoma" w:cs="Tahoma"/>
      <w:sz w:val="16"/>
      <w:szCs w:val="16"/>
    </w:rPr>
  </w:style>
  <w:style w:type="character" w:customStyle="1" w:styleId="BalloonTextChar">
    <w:name w:val="Balloon Text Char"/>
    <w:basedOn w:val="DefaultParagraphFont"/>
    <w:link w:val="BalloonText"/>
    <w:rsid w:val="00E3058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3058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3058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3058C"/>
    <w:rPr>
      <w:b/>
      <w:color w:val="660033"/>
      <w:spacing w:val="0"/>
    </w:rPr>
  </w:style>
  <w:style w:type="paragraph" w:customStyle="1" w:styleId="Nameditemlist">
    <w:name w:val="Named item list"/>
    <w:basedOn w:val="BodyText"/>
    <w:qFormat/>
    <w:rsid w:val="00E3058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1430</Words>
  <Characters>8970</Characters>
  <Application>Microsoft Office Word</Application>
  <DocSecurity>0</DocSecurity>
  <Lines>281</Lines>
  <Paragraphs>144</Paragraphs>
  <ScaleCrop>false</ScaleCrop>
  <Company>Author-it Software Corporation Ltd.</Company>
  <LinksUpToDate>false</LinksUpToDate>
  <CharactersWithSpaces>10335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BSBWHS607A Apply ergonomics to manage WHS hazards and risks</dc:title>
  <dc:subject>Approved</dc:subject>
  <dc:creator>Innovation and Business Skills Australia</dc:creator>
  <cp:keywords>Release:</cp:keywords>
  <dc:description>Copyright © 1996-2007 Author-it Software Corporation Ltd., all rights reserved.</dc:description>
  <cp:lastModifiedBy>TPCMS</cp:lastModifiedBy>
  <cp:revision>3</cp:revision>
  <dcterms:created xsi:type="dcterms:W3CDTF">2012-12-12T03:01:00Z</dcterms:created>
  <dcterms:modified xsi:type="dcterms:W3CDTF">2012-12-12T03:01:00Z</dcterms:modified>
</cp:coreProperties>
</file>