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E45" w:rsidP="00B87E45">
      <w:pPr>
        <w:pStyle w:val="Title"/>
      </w:pPr>
      <w:r>
        <w:fldChar w:fldCharType="begin"/>
      </w:r>
      <w:r>
        <w:instrText xml:space="preserve"> TITLE   \* MERGEFORMAT </w:instrText>
      </w:r>
      <w:r>
        <w:fldChar w:fldCharType="separate"/>
      </w:r>
      <w:r>
        <w:t>BSBWHS603A Implement WHS risk management</w:t>
      </w:r>
      <w:r>
        <w:fldChar w:fldCharType="end"/>
      </w:r>
    </w:p>
    <w:p w:rsidR="00B87E45" w:rsidP="00B87E45">
      <w:pPr>
        <w:pStyle w:val="Version"/>
        <w:sectPr w:rsidSect="00B35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FA6" w:rsidP="00B35FA6">
      <w:pPr>
        <w:pStyle w:val="SuperHeading"/>
      </w:pPr>
      <w:r w:rsidRPr="00B35FA6">
        <w:t>BSBWHS603A Implement WHS risk management</w:t>
      </w:r>
    </w:p>
    <w:p w:rsidR="00000000" w:rsidRPr="00B35FA6" w:rsidP="00B35FA6">
      <w:pPr>
        <w:pStyle w:val="Heading1"/>
      </w:pPr>
      <w:bookmarkStart w:id="1" w:name="O_511189"/>
      <w:bookmarkEnd w:id="1"/>
      <w:r w:rsidRPr="00B35FA6">
        <w:t>Modification History</w:t>
      </w:r>
    </w:p>
    <w:tbl>
      <w:tblPr>
        <w:tblW w:w="0" w:type="auto"/>
        <w:tblLayout w:type="fixed"/>
        <w:tblCellMar>
          <w:left w:w="62" w:type="dxa"/>
          <w:right w:w="62" w:type="dxa"/>
        </w:tblCellMar>
        <w:tblLook w:val="0000"/>
      </w:tblPr>
      <w:tblGrid>
        <w:gridCol w:w="3174"/>
        <w:gridCol w:w="5826"/>
      </w:tblGrid>
      <w:tr w:rsidTr="00B35FA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Comments</w:t>
            </w:r>
          </w:p>
        </w:tc>
      </w:tr>
      <w:tr w:rsidTr="00B35FA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This Unit first released with </w:t>
            </w:r>
            <w:r w:rsidRPr="00B35FA6">
              <w:rPr>
                <w:rStyle w:val="Emphasis"/>
              </w:rPr>
              <w:t>BSB07 Business Training Package version 7.0</w:t>
            </w:r>
            <w:r w:rsidRPr="00B35FA6">
              <w:t>.</w:t>
            </w:r>
          </w:p>
          <w:p w:rsidR="00000000" w:rsidRPr="00B35FA6" w:rsidP="00B35FA6">
            <w:pPr>
              <w:pStyle w:val="BodyText"/>
            </w:pPr>
          </w:p>
          <w:p w:rsidR="00000000" w:rsidRPr="00B35FA6" w:rsidP="00B35FA6">
            <w:pPr>
              <w:pStyle w:val="BodyText"/>
            </w:pPr>
            <w:r w:rsidRPr="00B35FA6">
              <w:t>Replaces but is not equivalent to BSBOHS603B Analyse and evaluate OHS risk.</w:t>
            </w:r>
          </w:p>
        </w:tc>
      </w:tr>
    </w:tbl>
    <w:p w:rsidR="00000000" w:rsidRPr="00B35FA6" w:rsidP="00B35FA6">
      <w:pPr>
        <w:pStyle w:val="BodyText"/>
      </w:pPr>
    </w:p>
    <w:p w:rsidR="00000000" w:rsidRPr="00B35FA6" w:rsidP="00B35FA6">
      <w:pPr>
        <w:pStyle w:val="AllowPageBreak"/>
      </w:pPr>
    </w:p>
    <w:p w:rsidR="00000000" w:rsidRPr="00B35FA6" w:rsidP="00B35FA6">
      <w:pPr>
        <w:pStyle w:val="Heading1"/>
      </w:pPr>
      <w:bookmarkStart w:id="2" w:name="O_511190"/>
      <w:bookmarkEnd w:id="2"/>
      <w:r w:rsidRPr="00B35FA6">
        <w:t>Unit Descriptor</w:t>
      </w:r>
    </w:p>
    <w:p w:rsidR="00000000" w:rsidRPr="00B35FA6" w:rsidP="00B35FA6">
      <w:pPr>
        <w:pStyle w:val="BodyText"/>
      </w:pPr>
      <w:r w:rsidRPr="00B35FA6">
        <w:t xml:space="preserve">This unit describes </w:t>
      </w:r>
      <w:r w:rsidRPr="00B35FA6">
        <w:t>the performance outcomes, skills and knowledge required to implement work health and safety (WHS) risk management.</w:t>
      </w:r>
    </w:p>
    <w:p w:rsidR="00000000" w:rsidRPr="00B35FA6" w:rsidP="00B35FA6">
      <w:pPr>
        <w:pStyle w:val="BodyText"/>
      </w:pPr>
    </w:p>
    <w:p w:rsidR="00000000" w:rsidRPr="00B35FA6" w:rsidP="00B35FA6">
      <w:pPr>
        <w:pStyle w:val="BodyText"/>
      </w:pPr>
      <w:r w:rsidRPr="00B35FA6">
        <w:t>The unit addresses the processes and techniques necessary for the implementation of WHS risk management.</w:t>
      </w:r>
    </w:p>
    <w:p w:rsidR="00000000" w:rsidRPr="00B35FA6" w:rsidP="00B35FA6">
      <w:pPr>
        <w:pStyle w:val="AllowPageBreak"/>
      </w:pPr>
    </w:p>
    <w:p w:rsidR="00000000" w:rsidRPr="00B35FA6" w:rsidP="00B35FA6">
      <w:pPr>
        <w:pStyle w:val="Heading1"/>
      </w:pPr>
      <w:bookmarkStart w:id="3" w:name="O_511191"/>
      <w:bookmarkEnd w:id="3"/>
      <w:r w:rsidRPr="00B35FA6">
        <w:t>Application of the</w:t>
      </w:r>
      <w:r w:rsidRPr="00B35FA6">
        <w:t xml:space="preserve"> Unit</w:t>
      </w:r>
    </w:p>
    <w:p w:rsidR="00000000" w:rsidRPr="00B35FA6" w:rsidP="00B35FA6">
      <w:pPr>
        <w:pStyle w:val="BodyText"/>
      </w:pPr>
      <w:r w:rsidRPr="00B35FA6">
        <w:t>This unit applies to people who apply advanced practical knowledge to coordinate, facilitate and maintain the WHS program within an organisation.</w:t>
      </w:r>
    </w:p>
    <w:p w:rsidR="00000000" w:rsidRPr="00B35FA6" w:rsidP="00B35FA6">
      <w:pPr>
        <w:pStyle w:val="BodyText"/>
      </w:pPr>
    </w:p>
    <w:p w:rsidR="00000000" w:rsidRPr="00B35FA6" w:rsidP="00B35FA6">
      <w:pPr>
        <w:pStyle w:val="BodyText"/>
      </w:pPr>
      <w:r w:rsidRPr="00B35FA6">
        <w:rPr>
          <w:rStyle w:val="Emphasis"/>
        </w:rPr>
        <w:t>NOTE:  The terms Occupational Health and Safety (OHS) and Work Health and Safety (WHS) are equivalent a</w:t>
      </w:r>
      <w:r w:rsidRPr="00B35FA6">
        <w:rPr>
          <w:rStyle w:val="Emphasis"/>
        </w:rPr>
        <w:t>nd generally either can be used in the workplace.  In jurisdictions where the National Model WHS Legislation has not been implemented RTOs are advised to contextualise the unit of competency by referring to the existing State/Territory OHS legislative requ</w:t>
      </w:r>
      <w:r w:rsidRPr="00B35FA6">
        <w:rPr>
          <w:rStyle w:val="Emphasis"/>
        </w:rPr>
        <w:t>irements.</w:t>
      </w:r>
    </w:p>
    <w:p w:rsidR="00000000" w:rsidRPr="00B35FA6" w:rsidP="00B35FA6">
      <w:pPr>
        <w:pStyle w:val="AllowPageBreak"/>
      </w:pPr>
    </w:p>
    <w:p w:rsidR="00000000" w:rsidRPr="00B35FA6" w:rsidP="00B35FA6">
      <w:pPr>
        <w:pStyle w:val="Heading1"/>
      </w:pPr>
      <w:bookmarkStart w:id="4" w:name="O_511192"/>
      <w:bookmarkEnd w:id="4"/>
      <w:r w:rsidRPr="00B35FA6">
        <w:t>Licensing/Regulatory Information</w:t>
      </w:r>
    </w:p>
    <w:p w:rsidR="00000000" w:rsidRPr="00B35FA6" w:rsidP="00B35FA6">
      <w:pPr>
        <w:pStyle w:val="BodyText"/>
      </w:pPr>
      <w:r w:rsidRPr="00B35FA6">
        <w:t>No licensing, legislative, regulatory or certification requirements apply to this unit at the time of endorsement.</w:t>
      </w:r>
    </w:p>
    <w:p w:rsidR="00000000" w:rsidRPr="00B35FA6" w:rsidP="00B35FA6">
      <w:pPr>
        <w:pStyle w:val="AllowPageBreak"/>
      </w:pPr>
    </w:p>
    <w:p w:rsidR="00000000" w:rsidRPr="00B35FA6" w:rsidP="00B35FA6">
      <w:pPr>
        <w:pStyle w:val="Heading1"/>
      </w:pPr>
      <w:bookmarkStart w:id="5" w:name="O_511193"/>
      <w:bookmarkEnd w:id="5"/>
      <w:r w:rsidRPr="00B35FA6">
        <w:t>Pre-Requisites</w:t>
      </w:r>
    </w:p>
    <w:p w:rsidR="00000000" w:rsidRPr="00B35FA6" w:rsidP="00B35FA6">
      <w:pPr>
        <w:pStyle w:val="BodyText"/>
      </w:pPr>
      <w:r w:rsidRPr="00B35FA6">
        <w:t>Not applicable.</w:t>
      </w:r>
    </w:p>
    <w:p w:rsidR="00000000" w:rsidRPr="00B35FA6" w:rsidP="00B35FA6">
      <w:pPr>
        <w:pStyle w:val="AllowPageBreak"/>
      </w:pPr>
    </w:p>
    <w:p w:rsidR="00000000" w:rsidRPr="00B35FA6" w:rsidP="00B35FA6">
      <w:pPr>
        <w:pStyle w:val="Heading1"/>
      </w:pPr>
      <w:bookmarkStart w:id="6" w:name="O_511194"/>
      <w:bookmarkEnd w:id="6"/>
      <w:r w:rsidRPr="00B35FA6">
        <w:t>Employability Skills Information</w:t>
      </w:r>
    </w:p>
    <w:p w:rsidR="00000000" w:rsidRPr="00B35FA6" w:rsidP="00B35FA6">
      <w:pPr>
        <w:pStyle w:val="BodyText"/>
      </w:pPr>
      <w:r w:rsidRPr="00B35FA6">
        <w:t>This unit contains employability skills.</w:t>
      </w:r>
    </w:p>
    <w:p w:rsidR="00000000" w:rsidRPr="00B35FA6" w:rsidP="00B35FA6">
      <w:pPr>
        <w:pStyle w:val="AllowPageBreak"/>
      </w:pPr>
    </w:p>
    <w:p w:rsidR="00000000" w:rsidRPr="00B35FA6" w:rsidP="00B35FA6">
      <w:pPr>
        <w:pStyle w:val="Heading1"/>
      </w:pPr>
      <w:bookmarkStart w:id="7" w:name="O_511195"/>
      <w:bookmarkEnd w:id="7"/>
      <w:r w:rsidRPr="00B35FA6">
        <w:t>Elements and Performance Criteria Pre-Content</w:t>
      </w:r>
    </w:p>
    <w:tbl>
      <w:tblPr>
        <w:tblW w:w="0" w:type="auto"/>
        <w:tblLayout w:type="fixed"/>
        <w:tblCellMar>
          <w:left w:w="62" w:type="dxa"/>
          <w:right w:w="62" w:type="dxa"/>
        </w:tblCellMar>
        <w:tblLook w:val="0000"/>
      </w:tblPr>
      <w:tblGrid>
        <w:gridCol w:w="2518"/>
        <w:gridCol w:w="6482"/>
      </w:tblGrid>
      <w:tr w:rsidTr="00B35FA6">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35FA6" w:rsidP="00B35FA6">
            <w:pPr>
              <w:pStyle w:val="BodyText"/>
            </w:pPr>
            <w:r w:rsidRPr="00B35FA6">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Performance Criteria</w:t>
            </w:r>
          </w:p>
        </w:tc>
      </w:tr>
      <w:tr w:rsidTr="00B35FA6">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rPr>
                <w:rStyle w:val="Emphasis"/>
              </w:rPr>
              <w:t>Performance criteria de</w:t>
            </w:r>
            <w:r w:rsidRPr="00B35FA6">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B35FA6">
              <w:rPr>
                <w:rStyle w:val="Emphasis"/>
              </w:rPr>
              <w:t xml:space="preserve"> with the evidence guide.</w:t>
            </w:r>
          </w:p>
        </w:tc>
      </w:tr>
    </w:tbl>
    <w:p w:rsidR="00000000" w:rsidRPr="00B35FA6" w:rsidP="00B35FA6">
      <w:pPr>
        <w:pStyle w:val="BodyText"/>
      </w:pPr>
    </w:p>
    <w:p w:rsidR="00000000" w:rsidRPr="00B35FA6" w:rsidP="00B35FA6">
      <w:pPr>
        <w:pStyle w:val="AllowPageBreak"/>
      </w:pPr>
    </w:p>
    <w:p w:rsidR="00000000" w:rsidRPr="00B35FA6" w:rsidP="00B35FA6">
      <w:pPr>
        <w:pStyle w:val="Heading1"/>
      </w:pPr>
      <w:bookmarkStart w:id="8" w:name="O_511196"/>
      <w:bookmarkEnd w:id="8"/>
      <w:r w:rsidRPr="00B35FA6">
        <w:t>Elements and Performance Criteria</w:t>
      </w:r>
    </w:p>
    <w:tbl>
      <w:tblPr>
        <w:tblW w:w="0" w:type="auto"/>
        <w:tblLayout w:type="fixed"/>
        <w:tblCellMar>
          <w:left w:w="62" w:type="dxa"/>
          <w:right w:w="62" w:type="dxa"/>
        </w:tblCellMar>
        <w:tblLook w:val="0000"/>
      </w:tblPr>
      <w:tblGrid>
        <w:gridCol w:w="2523"/>
        <w:gridCol w:w="6477"/>
      </w:tblGrid>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 xml:space="preserve">1. Manage effective WHS risk-management consultation and participation processes </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1.1 Identify </w:t>
            </w:r>
            <w:r w:rsidRPr="00B35FA6">
              <w:rPr>
                <w:rStyle w:val="BoldandItalics"/>
              </w:rPr>
              <w:t xml:space="preserve">individuals and parties </w:t>
            </w:r>
            <w:r w:rsidRPr="00B35FA6">
              <w:t xml:space="preserve">who need to participate in, contribute </w:t>
            </w:r>
            <w:r w:rsidRPr="00B35FA6">
              <w:t>to, and be consulted during all stages of WHS risk management</w:t>
            </w:r>
          </w:p>
          <w:p w:rsidR="00000000" w:rsidRPr="00B35FA6" w:rsidP="00B35FA6">
            <w:pPr>
              <w:pStyle w:val="BodyText"/>
            </w:pPr>
            <w:r w:rsidRPr="00B35FA6">
              <w:t>1.2 Apply knowledge of effective WHS consultation and participation processes to review existing consultation and participation processes</w:t>
            </w:r>
          </w:p>
          <w:p w:rsidR="00000000" w:rsidRPr="00B35FA6" w:rsidP="00B35FA6">
            <w:pPr>
              <w:pStyle w:val="BodyText"/>
            </w:pPr>
            <w:r w:rsidRPr="00B35FA6">
              <w:t>1.3 Modify existing consultation and participation proce</w:t>
            </w:r>
            <w:r w:rsidRPr="00B35FA6">
              <w:t>sses and/or implement new processes to ensure effective consultation and participation during all stages of WHS risk management</w:t>
            </w:r>
          </w:p>
          <w:p w:rsidR="00000000" w:rsidP="00B35FA6">
            <w:pPr>
              <w:pStyle w:val="BodyText"/>
              <w:rPr>
                <w:lang w:val="en-NZ"/>
              </w:rPr>
            </w:pPr>
            <w:r w:rsidRPr="00B35FA6">
              <w:t>1.4 Use consultation and participation processes to ensure WHS risk-management processes are appropriate to the organisation and</w:t>
            </w:r>
            <w:r w:rsidRPr="00B35FA6">
              <w:t xml:space="preserve"> the WHS risks</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2. Arrange for necessary resources during WHS risk management</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2.1 Identify necessary </w:t>
            </w:r>
            <w:r w:rsidRPr="00B35FA6">
              <w:rPr>
                <w:rStyle w:val="BoldandItalics"/>
              </w:rPr>
              <w:t xml:space="preserve">resources </w:t>
            </w:r>
            <w:r w:rsidRPr="00B35FA6">
              <w:t>required for all stages of WHS risk management</w:t>
            </w:r>
          </w:p>
          <w:p w:rsidR="00000000" w:rsidRPr="00B35FA6" w:rsidP="00B35FA6">
            <w:pPr>
              <w:pStyle w:val="BodyText"/>
            </w:pPr>
            <w:r w:rsidRPr="00B35FA6">
              <w:t>2.2 Budget for necessary resources</w:t>
            </w:r>
          </w:p>
          <w:p w:rsidR="00000000" w:rsidP="00B35FA6">
            <w:pPr>
              <w:pStyle w:val="BodyText"/>
              <w:rPr>
                <w:lang w:val="en-NZ"/>
              </w:rPr>
            </w:pPr>
            <w:r w:rsidRPr="00B35FA6">
              <w:t>2.3 Procure resources and ensure availability as required</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3. Review existing WHS risk-management processes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3.1 Access existing workplace WHS information and data</w:t>
            </w:r>
          </w:p>
          <w:p w:rsidR="00000000" w:rsidRPr="00B35FA6" w:rsidP="00B35FA6">
            <w:pPr>
              <w:pStyle w:val="BodyText"/>
            </w:pPr>
            <w:r w:rsidRPr="00B35FA6">
              <w:t>3.2 Identify existing WHS risk-management processes</w:t>
            </w:r>
          </w:p>
          <w:p w:rsidR="00000000" w:rsidRPr="00B35FA6" w:rsidP="00B35FA6">
            <w:pPr>
              <w:pStyle w:val="BodyText"/>
            </w:pPr>
            <w:r w:rsidRPr="00B35FA6">
              <w:t>3.3 Consult with individuals and parties on WHS risk-management processes</w:t>
            </w:r>
          </w:p>
          <w:p w:rsidR="00000000" w:rsidRPr="00B35FA6" w:rsidP="00B35FA6">
            <w:pPr>
              <w:pStyle w:val="BodyText"/>
            </w:pPr>
            <w:r w:rsidRPr="00B35FA6">
              <w:t xml:space="preserve">3.4 Review processes with regard to effectiveness of current risk controls, lessons learnt from </w:t>
            </w:r>
            <w:r w:rsidRPr="00B35FA6">
              <w:rPr>
                <w:rStyle w:val="BoldandItalics"/>
              </w:rPr>
              <w:t>events</w:t>
            </w:r>
            <w:r w:rsidRPr="00B35FA6">
              <w:t>, changes in the internal and external contexts, emerging risks and performance against indicators</w:t>
            </w:r>
          </w:p>
          <w:p w:rsidR="00000000" w:rsidP="00B35FA6">
            <w:pPr>
              <w:pStyle w:val="BodyText"/>
              <w:rPr>
                <w:lang w:val="en-NZ"/>
              </w:rPr>
            </w:pPr>
            <w:r w:rsidRPr="00B35FA6">
              <w:t>3.5 Use results of review to develop and implement effe</w:t>
            </w:r>
            <w:r w:rsidRPr="00B35FA6">
              <w:t>ctive WHS risk management</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4. Establish the WHS risk-management framework</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4.1 Identify </w:t>
            </w:r>
            <w:r w:rsidRPr="00B35FA6">
              <w:rPr>
                <w:rStyle w:val="BoldandItalics"/>
              </w:rPr>
              <w:t>sources of information and data</w:t>
            </w:r>
          </w:p>
          <w:p w:rsidR="00000000" w:rsidP="00B35FA6">
            <w:pPr>
              <w:pStyle w:val="BodyText"/>
              <w:rPr>
                <w:lang w:val="en-NZ"/>
              </w:rPr>
            </w:pPr>
            <w:r w:rsidRPr="00B35FA6">
              <w:t>4.2 Obtain information and data to determine the purposes, objectives, principles and framework of a systematic approach to WHS risk mana</w:t>
            </w:r>
            <w:r w:rsidRPr="00B35FA6">
              <w:t>gement</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5. Establish the context for WHS risk management</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5.1 Apply knowledge of </w:t>
            </w:r>
            <w:r w:rsidRPr="00B35FA6">
              <w:rPr>
                <w:rStyle w:val="BoldandItalics"/>
              </w:rPr>
              <w:t>WHS legislation</w:t>
            </w:r>
            <w:r w:rsidRPr="00B35FA6">
              <w:t xml:space="preserve">, to identify </w:t>
            </w:r>
            <w:r w:rsidRPr="00B35FA6">
              <w:rPr>
                <w:rStyle w:val="BoldandItalics"/>
              </w:rPr>
              <w:t xml:space="preserve">duty holders </w:t>
            </w:r>
            <w:r w:rsidRPr="00B35FA6">
              <w:t>and legislative requirements for WHS risk management</w:t>
            </w:r>
          </w:p>
          <w:p w:rsidR="00000000" w:rsidRPr="00B35FA6" w:rsidP="00B35FA6">
            <w:pPr>
              <w:pStyle w:val="BodyText"/>
            </w:pPr>
            <w:r w:rsidRPr="00B35FA6">
              <w:t>5.2 Identify individuals and parties impacting on WHS risk management</w:t>
            </w:r>
          </w:p>
          <w:p w:rsidR="00000000" w:rsidRPr="00B35FA6" w:rsidP="00B35FA6">
            <w:pPr>
              <w:pStyle w:val="BodyText"/>
            </w:pPr>
            <w:r w:rsidRPr="00B35FA6">
              <w:t>5.3 Identif</w:t>
            </w:r>
            <w:r w:rsidRPr="00B35FA6">
              <w:t>y factors that will impact on WHS risk management</w:t>
            </w:r>
          </w:p>
          <w:p w:rsidR="00000000" w:rsidRPr="00B35FA6" w:rsidP="00B35FA6">
            <w:pPr>
              <w:pStyle w:val="BodyText"/>
            </w:pPr>
            <w:r w:rsidRPr="00B35FA6">
              <w:t xml:space="preserve">5.4 Establish </w:t>
            </w:r>
            <w:r w:rsidRPr="00B35FA6">
              <w:rPr>
                <w:rStyle w:val="BoldandItalics"/>
              </w:rPr>
              <w:t xml:space="preserve">context </w:t>
            </w:r>
            <w:r w:rsidRPr="00B35FA6">
              <w:t>of the WHS risk-management process</w:t>
            </w:r>
          </w:p>
          <w:p w:rsidR="00000000" w:rsidP="00B35FA6">
            <w:pPr>
              <w:pStyle w:val="BodyText"/>
              <w:rPr>
                <w:lang w:val="en-NZ"/>
              </w:rPr>
            </w:pPr>
            <w:r w:rsidRPr="00B35FA6">
              <w:t xml:space="preserve">5.5 Define </w:t>
            </w:r>
            <w:r w:rsidRPr="00B35FA6">
              <w:rPr>
                <w:rStyle w:val="BoldandItalics"/>
              </w:rPr>
              <w:t>risk criteria</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6. Assess risk</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6.1 Apply knowledge of WHS hazards and risks to undertake </w:t>
            </w:r>
            <w:r w:rsidRPr="00B35FA6">
              <w:rPr>
                <w:rStyle w:val="BoldandItalics"/>
              </w:rPr>
              <w:t>hazard identification</w:t>
            </w:r>
          </w:p>
          <w:p w:rsidR="00000000" w:rsidP="00B35FA6">
            <w:pPr>
              <w:pStyle w:val="BodyText"/>
              <w:rPr>
                <w:lang w:val="en-NZ"/>
              </w:rPr>
            </w:pPr>
            <w:r w:rsidRPr="00B35FA6">
              <w:t>6.2 Apply knowledge of WHS l</w:t>
            </w:r>
            <w:r w:rsidRPr="00B35FA6">
              <w:t xml:space="preserve">egislation, WHS risk assessment and workplace WHS information and data to undertake </w:t>
            </w:r>
            <w:r w:rsidRPr="00B35FA6">
              <w:rPr>
                <w:rStyle w:val="BoldandItalics"/>
              </w:rPr>
              <w:t>risk analysis and evaluation</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7. Treat risk</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 xml:space="preserve">7.1 Apply knowledge of outcomes of risk assessment, WHS hazards and risk controls, and WHS legislation to select </w:t>
            </w:r>
            <w:r w:rsidRPr="00B35FA6">
              <w:rPr>
                <w:rStyle w:val="BoldandItalics"/>
              </w:rPr>
              <w:t xml:space="preserve">risk treatment </w:t>
            </w:r>
            <w:r w:rsidRPr="00B35FA6">
              <w:rPr>
                <w:rStyle w:val="BoldandItalics"/>
              </w:rPr>
              <w:t>options</w:t>
            </w:r>
          </w:p>
          <w:p w:rsidR="00000000" w:rsidP="00B35FA6">
            <w:pPr>
              <w:pStyle w:val="BodyText"/>
              <w:rPr>
                <w:lang w:val="en-NZ"/>
              </w:rPr>
            </w:pPr>
            <w:r w:rsidRPr="00B35FA6">
              <w:t>7.2 Prepare and implement risk treatment</w:t>
            </w:r>
          </w:p>
        </w:tc>
      </w:tr>
      <w:tr w:rsidTr="00B35FA6">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t>8. Monitor, review and record the WHS risk-management process</w:t>
            </w:r>
          </w:p>
        </w:tc>
        <w:tc>
          <w:tcPr>
            <w:tcW w:w="6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8.1 Apply knowledge of the organisation’s WHS management system (WHSMS) to monitor and review WHS risk management</w:t>
            </w:r>
          </w:p>
          <w:p w:rsidR="00000000" w:rsidRPr="00B35FA6" w:rsidP="00B35FA6">
            <w:pPr>
              <w:pStyle w:val="BodyText"/>
            </w:pPr>
            <w:r w:rsidRPr="00B35FA6">
              <w:t>8.2 Apply knowledge of the organisation’s WHS information system (WHSIS) to record the WHS risk-management process</w:t>
            </w:r>
          </w:p>
        </w:tc>
      </w:tr>
    </w:tbl>
    <w:p w:rsidR="00000000" w:rsidRPr="00B35FA6" w:rsidP="00B35FA6">
      <w:pPr>
        <w:pStyle w:val="BodyText"/>
      </w:pPr>
    </w:p>
    <w:p w:rsidR="00000000" w:rsidRPr="00B35FA6" w:rsidP="00B35FA6">
      <w:pPr>
        <w:pStyle w:val="AllowPageBreak"/>
      </w:pPr>
    </w:p>
    <w:p w:rsidR="00000000" w:rsidRPr="00B35FA6" w:rsidP="00B35FA6">
      <w:pPr>
        <w:pStyle w:val="Heading1"/>
      </w:pPr>
      <w:bookmarkStart w:id="9" w:name="O_511197"/>
      <w:bookmarkEnd w:id="9"/>
      <w:r w:rsidRPr="00B35FA6">
        <w:t>Required Skills and Knowledge</w:t>
      </w:r>
    </w:p>
    <w:p w:rsidR="00000000" w:rsidRPr="00B35FA6" w:rsidP="00B35FA6">
      <w:pPr>
        <w:pStyle w:val="BodyText"/>
      </w:pPr>
      <w:r w:rsidRPr="00B35FA6">
        <w:rPr>
          <w:rStyle w:val="Emphasis"/>
        </w:rPr>
        <w:t>This section describes the skills and knowledge required for this unit.</w:t>
      </w:r>
    </w:p>
    <w:p w:rsidR="00000000" w:rsidRPr="00B35FA6" w:rsidP="00B35FA6">
      <w:pPr>
        <w:pStyle w:val="BodyText"/>
      </w:pPr>
    </w:p>
    <w:p w:rsidR="00000000" w:rsidRPr="00B35FA6" w:rsidP="00B35FA6">
      <w:pPr>
        <w:pStyle w:val="BodyText"/>
      </w:pPr>
      <w:r w:rsidRPr="00B35FA6">
        <w:rPr>
          <w:rStyle w:val="SpecialBold"/>
        </w:rPr>
        <w:t>Required skills</w:t>
      </w:r>
    </w:p>
    <w:p w:rsidR="00000000" w:rsidRPr="00B35FA6" w:rsidP="00B35FA6">
      <w:pPr>
        <w:pStyle w:val="BodyText"/>
      </w:pPr>
    </w:p>
    <w:p w:rsidR="00000000" w:rsidRPr="00B35FA6" w:rsidP="00B35FA6">
      <w:pPr>
        <w:pStyle w:val="ListBullet"/>
      </w:pPr>
      <w:r w:rsidRPr="00B35FA6">
        <w:t>a</w:t>
      </w:r>
      <w:r w:rsidRPr="00B35FA6">
        <w:t>nalytical skills to analyse relevant workplace information and data</w:t>
      </w:r>
    </w:p>
    <w:p w:rsidR="00000000" w:rsidRPr="00B35FA6" w:rsidP="00B35FA6">
      <w:pPr>
        <w:pStyle w:val="ListBullet"/>
      </w:pPr>
      <w:r w:rsidRPr="00B35FA6">
        <w:t>communication skills to:</w:t>
      </w:r>
    </w:p>
    <w:p w:rsidR="00000000" w:rsidRPr="00B35FA6" w:rsidP="00B35FA6">
      <w:pPr>
        <w:pStyle w:val="ListBullet2"/>
      </w:pPr>
      <w:r w:rsidRPr="00B35FA6">
        <w:t xml:space="preserve">conduct effective formal and informal meetings and communicate effectively with personnel at </w:t>
      </w:r>
      <w:r w:rsidRPr="00B35FA6">
        <w:t>all levels of the organisation, and with external parties and individuals</w:t>
      </w:r>
    </w:p>
    <w:p w:rsidR="00000000" w:rsidRPr="00B35FA6" w:rsidP="00B35FA6">
      <w:pPr>
        <w:pStyle w:val="ListBullet2"/>
      </w:pPr>
      <w:r w:rsidRPr="00B35FA6">
        <w:t>use language appropriate to the work team and the task</w:t>
      </w:r>
    </w:p>
    <w:p w:rsidR="00000000" w:rsidRPr="00B35FA6" w:rsidP="00B35FA6">
      <w:pPr>
        <w:pStyle w:val="ListBullet2"/>
      </w:pPr>
      <w:r w:rsidRPr="00B35FA6">
        <w:t>write policies, procedures and plans</w:t>
      </w:r>
    </w:p>
    <w:p w:rsidR="00000000" w:rsidRPr="00B35FA6" w:rsidP="00B35FA6">
      <w:pPr>
        <w:pStyle w:val="ListBullet"/>
      </w:pPr>
      <w:r w:rsidRPr="00B35FA6">
        <w:t>consultation and negotiation skills to:</w:t>
      </w:r>
    </w:p>
    <w:p w:rsidR="00000000" w:rsidRPr="00B35FA6" w:rsidP="00B35FA6">
      <w:pPr>
        <w:pStyle w:val="ListBullet2"/>
      </w:pPr>
      <w:r w:rsidRPr="00B35FA6">
        <w:t>develop plans</w:t>
      </w:r>
    </w:p>
    <w:p w:rsidR="00000000" w:rsidRPr="00B35FA6" w:rsidP="00B35FA6">
      <w:pPr>
        <w:pStyle w:val="ListBullet2"/>
      </w:pPr>
      <w:r w:rsidRPr="00B35FA6">
        <w:t>implement and monitor designated a</w:t>
      </w:r>
      <w:r w:rsidRPr="00B35FA6">
        <w:t>ctions</w:t>
      </w:r>
    </w:p>
    <w:p w:rsidR="00000000" w:rsidRPr="00B35FA6" w:rsidP="00B35FA6">
      <w:pPr>
        <w:pStyle w:val="ListBullet"/>
      </w:pPr>
      <w:r w:rsidRPr="00B35FA6">
        <w:t>information technology skills to:</w:t>
      </w:r>
    </w:p>
    <w:p w:rsidR="00000000" w:rsidRPr="00B35FA6" w:rsidP="00B35FA6">
      <w:pPr>
        <w:pStyle w:val="ListBullet2"/>
      </w:pPr>
      <w:r w:rsidRPr="00B35FA6">
        <w:t>access and enter internal and external information and data on WHS</w:t>
      </w:r>
    </w:p>
    <w:p w:rsidR="00000000" w:rsidRPr="00B35FA6" w:rsidP="00B35FA6">
      <w:pPr>
        <w:pStyle w:val="ListBullet2"/>
      </w:pPr>
      <w:r w:rsidRPr="00B35FA6">
        <w:t>use a range of communication media</w:t>
      </w:r>
    </w:p>
    <w:p w:rsidR="00000000" w:rsidRPr="00B35FA6" w:rsidP="00B35FA6">
      <w:pPr>
        <w:pStyle w:val="ListBullet"/>
      </w:pPr>
      <w:r w:rsidRPr="00B35FA6">
        <w:t>numeracy skills to:</w:t>
      </w:r>
    </w:p>
    <w:p w:rsidR="00000000" w:rsidRPr="00B35FA6" w:rsidP="00B35FA6">
      <w:pPr>
        <w:pStyle w:val="ListBullet2"/>
      </w:pPr>
      <w:r w:rsidRPr="00B35FA6">
        <w:t>analyse workplace information and data</w:t>
      </w:r>
    </w:p>
    <w:p w:rsidR="00000000" w:rsidRPr="00B35FA6" w:rsidP="00B35FA6">
      <w:pPr>
        <w:pStyle w:val="ListBullet2"/>
      </w:pPr>
      <w:r w:rsidRPr="00B35FA6">
        <w:t>carry out calculations</w:t>
      </w:r>
    </w:p>
    <w:p w:rsidR="00000000" w:rsidRPr="00B35FA6" w:rsidP="00B35FA6">
      <w:pPr>
        <w:pStyle w:val="ListBullet2"/>
      </w:pPr>
      <w:r w:rsidRPr="00B35FA6">
        <w:t>identify trends</w:t>
      </w:r>
    </w:p>
    <w:p w:rsidR="00000000" w:rsidRPr="00B35FA6" w:rsidP="00B35FA6">
      <w:pPr>
        <w:pStyle w:val="ListBullet"/>
      </w:pPr>
      <w:r w:rsidRPr="00B35FA6">
        <w:t>organisational skills to manage own tasks within a timeframe</w:t>
      </w:r>
    </w:p>
    <w:p w:rsidR="00000000" w:rsidRPr="00B35FA6" w:rsidP="00B35FA6">
      <w:pPr>
        <w:pStyle w:val="ListBullet"/>
      </w:pPr>
      <w:r w:rsidRPr="00B35FA6">
        <w:t>project-management skills to:</w:t>
      </w:r>
    </w:p>
    <w:p w:rsidR="00000000" w:rsidRPr="00B35FA6" w:rsidP="00B35FA6">
      <w:pPr>
        <w:pStyle w:val="ListBullet2"/>
      </w:pPr>
      <w:r w:rsidRPr="00B35FA6">
        <w:t>achieve continuous improvement</w:t>
      </w:r>
    </w:p>
    <w:p w:rsidR="00000000" w:rsidRPr="00B35FA6" w:rsidP="00B35FA6">
      <w:pPr>
        <w:pStyle w:val="ListBullet2"/>
      </w:pPr>
      <w:r w:rsidRPr="00B35FA6">
        <w:t>action processes about WHS matters</w:t>
      </w:r>
    </w:p>
    <w:p w:rsidR="00000000" w:rsidRPr="00B35FA6" w:rsidP="00B35FA6">
      <w:pPr>
        <w:pStyle w:val="ListBullet"/>
      </w:pPr>
      <w:r w:rsidRPr="00B35FA6">
        <w:t>research skills to:</w:t>
      </w:r>
    </w:p>
    <w:p w:rsidR="00000000" w:rsidRPr="00B35FA6" w:rsidP="00B35FA6">
      <w:pPr>
        <w:pStyle w:val="ListBullet2"/>
      </w:pPr>
      <w:r w:rsidRPr="00B35FA6">
        <w:t>access relevant WHS information and data</w:t>
      </w:r>
    </w:p>
    <w:p w:rsidR="00000000" w:rsidRPr="00B35FA6" w:rsidP="00B35FA6">
      <w:pPr>
        <w:pStyle w:val="ListBullet2"/>
      </w:pPr>
      <w:r w:rsidRPr="00B35FA6">
        <w:t>identify areas for improvement</w:t>
      </w:r>
    </w:p>
    <w:p w:rsidR="00000000" w:rsidRPr="00B35FA6" w:rsidP="00B35FA6">
      <w:pPr>
        <w:pStyle w:val="ListBullet2"/>
      </w:pPr>
      <w:r w:rsidRPr="00B35FA6">
        <w:t>inte</w:t>
      </w:r>
      <w:r w:rsidRPr="00B35FA6">
        <w:t>rpret information and data.</w:t>
      </w:r>
    </w:p>
    <w:p w:rsidR="00000000" w:rsidRPr="00B35FA6" w:rsidP="00B35FA6">
      <w:pPr>
        <w:pStyle w:val="BodyText"/>
      </w:pPr>
    </w:p>
    <w:p w:rsidR="00000000" w:rsidRPr="00B35FA6" w:rsidP="00B35FA6">
      <w:pPr>
        <w:pStyle w:val="BodyText"/>
      </w:pPr>
      <w:r w:rsidRPr="00B35FA6">
        <w:rPr>
          <w:rStyle w:val="SpecialBold"/>
        </w:rPr>
        <w:t>Required knowledge</w:t>
      </w:r>
    </w:p>
    <w:p w:rsidR="00000000" w:rsidRPr="00B35FA6" w:rsidP="00B35FA6">
      <w:pPr>
        <w:pStyle w:val="BodyText"/>
      </w:pPr>
    </w:p>
    <w:p w:rsidR="00000000" w:rsidRPr="00B35FA6" w:rsidP="00B35FA6">
      <w:pPr>
        <w:pStyle w:val="ListBullet"/>
      </w:pPr>
      <w:r w:rsidRPr="00B35FA6">
        <w:t>any existing workplace WHSIS or other information systems</w:t>
      </w:r>
    </w:p>
    <w:p w:rsidR="00000000" w:rsidRPr="00B35FA6" w:rsidP="00B35FA6">
      <w:pPr>
        <w:pStyle w:val="ListBullet"/>
      </w:pPr>
      <w:r w:rsidRPr="00B35FA6">
        <w:t>any existing workplace WHSMS or other information systems</w:t>
      </w:r>
    </w:p>
    <w:p w:rsidR="00000000" w:rsidRPr="00B35FA6" w:rsidP="00B35FA6">
      <w:pPr>
        <w:pStyle w:val="ListBullet"/>
      </w:pPr>
      <w:r w:rsidRPr="00B35FA6">
        <w:t>different definitions of hazard and risk and how they are used by different individuals and parties</w:t>
      </w:r>
    </w:p>
    <w:p w:rsidR="00000000" w:rsidRPr="00B35FA6" w:rsidP="00B35FA6">
      <w:pPr>
        <w:pStyle w:val="ListBullet"/>
      </w:pPr>
      <w:r w:rsidRPr="00B35FA6">
        <w:t>internal and external sources of WHS information and data, and how to access them</w:t>
      </w:r>
    </w:p>
    <w:p w:rsidR="00000000" w:rsidRPr="00B35FA6" w:rsidP="00B35FA6">
      <w:pPr>
        <w:pStyle w:val="ListBullet"/>
      </w:pPr>
      <w:r w:rsidRPr="00B35FA6">
        <w:t>legislative requirements for WHS</w:t>
      </w:r>
    </w:p>
    <w:p w:rsidR="00000000" w:rsidRPr="00B35FA6" w:rsidP="00B35FA6">
      <w:pPr>
        <w:pStyle w:val="ListBullet"/>
      </w:pPr>
      <w:r w:rsidRPr="00B35FA6">
        <w:t xml:space="preserve">organisational WHS policies, procedures, </w:t>
      </w:r>
      <w:r w:rsidRPr="00B35FA6">
        <w:t>processes and systems</w:t>
      </w:r>
    </w:p>
    <w:p w:rsidR="00000000" w:rsidRPr="00B35FA6" w:rsidP="00B35FA6">
      <w:pPr>
        <w:pStyle w:val="ListBullet"/>
      </w:pPr>
      <w:r w:rsidRPr="00B35FA6">
        <w:t>other functional areas that impact on the management of WHS</w:t>
      </w:r>
    </w:p>
    <w:p w:rsidR="00000000" w:rsidRPr="00B35FA6" w:rsidP="00B35FA6">
      <w:pPr>
        <w:pStyle w:val="ListBullet"/>
      </w:pPr>
      <w:r w:rsidRPr="00B35FA6">
        <w:t>principles and practices of a systematic approach to managing WHS</w:t>
      </w:r>
    </w:p>
    <w:p w:rsidR="00000000" w:rsidRPr="00B35FA6" w:rsidP="00B35FA6">
      <w:pPr>
        <w:pStyle w:val="ListBullet"/>
      </w:pPr>
      <w:r w:rsidRPr="00B35FA6">
        <w:t>principles of duty of care, including concepts of causation, foreseeability and preventability</w:t>
      </w:r>
    </w:p>
    <w:p w:rsidR="00000000" w:rsidRPr="00B35FA6" w:rsidP="00B35FA6">
      <w:pPr>
        <w:pStyle w:val="ListBullet"/>
      </w:pPr>
      <w:r w:rsidRPr="00B35FA6">
        <w:t>principles of</w:t>
      </w:r>
      <w:r w:rsidRPr="00B35FA6">
        <w:t xml:space="preserve"> incident causation and injury processes</w:t>
      </w:r>
    </w:p>
    <w:p w:rsidR="00000000" w:rsidRPr="00B35FA6" w:rsidP="00B35FA6">
      <w:pPr>
        <w:pStyle w:val="ListBullet"/>
      </w:pPr>
      <w:r w:rsidRPr="00B35FA6">
        <w:t>range of risk analysis and assessment techniques and tools, and their application and limitations</w:t>
      </w:r>
    </w:p>
    <w:p w:rsidR="00000000" w:rsidRPr="00B35FA6" w:rsidP="00B35FA6">
      <w:pPr>
        <w:pStyle w:val="ListBullet"/>
      </w:pPr>
      <w:r w:rsidRPr="00B35FA6">
        <w:t>relevant and applicable Australian standards and publications, including:</w:t>
      </w:r>
    </w:p>
    <w:p w:rsidR="00000000" w:rsidRPr="00B35FA6" w:rsidP="00B35FA6">
      <w:pPr>
        <w:pStyle w:val="ListBullet2"/>
      </w:pPr>
      <w:r w:rsidRPr="00B35FA6">
        <w:t>AS/NZS ISO 31000–2009 Risk management – Pr</w:t>
      </w:r>
      <w:r w:rsidRPr="00B35FA6">
        <w:t>inciples and guidelines</w:t>
      </w:r>
    </w:p>
    <w:p w:rsidR="00000000" w:rsidRPr="00B35FA6" w:rsidP="00B35FA6">
      <w:pPr>
        <w:pStyle w:val="ListBullet2"/>
      </w:pPr>
      <w:r w:rsidRPr="00B35FA6">
        <w:t>Standards Australia publication HB 327:2010 Communicating and consulting about risk (Companion to AS/NZS ISO 31000:2009)</w:t>
      </w:r>
    </w:p>
    <w:p w:rsidR="00000000" w:rsidRPr="00B35FA6" w:rsidP="00B35FA6">
      <w:pPr>
        <w:pStyle w:val="ListBullet2"/>
      </w:pPr>
      <w:r w:rsidRPr="00B35FA6">
        <w:t>Standards Australia publication HB 158-2010 Delivering assurance based on ISO 31000:2009 – Risk management – Pr</w:t>
      </w:r>
      <w:r w:rsidRPr="00B35FA6">
        <w:t>inciples and guidelines</w:t>
      </w:r>
    </w:p>
    <w:p w:rsidR="00000000" w:rsidRPr="00B35FA6" w:rsidP="00B35FA6">
      <w:pPr>
        <w:pStyle w:val="ListBullet2"/>
      </w:pPr>
      <w:r w:rsidRPr="00B35FA6">
        <w:t>relevant commonwealth and state or territory WHS Acts, regulations, codes of practice, standards and guidance material, and other relevant publications (including the Safe Work Australia model Code of Practice: How to Manage Work He</w:t>
      </w:r>
      <w:r w:rsidRPr="00B35FA6">
        <w:t>alth and Safety Risks)</w:t>
      </w:r>
    </w:p>
    <w:p w:rsidR="00000000" w:rsidRPr="00B35FA6" w:rsidP="00B35FA6">
      <w:pPr>
        <w:pStyle w:val="ListBullet"/>
      </w:pPr>
      <w:r w:rsidRPr="00B35FA6">
        <w:t>risk as the effect of uncertainty on objectives</w:t>
      </w:r>
    </w:p>
    <w:p w:rsidR="00000000" w:rsidRPr="00B35FA6" w:rsidP="00B35FA6">
      <w:pPr>
        <w:pStyle w:val="ListBullet"/>
      </w:pPr>
      <w:r w:rsidRPr="00B35FA6">
        <w:t>risk management as a duty of persons conducting businesses or undertakings (PCBUs) or their officers under WHS legislation</w:t>
      </w:r>
    </w:p>
    <w:p w:rsidR="00000000" w:rsidRPr="00B35FA6" w:rsidP="00B35FA6">
      <w:pPr>
        <w:pStyle w:val="ListBullet"/>
      </w:pPr>
      <w:r w:rsidRPr="00B35FA6">
        <w:t>standard industry controls for a range of hazards</w:t>
      </w:r>
    </w:p>
    <w:p w:rsidR="00000000" w:rsidRPr="00B35FA6" w:rsidP="00B35FA6">
      <w:pPr>
        <w:pStyle w:val="ListBullet"/>
      </w:pPr>
      <w:r w:rsidRPr="00B35FA6">
        <w:t>techniques, tools and processes for identifying and controlling health and safety hazards and risks:</w:t>
      </w:r>
    </w:p>
    <w:p w:rsidR="00000000" w:rsidRPr="00B35FA6" w:rsidP="00B35FA6">
      <w:pPr>
        <w:pStyle w:val="ListBullet2"/>
      </w:pPr>
      <w:r w:rsidRPr="00B35FA6">
        <w:t>hazard and risk checklists</w:t>
      </w:r>
    </w:p>
    <w:p w:rsidR="00000000" w:rsidRPr="00B35FA6" w:rsidP="00B35FA6">
      <w:pPr>
        <w:pStyle w:val="ListBullet2"/>
      </w:pPr>
      <w:r w:rsidRPr="00B35FA6">
        <w:t>hazard hunts</w:t>
      </w:r>
    </w:p>
    <w:p w:rsidR="00000000" w:rsidRPr="00B35FA6" w:rsidP="00B35FA6">
      <w:pPr>
        <w:pStyle w:val="ListBullet2"/>
      </w:pPr>
      <w:r w:rsidRPr="00B35FA6">
        <w:t>job safety analyses</w:t>
      </w:r>
    </w:p>
    <w:p w:rsidR="00000000" w:rsidRPr="00B35FA6" w:rsidP="00B35FA6">
      <w:pPr>
        <w:pStyle w:val="ListBullet2"/>
      </w:pPr>
      <w:r w:rsidRPr="00B35FA6">
        <w:t>manifests and registers, including for dangerous goods, hazardous chemicals and plant</w:t>
      </w:r>
    </w:p>
    <w:p w:rsidR="00000000" w:rsidRPr="00B35FA6" w:rsidP="00B35FA6">
      <w:pPr>
        <w:pStyle w:val="ListBullet2"/>
      </w:pPr>
      <w:r w:rsidRPr="00B35FA6">
        <w:t>safe wor</w:t>
      </w:r>
      <w:r w:rsidRPr="00B35FA6">
        <w:t>k method statements</w:t>
      </w:r>
    </w:p>
    <w:p w:rsidR="00000000" w:rsidRPr="00B35FA6" w:rsidP="00B35FA6">
      <w:pPr>
        <w:pStyle w:val="ListBullet2"/>
      </w:pPr>
      <w:r w:rsidRPr="00B35FA6">
        <w:t>surveys using questionnaires, interviews and other survey techniques</w:t>
      </w:r>
    </w:p>
    <w:p w:rsidR="00000000" w:rsidRPr="00B35FA6" w:rsidP="00B35FA6">
      <w:pPr>
        <w:pStyle w:val="ListBullet2"/>
      </w:pPr>
      <w:r w:rsidRPr="00B35FA6">
        <w:t>workplace inspections and walk throughs</w:t>
      </w:r>
    </w:p>
    <w:p w:rsidR="00000000" w:rsidRPr="00B35FA6" w:rsidP="00B35FA6">
      <w:pPr>
        <w:pStyle w:val="ListBullet"/>
      </w:pPr>
      <w:r w:rsidRPr="00B35FA6">
        <w:t>toxicology of hazardous chemicals and potential health effects in the workplace.</w:t>
      </w:r>
    </w:p>
    <w:p w:rsidR="00000000" w:rsidRPr="00B35FA6" w:rsidP="00B35FA6">
      <w:pPr>
        <w:pStyle w:val="AllowPageBreak"/>
      </w:pPr>
    </w:p>
    <w:p w:rsidR="00000000" w:rsidRPr="00B35FA6" w:rsidP="00B35FA6">
      <w:pPr>
        <w:pStyle w:val="Heading1"/>
      </w:pPr>
      <w:bookmarkStart w:id="10" w:name="O_511198"/>
      <w:bookmarkEnd w:id="10"/>
      <w:r w:rsidRPr="00B35FA6">
        <w:t>Evidence Guide</w:t>
      </w:r>
    </w:p>
    <w:p w:rsidR="00000000" w:rsidRPr="00B35FA6" w:rsidP="00B35FA6">
      <w:pPr>
        <w:pStyle w:val="BodyText"/>
      </w:pPr>
      <w:r w:rsidRPr="00B35FA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35FA6" w:rsidP="00B35FA6">
      <w:pPr>
        <w:pStyle w:val="BodyText"/>
      </w:pPr>
    </w:p>
    <w:tbl>
      <w:tblPr>
        <w:tblW w:w="0" w:type="auto"/>
        <w:tblLayout w:type="fixed"/>
        <w:tblCellMar>
          <w:left w:w="62" w:type="dxa"/>
          <w:right w:w="62" w:type="dxa"/>
        </w:tblCellMar>
        <w:tblLook w:val="0000"/>
      </w:tblPr>
      <w:tblGrid>
        <w:gridCol w:w="3555"/>
        <w:gridCol w:w="5445"/>
      </w:tblGrid>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Critical aspect</w:t>
            </w:r>
            <w:r w:rsidRPr="00B35FA6">
              <w:rPr>
                <w:rStyle w:val="SpecialBold"/>
              </w:rPr>
              <w: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Evidence of the following is essential:</w:t>
            </w:r>
          </w:p>
          <w:p w:rsidR="00000000" w:rsidRPr="00B35FA6" w:rsidP="00B35FA6">
            <w:pPr>
              <w:pStyle w:val="BodyText"/>
            </w:pPr>
          </w:p>
          <w:p w:rsidR="00000000" w:rsidRPr="00B35FA6" w:rsidP="00B35FA6">
            <w:pPr>
              <w:pStyle w:val="ListBullet"/>
            </w:pPr>
            <w:r w:rsidRPr="00B35FA6">
              <w:t>documented risk-management plans</w:t>
            </w:r>
          </w:p>
          <w:p w:rsidR="00000000" w:rsidRPr="00B35FA6" w:rsidP="00B35FA6">
            <w:pPr>
              <w:pStyle w:val="ListBullet"/>
            </w:pPr>
            <w:r w:rsidRPr="00B35FA6">
              <w:t>actions taken as part of the risk-management process</w:t>
            </w:r>
          </w:p>
          <w:p w:rsidR="00000000" w:rsidRPr="00B35FA6" w:rsidP="00B35FA6">
            <w:pPr>
              <w:pStyle w:val="ListBullet"/>
            </w:pPr>
            <w:r w:rsidRPr="00B35FA6">
              <w:t>ensuring continuous improvement is part of the ong</w:t>
            </w:r>
            <w:r w:rsidRPr="00B35FA6">
              <w:t>oing review process</w:t>
            </w:r>
          </w:p>
          <w:p w:rsidR="00000000" w:rsidP="00B35FA6">
            <w:pPr>
              <w:pStyle w:val="ListBullet"/>
              <w:rPr>
                <w:lang w:val="en-NZ"/>
              </w:rPr>
            </w:pPr>
            <w:r w:rsidRPr="00B35FA6">
              <w:t xml:space="preserve">knowledge of relevant sections of relevant Australian standards, WHS Acts, regulations and codes of practice, including the Safe Work Australia model code of </w:t>
            </w:r>
            <w:r w:rsidRPr="00B35FA6">
              <w:t>practice: How to Manage Work Health and Safety Risks.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Context of and specific</w:t>
            </w:r>
            <w:r w:rsidRPr="00B35FA6">
              <w:rPr>
                <w:rStyle w:val="SpecialBold"/>
              </w:rPr>
              <w:t xml:space="preserve">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Assessment must ensure access to:</w:t>
            </w:r>
          </w:p>
          <w:p w:rsidR="00000000" w:rsidRPr="00B35FA6" w:rsidP="00B35FA6">
            <w:pPr>
              <w:pStyle w:val="BodyText"/>
            </w:pPr>
          </w:p>
          <w:p w:rsidR="00000000" w:rsidRPr="00B35FA6" w:rsidP="00B35FA6">
            <w:pPr>
              <w:pStyle w:val="ListBullet"/>
            </w:pPr>
            <w:r w:rsidRPr="00B35FA6">
              <w:t>actual workplaces and stakeholder groups</w:t>
            </w:r>
          </w:p>
          <w:p w:rsidR="00000000" w:rsidRPr="00B35FA6" w:rsidP="00B35FA6">
            <w:pPr>
              <w:pStyle w:val="ListBullet"/>
            </w:pPr>
            <w:r w:rsidRPr="00B35FA6">
              <w:t>office equipment and resources</w:t>
            </w:r>
          </w:p>
          <w:p w:rsidR="00000000" w:rsidRPr="00B35FA6" w:rsidP="00B35FA6">
            <w:pPr>
              <w:pStyle w:val="ListBullet"/>
            </w:pPr>
            <w:r w:rsidRPr="00B35FA6">
              <w:t>relevant legislation, standards and guidelines</w:t>
            </w:r>
          </w:p>
          <w:p w:rsidR="00000000" w:rsidRPr="00B35FA6" w:rsidP="00B35FA6">
            <w:pPr>
              <w:pStyle w:val="ListBullet"/>
            </w:pPr>
            <w:r w:rsidRPr="00B35FA6">
              <w:t>workplace documentation</w:t>
            </w:r>
          </w:p>
          <w:p w:rsidR="00000000" w:rsidP="00B35FA6">
            <w:pPr>
              <w:pStyle w:val="ListBullet"/>
              <w:rPr>
                <w:lang w:val="en-NZ"/>
              </w:rPr>
            </w:pPr>
            <w:r w:rsidRPr="00B35FA6">
              <w:t>reports from other parties consulted durin</w:t>
            </w:r>
            <w:r w:rsidRPr="00B35FA6">
              <w:t>g the approach to WHS risk management.</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A range of assessment methods should be used to assess practical skills and knowledge. The following examples are appropriate for this unit:</w:t>
            </w:r>
          </w:p>
          <w:p w:rsidR="00000000" w:rsidRPr="00B35FA6" w:rsidP="00B35FA6">
            <w:pPr>
              <w:pStyle w:val="BodyText"/>
            </w:pPr>
          </w:p>
          <w:p w:rsidR="00000000" w:rsidRPr="00B35FA6" w:rsidP="00B35FA6">
            <w:pPr>
              <w:pStyle w:val="ListBullet"/>
            </w:pPr>
            <w:r w:rsidRPr="00B35FA6">
              <w:t>analysis of responses to case studies and scenarios</w:t>
            </w:r>
          </w:p>
          <w:p w:rsidR="00000000" w:rsidRPr="00B35FA6" w:rsidP="00B35FA6">
            <w:pPr>
              <w:pStyle w:val="ListBullet"/>
            </w:pPr>
            <w:r w:rsidRPr="00B35FA6">
              <w:t>demonstration of techniques used to identify, analyse, evaluate, control and monitor risks</w:t>
            </w:r>
          </w:p>
          <w:p w:rsidR="00000000" w:rsidRPr="00B35FA6" w:rsidP="00B35FA6">
            <w:pPr>
              <w:pStyle w:val="ListBullet"/>
            </w:pPr>
            <w:r w:rsidRPr="00B35FA6">
              <w:t>direct questioning combined with review of portfolios of evidence and third-party reports of on</w:t>
            </w:r>
            <w:r w:rsidRPr="00B35FA6">
              <w:noBreakHyphen/>
              <w:t>the</w:t>
            </w:r>
            <w:r w:rsidRPr="00B35FA6">
              <w:noBreakHyphen/>
              <w:t>job performance by the candidate</w:t>
            </w:r>
          </w:p>
          <w:p w:rsidR="00000000" w:rsidRPr="00B35FA6" w:rsidP="00B35FA6">
            <w:pPr>
              <w:pStyle w:val="ListBullet"/>
            </w:pPr>
            <w:r w:rsidRPr="00B35FA6">
              <w:t>observation of performance in ro</w:t>
            </w:r>
            <w:r w:rsidRPr="00B35FA6">
              <w:t>le plays</w:t>
            </w:r>
          </w:p>
          <w:p w:rsidR="00000000" w:rsidRPr="00B35FA6" w:rsidP="00B35FA6">
            <w:pPr>
              <w:pStyle w:val="ListBullet"/>
            </w:pPr>
            <w:r w:rsidRPr="00B35FA6">
              <w:t>observation of presentations</w:t>
            </w:r>
          </w:p>
          <w:p w:rsidR="00000000" w:rsidRPr="00B35FA6" w:rsidP="00B35FA6">
            <w:pPr>
              <w:pStyle w:val="ListBullet"/>
            </w:pPr>
            <w:r w:rsidRPr="00B35FA6">
              <w:t>oral or written questioning</w:t>
            </w:r>
          </w:p>
          <w:p w:rsidR="00000000" w:rsidRPr="00B35FA6" w:rsidP="00B35FA6">
            <w:pPr>
              <w:pStyle w:val="ListBullet"/>
            </w:pPr>
            <w:r w:rsidRPr="00B35FA6">
              <w:t>review of information and data communicated to stakeholders about the WHS risk-management process</w:t>
            </w:r>
          </w:p>
          <w:p w:rsidR="00000000" w:rsidRPr="00B35FA6" w:rsidP="00B35FA6">
            <w:pPr>
              <w:pStyle w:val="ListBullet"/>
            </w:pPr>
            <w:r w:rsidRPr="00B35FA6">
              <w:t>assessment of comparison of outcomes of WHS risk analysis with criteria</w:t>
            </w:r>
          </w:p>
          <w:p w:rsidR="00000000" w:rsidP="00B35FA6">
            <w:pPr>
              <w:pStyle w:val="ListBullet"/>
              <w:rPr>
                <w:lang w:val="en-NZ"/>
              </w:rPr>
            </w:pPr>
            <w:r w:rsidRPr="00B35FA6">
              <w:t>review of documentation of process and outcomes of analysis and evaluation of WHS risk of a task or process.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BodyText"/>
            </w:pPr>
            <w:r w:rsidRPr="00B35FA6">
              <w:t>Holistic assessment with other units relevant to the industry sector, workplace and job role is recommended, f</w:t>
            </w:r>
            <w:r w:rsidRPr="00B35FA6">
              <w:t>or example:</w:t>
            </w:r>
          </w:p>
          <w:p w:rsidR="00000000" w:rsidRPr="00B35FA6" w:rsidP="00B35FA6">
            <w:pPr>
              <w:pStyle w:val="BodyText"/>
            </w:pPr>
          </w:p>
          <w:p w:rsidR="00000000" w:rsidRPr="00B35FA6" w:rsidP="00B35FA6">
            <w:pPr>
              <w:pStyle w:val="ListBullet"/>
            </w:pPr>
            <w:r w:rsidRPr="00B35FA6">
              <w:t>BSBWHS601A Apply legislative frameworks for WHS</w:t>
            </w:r>
          </w:p>
          <w:p w:rsidR="00000000" w:rsidRPr="00B35FA6" w:rsidP="00B35FA6">
            <w:pPr>
              <w:pStyle w:val="ListBullet"/>
            </w:pPr>
            <w:r w:rsidRPr="00B35FA6">
              <w:t>BSBWHS602A Facilitate WHS activities.</w:t>
            </w:r>
          </w:p>
        </w:tc>
      </w:tr>
    </w:tbl>
    <w:p w:rsidR="00000000" w:rsidRPr="00B35FA6" w:rsidP="00B35FA6">
      <w:pPr>
        <w:pStyle w:val="BodyText"/>
      </w:pPr>
    </w:p>
    <w:p w:rsidR="00000000" w:rsidRPr="00B35FA6" w:rsidP="00B35FA6">
      <w:pPr>
        <w:pStyle w:val="AllowPageBreak"/>
      </w:pPr>
    </w:p>
    <w:p w:rsidR="00000000" w:rsidRPr="00B35FA6" w:rsidP="00B35FA6">
      <w:pPr>
        <w:pStyle w:val="Heading1"/>
      </w:pPr>
      <w:bookmarkStart w:id="11" w:name="O_511199"/>
      <w:bookmarkEnd w:id="11"/>
      <w:r w:rsidRPr="00B35FA6">
        <w:t>Range Statement</w:t>
      </w:r>
    </w:p>
    <w:p w:rsidR="00000000" w:rsidRPr="00B35FA6" w:rsidP="00B35FA6">
      <w:pPr>
        <w:pStyle w:val="BodyText"/>
      </w:pPr>
      <w:r w:rsidRPr="00B35FA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35FA6">
        <w:rPr>
          <w:rStyle w:val="Emphasis"/>
        </w:rPr>
        <w:t>ditions that may be present with training and assessment (depending on the work situation, needs of the candidate, accessibility of the item, and local industry and regional contexts) may also be included.</w:t>
      </w:r>
    </w:p>
    <w:p w:rsidR="00000000" w:rsidRPr="00B35FA6" w:rsidP="00B35FA6">
      <w:pPr>
        <w:pStyle w:val="BodyText"/>
      </w:pPr>
    </w:p>
    <w:tbl>
      <w:tblPr>
        <w:tblW w:w="0" w:type="auto"/>
        <w:tblLayout w:type="fixed"/>
        <w:tblCellMar>
          <w:left w:w="62" w:type="dxa"/>
          <w:right w:w="62" w:type="dxa"/>
        </w:tblCellMar>
        <w:tblLook w:val="0000"/>
      </w:tblPr>
      <w:tblGrid>
        <w:gridCol w:w="3555"/>
        <w:gridCol w:w="5445"/>
      </w:tblGrid>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Individuals and parties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contractors</w:t>
            </w:r>
            <w:r w:rsidRPr="00B35FA6">
              <w:t xml:space="preserve"> and suppliers</w:t>
            </w:r>
          </w:p>
          <w:p w:rsidR="00000000" w:rsidRPr="00B35FA6" w:rsidP="00B35FA6">
            <w:pPr>
              <w:pStyle w:val="ListBullet"/>
            </w:pPr>
            <w:r w:rsidRPr="00B35FA6">
              <w:t>health and safety committees</w:t>
            </w:r>
          </w:p>
          <w:p w:rsidR="00000000" w:rsidRPr="00B35FA6" w:rsidP="00B35FA6">
            <w:pPr>
              <w:pStyle w:val="ListBullet"/>
            </w:pPr>
            <w:r w:rsidRPr="00B35FA6">
              <w:t>health and safety representatives</w:t>
            </w:r>
          </w:p>
          <w:p w:rsidR="00000000" w:rsidRPr="00B35FA6" w:rsidP="00B35FA6">
            <w:pPr>
              <w:pStyle w:val="ListBullet"/>
            </w:pPr>
            <w:r w:rsidRPr="00B35FA6">
              <w:t>industry associations</w:t>
            </w:r>
          </w:p>
          <w:p w:rsidR="00000000" w:rsidRPr="00B35FA6" w:rsidP="00B35FA6">
            <w:pPr>
              <w:pStyle w:val="ListBullet"/>
            </w:pPr>
            <w:r w:rsidRPr="00B35FA6">
              <w:t>managers and supervisors</w:t>
            </w:r>
          </w:p>
          <w:p w:rsidR="00000000" w:rsidRPr="00B35FA6" w:rsidP="00B35FA6">
            <w:pPr>
              <w:pStyle w:val="ListBullet"/>
            </w:pPr>
            <w:r w:rsidRPr="00B35FA6">
              <w:t>PCBUs or their officers</w:t>
            </w:r>
          </w:p>
          <w:p w:rsidR="00000000" w:rsidRPr="00B35FA6" w:rsidP="00B35FA6">
            <w:pPr>
              <w:pStyle w:val="ListBullet"/>
            </w:pPr>
            <w:r w:rsidRPr="00B35FA6">
              <w:t>unions</w:t>
            </w:r>
          </w:p>
          <w:p w:rsidR="00000000" w:rsidRPr="00B35FA6" w:rsidP="00B35FA6">
            <w:pPr>
              <w:pStyle w:val="ListBullet"/>
            </w:pPr>
            <w:r w:rsidRPr="00B35FA6">
              <w:t>WHS inspectors</w:t>
            </w:r>
          </w:p>
          <w:p w:rsidR="00000000" w:rsidRPr="00B35FA6" w:rsidP="00B35FA6">
            <w:pPr>
              <w:pStyle w:val="ListBullet"/>
            </w:pPr>
            <w:r w:rsidRPr="00B35FA6">
              <w:t>WHS regulators</w:t>
            </w:r>
          </w:p>
          <w:p w:rsidR="00000000" w:rsidRPr="00B35FA6" w:rsidP="00B35FA6">
            <w:pPr>
              <w:pStyle w:val="ListBullet"/>
            </w:pPr>
            <w:r w:rsidRPr="00B35FA6">
              <w:t>WHS specialists</w:t>
            </w:r>
          </w:p>
          <w:p w:rsidR="00000000" w:rsidRPr="00B35FA6" w:rsidP="00B35FA6">
            <w:pPr>
              <w:pStyle w:val="ListBullet"/>
            </w:pPr>
            <w:r w:rsidRPr="00B35FA6">
              <w:t>workers</w:t>
            </w:r>
          </w:p>
          <w:p w:rsidR="00000000" w:rsidP="00B35FA6">
            <w:pPr>
              <w:pStyle w:val="ListBullet"/>
              <w:rPr>
                <w:lang w:val="en-NZ"/>
              </w:rPr>
            </w:pPr>
            <w:r w:rsidRPr="00B35FA6">
              <w:t>other specialists.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Resources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access to internal and external sources of information</w:t>
            </w:r>
          </w:p>
          <w:p w:rsidR="00000000" w:rsidRPr="00B35FA6" w:rsidP="00B35FA6">
            <w:pPr>
              <w:pStyle w:val="ListBullet"/>
            </w:pPr>
            <w:r w:rsidRPr="00B35FA6">
              <w:t>equipment</w:t>
            </w:r>
          </w:p>
          <w:p w:rsidR="00000000" w:rsidRPr="00B35FA6" w:rsidP="00B35FA6">
            <w:pPr>
              <w:pStyle w:val="ListBullet"/>
            </w:pPr>
            <w:r w:rsidRPr="00B35FA6">
              <w:t>external personnel, including WHS specialists and advisors</w:t>
            </w:r>
          </w:p>
          <w:p w:rsidR="00000000" w:rsidRPr="00B35FA6" w:rsidP="00B35FA6">
            <w:pPr>
              <w:pStyle w:val="ListBullet"/>
            </w:pPr>
            <w:r w:rsidRPr="00B35FA6">
              <w:t>information technology resources for communication, planning, management, documentation and risk-management software</w:t>
            </w:r>
          </w:p>
          <w:p w:rsidR="00000000" w:rsidRPr="00B35FA6" w:rsidP="00B35FA6">
            <w:pPr>
              <w:pStyle w:val="ListBullet"/>
            </w:pPr>
            <w:r w:rsidRPr="00B35FA6">
              <w:t>internal person</w:t>
            </w:r>
            <w:r w:rsidRPr="00B35FA6">
              <w:t>nel</w:t>
            </w:r>
          </w:p>
          <w:p w:rsidR="00000000" w:rsidP="00B35FA6">
            <w:pPr>
              <w:pStyle w:val="ListBullet"/>
              <w:rPr>
                <w:lang w:val="en-NZ"/>
              </w:rPr>
            </w:pPr>
            <w:r w:rsidRPr="00B35FA6">
              <w:t>training and training resources.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Events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failures</w:t>
            </w:r>
          </w:p>
          <w:p w:rsidR="00000000" w:rsidRPr="00B35FA6" w:rsidP="00B35FA6">
            <w:pPr>
              <w:pStyle w:val="ListBullet"/>
            </w:pPr>
            <w:r w:rsidRPr="00B35FA6">
              <w:t>near misses</w:t>
            </w:r>
          </w:p>
          <w:p w:rsidR="00000000" w:rsidRPr="00B35FA6" w:rsidP="00B35FA6">
            <w:pPr>
              <w:pStyle w:val="ListBullet"/>
            </w:pPr>
            <w:r w:rsidRPr="00B35FA6">
              <w:t>successes</w:t>
            </w:r>
          </w:p>
          <w:p w:rsidR="00000000" w:rsidP="00B35FA6">
            <w:pPr>
              <w:pStyle w:val="ListBullet"/>
              <w:rPr>
                <w:lang w:val="en-NZ"/>
              </w:rPr>
            </w:pPr>
            <w:r w:rsidRPr="00B35FA6">
              <w:t>trends.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Sources of information and data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Australian Standard AS/NZS ISO 31000–2009 Risk management – Principles and guidelines</w:t>
            </w:r>
          </w:p>
          <w:p w:rsidR="00000000" w:rsidRPr="00B35FA6" w:rsidP="00B35FA6">
            <w:pPr>
              <w:pStyle w:val="ListBullet"/>
            </w:pPr>
            <w:r w:rsidRPr="00B35FA6">
              <w:t>Standards Australia publication HB 327:2010 Communicating and consulting about risk (Companion to AS/NZS ISO 31000:2009)</w:t>
            </w:r>
          </w:p>
          <w:p w:rsidR="00000000" w:rsidRPr="00B35FA6" w:rsidP="00B35FA6">
            <w:pPr>
              <w:pStyle w:val="ListBullet"/>
            </w:pPr>
            <w:r w:rsidRPr="00B35FA6">
              <w:t>Standards Australia publication HB 158-2010 Delivering assurance based on ISO 31000:2009 – Risk management – Principles and guidelines</w:t>
            </w:r>
          </w:p>
          <w:p w:rsidR="00000000" w:rsidRPr="00B35FA6" w:rsidP="00B35FA6">
            <w:pPr>
              <w:pStyle w:val="ListBullet"/>
            </w:pPr>
            <w:r w:rsidRPr="00B35FA6">
              <w:t>Safe Work Australia model Code of Practice: How to Manage Work Health and Safety Risks</w:t>
            </w:r>
          </w:p>
          <w:p w:rsidR="00000000" w:rsidRPr="00B35FA6" w:rsidP="00B35FA6">
            <w:pPr>
              <w:pStyle w:val="ListBullet"/>
            </w:pPr>
            <w:r w:rsidRPr="00B35FA6">
              <w:t>industry associations</w:t>
            </w:r>
          </w:p>
          <w:p w:rsidR="00000000" w:rsidRPr="00B35FA6" w:rsidP="00B35FA6">
            <w:pPr>
              <w:pStyle w:val="ListBullet"/>
            </w:pPr>
            <w:r w:rsidRPr="00B35FA6">
              <w:t>unions</w:t>
            </w:r>
          </w:p>
          <w:p w:rsidR="00000000" w:rsidP="00B35FA6">
            <w:pPr>
              <w:pStyle w:val="ListBullet"/>
              <w:rPr>
                <w:lang w:val="en-NZ"/>
              </w:rPr>
            </w:pPr>
            <w:r w:rsidRPr="00B35FA6">
              <w:t>WHS specialists.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WHS legislation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Acts</w:t>
            </w:r>
          </w:p>
          <w:p w:rsidR="00000000" w:rsidRPr="00B35FA6" w:rsidP="00B35FA6">
            <w:pPr>
              <w:pStyle w:val="ListBullet"/>
            </w:pPr>
            <w:r w:rsidRPr="00B35FA6">
              <w:t>regulations</w:t>
            </w:r>
          </w:p>
          <w:p w:rsidR="00000000" w:rsidP="00B35FA6">
            <w:pPr>
              <w:pStyle w:val="ListBullet"/>
              <w:rPr>
                <w:lang w:val="en-NZ"/>
              </w:rPr>
            </w:pPr>
            <w:r w:rsidRPr="00B35FA6">
              <w:t>codes of practice.</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Duty holders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as specified in WHS Acts:</w:t>
            </w:r>
          </w:p>
          <w:p w:rsidR="00000000" w:rsidRPr="00B35FA6" w:rsidP="00B35FA6">
            <w:pPr>
              <w:pStyle w:val="ListBullet2"/>
            </w:pPr>
            <w:r w:rsidRPr="00B35FA6">
              <w:t>PCBUs or their officers</w:t>
            </w:r>
          </w:p>
          <w:p w:rsidR="00000000" w:rsidRPr="00B35FA6" w:rsidP="00B35FA6">
            <w:pPr>
              <w:pStyle w:val="ListBullet2"/>
            </w:pPr>
            <w:r w:rsidRPr="00B35FA6">
              <w:t>workers</w:t>
            </w:r>
          </w:p>
          <w:p w:rsidR="00000000" w:rsidP="00B35FA6">
            <w:pPr>
              <w:pStyle w:val="ListBullet2"/>
              <w:rPr>
                <w:lang w:val="en-NZ"/>
              </w:rPr>
            </w:pPr>
            <w:r w:rsidRPr="00B35FA6">
              <w:t>other persons at a workplace.</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Context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as specified in Australian Standard AS/NZS ISO 31000–2009 Risk management – Principles and guidelines</w:t>
            </w:r>
          </w:p>
          <w:p w:rsidR="00000000" w:rsidRPr="00B35FA6" w:rsidP="00B35FA6">
            <w:pPr>
              <w:pStyle w:val="ListBullet"/>
            </w:pPr>
            <w:r w:rsidRPr="00B35FA6">
              <w:t>as specified in WHS Acts, regulations, codes of practice and standards, including the Safe Work Australia model Code of Practice: How to Manage Work Health and Safety Risks</w:t>
            </w:r>
          </w:p>
          <w:p w:rsidR="00000000" w:rsidP="00B35FA6">
            <w:pPr>
              <w:pStyle w:val="ListBullet"/>
              <w:rPr>
                <w:lang w:val="en-NZ"/>
              </w:rPr>
            </w:pPr>
            <w:r w:rsidRPr="00B35FA6">
              <w:t>organisational requirements, such as integration with work processes, and other organisational systems, for example environmental, information technology, human resources, quality and management.</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Risk criteria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as specified in Australian Stan</w:t>
            </w:r>
            <w:r w:rsidRPr="00B35FA6">
              <w:t>dard AS/NZS ISO 31000–2009 Risk management – Principles and guidelines</w:t>
            </w:r>
          </w:p>
          <w:p w:rsidR="00000000" w:rsidP="00B35FA6">
            <w:pPr>
              <w:pStyle w:val="ListBullet"/>
              <w:rPr>
                <w:lang w:val="en-NZ"/>
              </w:rPr>
            </w:pPr>
            <w:r w:rsidRPr="00B35FA6">
              <w:t>as specified in WHS Acts, regulations, codes of practice and standards, including the Safe Work Australia model Code of Practice: How to Manage Work Health and Safety Risks.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Hazard ide</w:t>
            </w:r>
            <w:r w:rsidRPr="00B35FA6">
              <w:rPr>
                <w:rStyle w:val="BoldandItalics"/>
              </w:rPr>
              <w:t xml:space="preserve">ntification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analysing existing WHS information – ‘desktop identification’</w:t>
            </w:r>
          </w:p>
          <w:p w:rsidR="00000000" w:rsidRPr="00B35FA6" w:rsidP="00B35FA6">
            <w:pPr>
              <w:pStyle w:val="ListBullet"/>
            </w:pPr>
            <w:r w:rsidRPr="00B35FA6">
              <w:t>as specified in Australian Standard AS/NZS ISO 31000–2009 Risk management – Principles and guidelines</w:t>
            </w:r>
          </w:p>
          <w:p w:rsidR="00000000" w:rsidRPr="00B35FA6" w:rsidP="00B35FA6">
            <w:pPr>
              <w:pStyle w:val="ListBullet"/>
            </w:pPr>
            <w:r w:rsidRPr="00B35FA6">
              <w:t>incident investigations</w:t>
            </w:r>
          </w:p>
          <w:p w:rsidR="00000000" w:rsidRPr="00B35FA6" w:rsidP="00B35FA6">
            <w:pPr>
              <w:pStyle w:val="ListBullet"/>
            </w:pPr>
            <w:r w:rsidRPr="00B35FA6">
              <w:t>using hazard registers</w:t>
            </w:r>
          </w:p>
          <w:p w:rsidR="00000000" w:rsidP="00B35FA6">
            <w:pPr>
              <w:pStyle w:val="ListBullet"/>
              <w:rPr>
                <w:lang w:val="en-NZ"/>
              </w:rPr>
            </w:pPr>
            <w:r w:rsidRPr="00B35FA6">
              <w:t>workplace inspectio</w:t>
            </w:r>
            <w:r w:rsidRPr="00B35FA6">
              <w:t>ns.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Risk analysis and evaluation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as specified in Australian Standard AS/NZS ISO 31000–2009 Risk management – Principles and guidelines</w:t>
            </w:r>
          </w:p>
          <w:p w:rsidR="00000000" w:rsidRPr="00B35FA6" w:rsidP="00B35FA6">
            <w:pPr>
              <w:pStyle w:val="ListBullet"/>
            </w:pPr>
            <w:r w:rsidRPr="00B35FA6">
              <w:t>assessing who may be harmed and how many may be harmed by a hazard</w:t>
            </w:r>
          </w:p>
          <w:p w:rsidR="00000000" w:rsidRPr="00B35FA6" w:rsidP="00B35FA6">
            <w:pPr>
              <w:pStyle w:val="ListBullet"/>
            </w:pPr>
            <w:r w:rsidRPr="00B35FA6">
              <w:t>examining ‘acceptability’ of a risk</w:t>
            </w:r>
          </w:p>
          <w:p w:rsidR="00000000" w:rsidRPr="00B35FA6" w:rsidP="00B35FA6">
            <w:pPr>
              <w:pStyle w:val="ListBullet"/>
            </w:pPr>
            <w:r w:rsidRPr="00B35FA6">
              <w:t>examining severity and likelihood of harm occurring</w:t>
            </w:r>
          </w:p>
          <w:p w:rsidR="00000000" w:rsidRPr="00B35FA6" w:rsidP="00B35FA6">
            <w:pPr>
              <w:pStyle w:val="ListBullet"/>
            </w:pPr>
            <w:r w:rsidRPr="00B35FA6">
              <w:t>gathering information on hazards to see what harms they may cause</w:t>
            </w:r>
          </w:p>
          <w:p w:rsidR="00000000" w:rsidRPr="00B35FA6" w:rsidP="00B35FA6">
            <w:pPr>
              <w:pStyle w:val="ListBullet"/>
            </w:pPr>
            <w:r w:rsidRPr="00B35FA6">
              <w:t xml:space="preserve">meeting requirements of (as specified in) WHS Acts, regulations, codes of practice and standards, including the Safe Work Australia model </w:t>
            </w:r>
            <w:r w:rsidRPr="00B35FA6">
              <w:t>Code of Practice: How to Manage Work Health and Safety Risks</w:t>
            </w:r>
          </w:p>
          <w:p w:rsidR="00000000" w:rsidP="00B35FA6">
            <w:pPr>
              <w:pStyle w:val="ListBullet"/>
              <w:rPr>
                <w:lang w:val="en-NZ"/>
              </w:rPr>
            </w:pPr>
            <w:r w:rsidRPr="00B35FA6">
              <w:t>using risk level matrices to rate and prioritise risks</w:t>
            </w:r>
          </w:p>
        </w:tc>
      </w:tr>
      <w:tr w:rsidTr="00B35FA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FA6">
            <w:pPr>
              <w:pStyle w:val="BodyText"/>
              <w:rPr>
                <w:lang w:val="en-NZ"/>
              </w:rPr>
            </w:pPr>
            <w:r w:rsidRPr="00B35FA6">
              <w:rPr>
                <w:rStyle w:val="BoldandItalics"/>
              </w:rPr>
              <w:t xml:space="preserve">Risk treatment options </w:t>
            </w:r>
            <w:r w:rsidRPr="00B35FA6">
              <w:t>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FA6" w:rsidP="00B35FA6">
            <w:pPr>
              <w:pStyle w:val="ListBullet"/>
            </w:pPr>
            <w:r w:rsidRPr="00B35FA6">
              <w:t>as specified in Australian Standard AS/NZS ISO 31000–2009 Risk management – Principles and guidelines</w:t>
            </w:r>
          </w:p>
          <w:p w:rsidR="00000000" w:rsidRPr="00B35FA6" w:rsidP="00B35FA6">
            <w:pPr>
              <w:pStyle w:val="ListBullet"/>
            </w:pPr>
            <w:r w:rsidRPr="00B35FA6">
              <w:t>options based on the as low as reasonably practicable (ALARP) principle</w:t>
            </w:r>
          </w:p>
          <w:p w:rsidR="00000000" w:rsidRPr="00B35FA6" w:rsidP="00B35FA6">
            <w:pPr>
              <w:pStyle w:val="ListBullet"/>
            </w:pPr>
            <w:r w:rsidRPr="00B35FA6">
              <w:t>options based on the hierarchy of control</w:t>
            </w:r>
          </w:p>
          <w:p w:rsidR="00000000" w:rsidRPr="00B35FA6" w:rsidP="00B35FA6">
            <w:pPr>
              <w:pStyle w:val="ListBullet"/>
            </w:pPr>
            <w:r w:rsidRPr="00B35FA6">
              <w:t xml:space="preserve">options that meet the requirements of WHS Acts, regulations, codes of practice and standards, including the Safe Work Australia model Code of </w:t>
            </w:r>
            <w:r w:rsidRPr="00B35FA6">
              <w:t>Practice: How to Manage Work Health and Safety Risks.</w:t>
            </w:r>
          </w:p>
        </w:tc>
      </w:tr>
    </w:tbl>
    <w:p w:rsidR="00000000" w:rsidRPr="00B35FA6" w:rsidP="00B35FA6">
      <w:pPr>
        <w:pStyle w:val="BodyText"/>
      </w:pPr>
    </w:p>
    <w:p w:rsidR="00000000" w:rsidRPr="00B35FA6" w:rsidP="00B35FA6">
      <w:pPr>
        <w:pStyle w:val="AllowPageBreak"/>
      </w:pPr>
    </w:p>
    <w:p w:rsidR="00000000" w:rsidRPr="00B35FA6" w:rsidP="00B35FA6">
      <w:pPr>
        <w:pStyle w:val="Heading1"/>
      </w:pPr>
      <w:bookmarkStart w:id="12" w:name="O_511200"/>
      <w:bookmarkEnd w:id="12"/>
      <w:r w:rsidRPr="00B35FA6">
        <w:t>Unit Sector(s)</w:t>
      </w:r>
    </w:p>
    <w:p w:rsidR="00000000" w:rsidRPr="00B35FA6" w:rsidP="00B35FA6">
      <w:pPr>
        <w:pStyle w:val="BodyText"/>
      </w:pPr>
      <w:r w:rsidRPr="00B35FA6">
        <w:t>Regulation, Licensing and Risk – Work Health and Safety</w:t>
      </w:r>
    </w:p>
    <w:p w:rsidR="00000000" w:rsidRPr="00B35FA6" w:rsidP="00B35FA6"/>
    <w:sectPr w:rsidSect="00B35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rsidRPr="00B87E45" w:rsidP="00B87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45" w:rsidP="00B35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7E45" w:rsidP="00B35F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7E45" w:rsidP="00B35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rsidRPr="00B87E45" w:rsidP="00B87E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45" w:rsidRPr="002D2AF8" w:rsidP="00B35FA6">
    <w:pPr>
      <w:pStyle w:val="Header"/>
      <w:framePr w:wrap="around"/>
    </w:pPr>
    <w:r>
      <w:fldChar w:fldCharType="begin"/>
    </w:r>
    <w:r>
      <w:instrText xml:space="preserve"> TITLE   \* MERGEFORMAT </w:instrText>
    </w:r>
    <w:r>
      <w:fldChar w:fldCharType="separate"/>
    </w:r>
    <w:r>
      <w:t>BSBWHS603A Implement WHS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B87E45" w:rsidP="00B35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F25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0A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0B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FA6"/>
    <w:pPr>
      <w:spacing w:before="360" w:after="60"/>
      <w:outlineLvl w:val="0"/>
    </w:pPr>
    <w:rPr>
      <w:sz w:val="32"/>
    </w:rPr>
  </w:style>
  <w:style w:type="paragraph" w:styleId="Heading2">
    <w:name w:val="heading 2"/>
    <w:basedOn w:val="HeadingBase"/>
    <w:next w:val="BodyText"/>
    <w:link w:val="Heading2Char"/>
    <w:qFormat/>
    <w:rsid w:val="00B35FA6"/>
    <w:pPr>
      <w:keepLines/>
      <w:spacing w:before="240" w:after="120"/>
      <w:outlineLvl w:val="1"/>
    </w:pPr>
    <w:rPr>
      <w:sz w:val="28"/>
      <w:szCs w:val="40"/>
    </w:rPr>
  </w:style>
  <w:style w:type="paragraph" w:styleId="Heading3">
    <w:name w:val="heading 3"/>
    <w:basedOn w:val="HeadingBase"/>
    <w:next w:val="BodyText"/>
    <w:link w:val="Heading3Char"/>
    <w:qFormat/>
    <w:rsid w:val="00B35FA6"/>
    <w:pPr>
      <w:spacing w:before="180" w:after="120"/>
      <w:outlineLvl w:val="2"/>
    </w:pPr>
    <w:rPr>
      <w:spacing w:val="-10"/>
      <w:kern w:val="32"/>
    </w:rPr>
  </w:style>
  <w:style w:type="paragraph" w:styleId="Heading4">
    <w:name w:val="heading 4"/>
    <w:basedOn w:val="HeadingBase"/>
    <w:next w:val="BodyText"/>
    <w:link w:val="Heading4Char"/>
    <w:qFormat/>
    <w:rsid w:val="00B35FA6"/>
    <w:pPr>
      <w:spacing w:before="160" w:after="120"/>
      <w:outlineLvl w:val="3"/>
    </w:pPr>
    <w:rPr>
      <w:sz w:val="22"/>
    </w:rPr>
  </w:style>
  <w:style w:type="paragraph" w:styleId="Heading5">
    <w:name w:val="heading 5"/>
    <w:basedOn w:val="HeadingBase"/>
    <w:next w:val="Normal"/>
    <w:link w:val="Heading5Char"/>
    <w:qFormat/>
    <w:rsid w:val="00B35FA6"/>
    <w:pPr>
      <w:spacing w:before="80"/>
      <w:outlineLvl w:val="4"/>
    </w:pPr>
    <w:rPr>
      <w:color w:val="918585"/>
      <w:sz w:val="20"/>
    </w:rPr>
  </w:style>
  <w:style w:type="paragraph" w:styleId="Heading6">
    <w:name w:val="heading 6"/>
    <w:basedOn w:val="HeadingBase"/>
    <w:next w:val="Normal"/>
    <w:link w:val="Heading6Char"/>
    <w:qFormat/>
    <w:rsid w:val="00B35FA6"/>
    <w:pPr>
      <w:spacing w:before="60"/>
      <w:outlineLvl w:val="5"/>
    </w:pPr>
    <w:rPr>
      <w:color w:val="918585"/>
      <w:sz w:val="20"/>
    </w:rPr>
  </w:style>
  <w:style w:type="paragraph" w:styleId="Heading7">
    <w:name w:val="heading 7"/>
    <w:basedOn w:val="Normal"/>
    <w:next w:val="Normal"/>
    <w:link w:val="Heading7Char"/>
    <w:qFormat/>
    <w:rsid w:val="00B35FA6"/>
    <w:pPr>
      <w:ind w:left="720"/>
      <w:outlineLvl w:val="6"/>
    </w:pPr>
    <w:rPr>
      <w:i/>
    </w:rPr>
  </w:style>
  <w:style w:type="paragraph" w:styleId="Heading8">
    <w:name w:val="heading 8"/>
    <w:basedOn w:val="Normal"/>
    <w:next w:val="Normal"/>
    <w:link w:val="Heading8Char"/>
    <w:qFormat/>
    <w:rsid w:val="00B35FA6"/>
    <w:pPr>
      <w:ind w:left="720"/>
      <w:outlineLvl w:val="7"/>
    </w:pPr>
    <w:rPr>
      <w:i/>
    </w:rPr>
  </w:style>
  <w:style w:type="paragraph" w:styleId="Heading9">
    <w:name w:val="heading 9"/>
    <w:basedOn w:val="Normal"/>
    <w:next w:val="Normal"/>
    <w:link w:val="Heading9Char"/>
    <w:qFormat/>
    <w:rsid w:val="00B35FA6"/>
    <w:pPr>
      <w:ind w:left="720"/>
      <w:outlineLvl w:val="8"/>
    </w:pPr>
    <w:rPr>
      <w:i/>
    </w:rPr>
  </w:style>
  <w:style w:type="character" w:default="1" w:styleId="DefaultParagraphFont">
    <w:name w:val="Default Paragraph Font"/>
    <w:uiPriority w:val="1"/>
    <w:unhideWhenUsed/>
    <w:rsid w:val="00B35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FA6"/>
  </w:style>
  <w:style w:type="character" w:customStyle="1" w:styleId="Heading1Char">
    <w:name w:val="Heading 1 Char"/>
    <w:basedOn w:val="DefaultParagraphFont"/>
    <w:link w:val="Heading1"/>
    <w:rsid w:val="00B35FA6"/>
    <w:rPr>
      <w:rFonts w:ascii="Times New Roman" w:eastAsia="Times New Roman" w:hAnsi="Times New Roman" w:cs="Times New Roman"/>
      <w:b/>
      <w:sz w:val="32"/>
      <w:szCs w:val="20"/>
      <w:lang w:eastAsia="en-US"/>
    </w:rPr>
  </w:style>
  <w:style w:type="paragraph" w:styleId="BodyText">
    <w:name w:val="Body Text"/>
    <w:basedOn w:val="Normal"/>
    <w:link w:val="BodyTextChar"/>
    <w:rsid w:val="00B35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FA6"/>
    <w:rPr>
      <w:rFonts w:ascii="Times New Roman" w:eastAsia="Times New Roman" w:hAnsi="Times New Roman" w:cs="Times New Roman"/>
      <w:sz w:val="24"/>
      <w:lang w:eastAsia="en-US"/>
    </w:rPr>
  </w:style>
  <w:style w:type="paragraph" w:styleId="ListBullet">
    <w:name w:val="List Bullet"/>
    <w:basedOn w:val="List"/>
    <w:rsid w:val="00B35FA6"/>
    <w:pPr>
      <w:numPr>
        <w:numId w:val="13"/>
      </w:numPr>
      <w:tabs>
        <w:tab w:val="clear" w:pos="340"/>
      </w:tabs>
      <w:spacing w:before="40" w:after="40"/>
    </w:pPr>
  </w:style>
  <w:style w:type="character" w:customStyle="1" w:styleId="SpecialBold">
    <w:name w:val="Special Bold"/>
    <w:basedOn w:val="DefaultParagraphFont"/>
    <w:rsid w:val="00B35FA6"/>
    <w:rPr>
      <w:b/>
      <w:spacing w:val="0"/>
    </w:rPr>
  </w:style>
  <w:style w:type="paragraph" w:styleId="ListBullet2">
    <w:name w:val="List Bullet 2"/>
    <w:basedOn w:val="List2"/>
    <w:rsid w:val="00B35FA6"/>
    <w:pPr>
      <w:numPr>
        <w:numId w:val="14"/>
      </w:numPr>
      <w:tabs>
        <w:tab w:val="clear" w:pos="680"/>
      </w:tabs>
    </w:pPr>
  </w:style>
  <w:style w:type="character" w:styleId="Emphasis">
    <w:name w:val="Emphasis"/>
    <w:basedOn w:val="DefaultParagraphFont"/>
    <w:qFormat/>
    <w:rsid w:val="00B35FA6"/>
    <w:rPr>
      <w:i/>
    </w:rPr>
  </w:style>
  <w:style w:type="paragraph" w:customStyle="1" w:styleId="SuperHeading">
    <w:name w:val="SuperHeading"/>
    <w:basedOn w:val="Normal"/>
    <w:rsid w:val="00B35FA6"/>
    <w:pPr>
      <w:spacing w:before="240" w:after="120"/>
      <w:outlineLvl w:val="0"/>
    </w:pPr>
    <w:rPr>
      <w:rFonts w:ascii="Times New Roman" w:hAnsi="Times New Roman"/>
      <w:b/>
      <w:sz w:val="32"/>
    </w:rPr>
  </w:style>
  <w:style w:type="paragraph" w:customStyle="1" w:styleId="AllowPageBreak">
    <w:name w:val="AllowPageBreak"/>
    <w:rsid w:val="00B35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5FA6"/>
    <w:rPr>
      <w:b/>
      <w:i/>
      <w:u w:val="none"/>
    </w:rPr>
  </w:style>
  <w:style w:type="character" w:customStyle="1" w:styleId="Heading2Char">
    <w:name w:val="Heading 2 Char"/>
    <w:basedOn w:val="DefaultParagraphFont"/>
    <w:link w:val="Heading2"/>
    <w:rsid w:val="00B35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FA6"/>
    <w:rPr>
      <w:rFonts w:ascii="Courier New" w:eastAsia="Times New Roman" w:hAnsi="Courier New" w:cs="Times New Roman"/>
      <w:i/>
      <w:szCs w:val="20"/>
      <w:lang w:eastAsia="en-US"/>
    </w:rPr>
  </w:style>
  <w:style w:type="paragraph" w:customStyle="1" w:styleId="HeadingBase">
    <w:name w:val="Heading Base"/>
    <w:rsid w:val="00B35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FA6"/>
    <w:pPr>
      <w:tabs>
        <w:tab w:val="right" w:leader="dot" w:pos="9072"/>
      </w:tabs>
      <w:ind w:left="567"/>
    </w:pPr>
    <w:rPr>
      <w:szCs w:val="22"/>
    </w:rPr>
  </w:style>
  <w:style w:type="paragraph" w:customStyle="1" w:styleId="TOCBase">
    <w:name w:val="TOC Base"/>
    <w:rsid w:val="00B35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FA6"/>
    <w:pPr>
      <w:tabs>
        <w:tab w:val="right" w:leader="dot" w:pos="9072"/>
      </w:tabs>
      <w:spacing w:before="40" w:after="40"/>
      <w:ind w:left="284"/>
    </w:pPr>
    <w:rPr>
      <w:rFonts w:ascii="Times New Roman" w:hAnsi="Times New Roman"/>
    </w:rPr>
  </w:style>
  <w:style w:type="paragraph" w:styleId="TOC1">
    <w:name w:val="toc 1"/>
    <w:basedOn w:val="TOCBase"/>
    <w:next w:val="Normal"/>
    <w:rsid w:val="00B35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FA6"/>
    <w:rPr>
      <w:rFonts w:ascii="Times New Roman" w:eastAsia="Times New Roman" w:hAnsi="Times New Roman" w:cs="Times New Roman"/>
      <w:sz w:val="16"/>
      <w:lang w:eastAsia="en-US"/>
    </w:rPr>
  </w:style>
  <w:style w:type="paragraph" w:styleId="Title">
    <w:name w:val="Title"/>
    <w:basedOn w:val="HeadingBase"/>
    <w:link w:val="TitleChar"/>
    <w:qFormat/>
    <w:rsid w:val="00B35FA6"/>
    <w:pPr>
      <w:spacing w:before="5040"/>
      <w:jc w:val="center"/>
    </w:pPr>
    <w:rPr>
      <w:sz w:val="48"/>
      <w:szCs w:val="72"/>
      <w:lang w:val="en-US"/>
    </w:rPr>
  </w:style>
  <w:style w:type="character" w:customStyle="1" w:styleId="TitleChar">
    <w:name w:val="Title Char"/>
    <w:basedOn w:val="DefaultParagraphFont"/>
    <w:link w:val="Title"/>
    <w:rsid w:val="00B35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FA6"/>
    <w:pPr>
      <w:tabs>
        <w:tab w:val="left" w:pos="3600"/>
        <w:tab w:val="left" w:pos="3958"/>
      </w:tabs>
    </w:pPr>
  </w:style>
  <w:style w:type="paragraph" w:styleId="List">
    <w:name w:val="List"/>
    <w:basedOn w:val="BodyText"/>
    <w:next w:val="BodyText"/>
    <w:rsid w:val="00B35FA6"/>
    <w:pPr>
      <w:tabs>
        <w:tab w:val="left" w:pos="340"/>
      </w:tabs>
      <w:spacing w:before="60" w:after="60"/>
      <w:ind w:left="340" w:hanging="340"/>
    </w:pPr>
  </w:style>
  <w:style w:type="paragraph" w:customStyle="1" w:styleId="Note">
    <w:name w:val="Note"/>
    <w:basedOn w:val="BodyText"/>
    <w:rsid w:val="00B35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FA6"/>
    <w:pPr>
      <w:framePr w:wrap="auto" w:hAnchor="text" w:y="6049"/>
    </w:pPr>
    <w:rPr>
      <w:color w:val="000000"/>
      <w:sz w:val="40"/>
    </w:rPr>
  </w:style>
  <w:style w:type="paragraph" w:customStyle="1" w:styleId="TOCTitle">
    <w:name w:val="TOCTitle"/>
    <w:basedOn w:val="Heading1"/>
    <w:rsid w:val="00B35FA6"/>
    <w:pPr>
      <w:spacing w:after="240"/>
      <w:jc w:val="center"/>
      <w:outlineLvl w:val="9"/>
    </w:pPr>
    <w:rPr>
      <w:caps/>
    </w:rPr>
  </w:style>
  <w:style w:type="paragraph" w:customStyle="1" w:styleId="Version">
    <w:name w:val="Version"/>
    <w:rsid w:val="00B35F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FA6"/>
    <w:pPr>
      <w:keepNext w:val="0"/>
      <w:tabs>
        <w:tab w:val="right" w:pos="4176"/>
      </w:tabs>
      <w:ind w:left="198" w:hanging="198"/>
    </w:pPr>
    <w:rPr>
      <w:rFonts w:ascii="Garamond" w:hAnsi="Garamond"/>
    </w:rPr>
  </w:style>
  <w:style w:type="paragraph" w:styleId="IndexHeading">
    <w:name w:val="index heading"/>
    <w:basedOn w:val="Normal"/>
    <w:next w:val="Index1"/>
    <w:semiHidden/>
    <w:rsid w:val="00B35FA6"/>
    <w:pPr>
      <w:spacing w:before="120" w:after="120"/>
    </w:pPr>
    <w:rPr>
      <w:rFonts w:ascii="Arial" w:hAnsi="Arial"/>
      <w:b/>
      <w:color w:val="918585"/>
      <w:sz w:val="24"/>
    </w:rPr>
  </w:style>
  <w:style w:type="paragraph" w:styleId="Header">
    <w:name w:val="header"/>
    <w:basedOn w:val="Normal"/>
    <w:link w:val="HeaderChar"/>
    <w:rsid w:val="00B35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FA6"/>
    <w:rPr>
      <w:rFonts w:ascii="Times New Roman" w:eastAsia="Times New Roman" w:hAnsi="Times New Roman" w:cs="Times New Roman"/>
      <w:sz w:val="16"/>
      <w:szCs w:val="20"/>
      <w:lang w:val="en-GB" w:eastAsia="en-US"/>
    </w:rPr>
  </w:style>
  <w:style w:type="paragraph" w:customStyle="1" w:styleId="Chapter">
    <w:name w:val="Chapter"/>
    <w:basedOn w:val="Normal"/>
    <w:rsid w:val="00B35FA6"/>
    <w:pPr>
      <w:spacing w:before="240"/>
    </w:pPr>
    <w:rPr>
      <w:rFonts w:ascii="Times New Roman" w:hAnsi="Times New Roman"/>
      <w:smallCaps/>
      <w:spacing w:val="80"/>
      <w:sz w:val="28"/>
    </w:rPr>
  </w:style>
  <w:style w:type="paragraph" w:customStyle="1" w:styleId="InChapter">
    <w:name w:val="InChapter"/>
    <w:basedOn w:val="Heading3"/>
    <w:rsid w:val="00B35FA6"/>
    <w:pPr>
      <w:spacing w:after="240"/>
      <w:outlineLvl w:val="9"/>
    </w:pPr>
    <w:rPr>
      <w:noProof/>
    </w:rPr>
  </w:style>
  <w:style w:type="paragraph" w:styleId="Index2">
    <w:name w:val="index 2"/>
    <w:basedOn w:val="Normal"/>
    <w:next w:val="Normal"/>
    <w:semiHidden/>
    <w:rsid w:val="00B35FA6"/>
    <w:pPr>
      <w:tabs>
        <w:tab w:val="right" w:pos="4176"/>
      </w:tabs>
      <w:ind w:left="568" w:hanging="284"/>
    </w:pPr>
    <w:rPr>
      <w:rFonts w:ascii="Garamond" w:hAnsi="Garamond"/>
    </w:rPr>
  </w:style>
  <w:style w:type="paragraph" w:customStyle="1" w:styleId="Byline">
    <w:name w:val="Byline"/>
    <w:rsid w:val="00B35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FA6"/>
    <w:pPr>
      <w:tabs>
        <w:tab w:val="clear" w:pos="3600"/>
        <w:tab w:val="clear" w:pos="3958"/>
      </w:tabs>
      <w:jc w:val="right"/>
    </w:pPr>
  </w:style>
  <w:style w:type="paragraph" w:styleId="Caption">
    <w:name w:val="caption"/>
    <w:basedOn w:val="BodyText"/>
    <w:next w:val="Normal"/>
    <w:qFormat/>
    <w:rsid w:val="00B35FA6"/>
    <w:pPr>
      <w:framePr w:w="2268" w:hSpace="181" w:vSpace="181" w:wrap="around" w:vAnchor="text" w:hAnchor="page" w:x="1135" w:y="285" w:anchorLock="1"/>
    </w:pPr>
    <w:rPr>
      <w:i/>
    </w:rPr>
  </w:style>
  <w:style w:type="paragraph" w:customStyle="1" w:styleId="MiniTOCTitle">
    <w:name w:val="MiniTOCTitle"/>
    <w:basedOn w:val="Heading4"/>
    <w:rsid w:val="00B35FA6"/>
    <w:pPr>
      <w:spacing w:before="240"/>
      <w:outlineLvl w:val="9"/>
    </w:pPr>
    <w:rPr>
      <w:noProof/>
      <w:sz w:val="24"/>
    </w:rPr>
  </w:style>
  <w:style w:type="paragraph" w:customStyle="1" w:styleId="MiniTOCItem">
    <w:name w:val="MiniTOCItem"/>
    <w:basedOn w:val="ListBullet"/>
    <w:rsid w:val="00B35FA6"/>
    <w:pPr>
      <w:numPr>
        <w:numId w:val="0"/>
      </w:numPr>
      <w:tabs>
        <w:tab w:val="right" w:leader="dot" w:pos="6521"/>
      </w:tabs>
      <w:spacing w:before="0" w:after="0"/>
    </w:pPr>
  </w:style>
  <w:style w:type="paragraph" w:customStyle="1" w:styleId="TOFTitle">
    <w:name w:val="TOFTitle"/>
    <w:basedOn w:val="TOCTitle"/>
    <w:rsid w:val="00B35FA6"/>
  </w:style>
  <w:style w:type="paragraph" w:styleId="TableofFigures">
    <w:name w:val="table of figures"/>
    <w:basedOn w:val="Normal"/>
    <w:next w:val="Normal"/>
    <w:semiHidden/>
    <w:rsid w:val="00B35FA6"/>
    <w:pPr>
      <w:tabs>
        <w:tab w:val="right" w:leader="dot" w:pos="9072"/>
      </w:tabs>
      <w:ind w:left="970" w:hanging="403"/>
    </w:pPr>
    <w:rPr>
      <w:rFonts w:ascii="Times New Roman" w:hAnsi="Times New Roman"/>
      <w:b/>
    </w:rPr>
  </w:style>
  <w:style w:type="paragraph" w:styleId="ListNumber">
    <w:name w:val="List Number"/>
    <w:basedOn w:val="List"/>
    <w:rsid w:val="00B35FA6"/>
    <w:pPr>
      <w:numPr>
        <w:numId w:val="11"/>
      </w:numPr>
    </w:pPr>
  </w:style>
  <w:style w:type="character" w:customStyle="1" w:styleId="WingdingSymbols">
    <w:name w:val="Wingding Symbols"/>
    <w:rsid w:val="00B35FA6"/>
    <w:rPr>
      <w:rFonts w:ascii="Wingdings" w:hAnsi="Wingdings"/>
    </w:rPr>
  </w:style>
  <w:style w:type="paragraph" w:customStyle="1" w:styleId="TableHeading">
    <w:name w:val="Table Heading"/>
    <w:basedOn w:val="HeadingBase"/>
    <w:rsid w:val="00B35FA6"/>
    <w:pPr>
      <w:keepLines/>
      <w:pBdr>
        <w:bottom w:val="single" w:sz="6" w:space="1" w:color="918585"/>
      </w:pBdr>
      <w:spacing w:before="240"/>
    </w:pPr>
  </w:style>
  <w:style w:type="character" w:customStyle="1" w:styleId="HotSpot">
    <w:name w:val="HotSpot"/>
    <w:rsid w:val="00B35FA6"/>
    <w:rPr>
      <w:color w:val="0033CC"/>
      <w:u w:val="none"/>
    </w:rPr>
  </w:style>
  <w:style w:type="paragraph" w:customStyle="1" w:styleId="BodyTextRight">
    <w:name w:val="Body Text Right"/>
    <w:basedOn w:val="BodyText"/>
    <w:rsid w:val="00B35FA6"/>
    <w:pPr>
      <w:spacing w:before="0" w:after="0"/>
      <w:jc w:val="right"/>
    </w:pPr>
  </w:style>
  <w:style w:type="paragraph" w:styleId="Index3">
    <w:name w:val="index 3"/>
    <w:basedOn w:val="ListNumber2"/>
    <w:next w:val="Normal"/>
    <w:semiHidden/>
    <w:rsid w:val="00B35FA6"/>
    <w:pPr>
      <w:numPr>
        <w:numId w:val="0"/>
      </w:numPr>
      <w:tabs>
        <w:tab w:val="right" w:leader="dot" w:pos="4176"/>
      </w:tabs>
    </w:pPr>
  </w:style>
  <w:style w:type="paragraph" w:styleId="ListNumber2">
    <w:name w:val="List Number 2"/>
    <w:basedOn w:val="List2"/>
    <w:rsid w:val="00B35FA6"/>
    <w:pPr>
      <w:numPr>
        <w:numId w:val="10"/>
      </w:numPr>
      <w:tabs>
        <w:tab w:val="clear" w:pos="1060"/>
      </w:tabs>
    </w:pPr>
  </w:style>
  <w:style w:type="paragraph" w:customStyle="1" w:styleId="MarginNote">
    <w:name w:val="Margin Note"/>
    <w:basedOn w:val="BodyText"/>
    <w:rsid w:val="00B35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FA6"/>
    <w:rPr>
      <w:sz w:val="32"/>
    </w:rPr>
  </w:style>
  <w:style w:type="paragraph" w:customStyle="1" w:styleId="HeadingProcedure">
    <w:name w:val="Heading Procedure"/>
    <w:basedOn w:val="HeadingBase"/>
    <w:next w:val="Normal"/>
    <w:rsid w:val="00B35FA6"/>
    <w:pPr>
      <w:tabs>
        <w:tab w:val="left" w:pos="0"/>
      </w:tabs>
      <w:spacing w:before="120" w:after="60"/>
    </w:pPr>
    <w:rPr>
      <w:i/>
      <w:color w:val="918585"/>
      <w:sz w:val="22"/>
    </w:rPr>
  </w:style>
  <w:style w:type="paragraph" w:customStyle="1" w:styleId="TableBodyText">
    <w:name w:val="Table Body Text"/>
    <w:basedOn w:val="BodyText"/>
    <w:rsid w:val="00B35FA6"/>
    <w:pPr>
      <w:spacing w:before="60" w:after="60"/>
    </w:pPr>
  </w:style>
  <w:style w:type="paragraph" w:styleId="ListContinue">
    <w:name w:val="List Continue"/>
    <w:basedOn w:val="List"/>
    <w:rsid w:val="00B35FA6"/>
    <w:pPr>
      <w:ind w:firstLine="0"/>
    </w:pPr>
  </w:style>
  <w:style w:type="paragraph" w:customStyle="1" w:styleId="ListNote">
    <w:name w:val="List Note"/>
    <w:basedOn w:val="List"/>
    <w:rsid w:val="00B35FA6"/>
    <w:pPr>
      <w:pBdr>
        <w:top w:val="single" w:sz="6" w:space="2" w:color="918585"/>
        <w:bottom w:val="single" w:sz="6" w:space="2" w:color="918585"/>
      </w:pBdr>
      <w:tabs>
        <w:tab w:val="left" w:pos="1021"/>
      </w:tabs>
      <w:ind w:firstLine="0"/>
    </w:pPr>
  </w:style>
  <w:style w:type="paragraph" w:customStyle="1" w:styleId="Warning">
    <w:name w:val="Warning"/>
    <w:basedOn w:val="BodyText"/>
    <w:rsid w:val="00B35FA6"/>
    <w:pPr>
      <w:shd w:val="clear" w:color="auto" w:fill="D9D9D9"/>
      <w:tabs>
        <w:tab w:val="left" w:pos="992"/>
      </w:tabs>
      <w:ind w:left="119" w:right="119"/>
    </w:pPr>
    <w:rPr>
      <w:sz w:val="20"/>
    </w:rPr>
  </w:style>
  <w:style w:type="paragraph" w:customStyle="1" w:styleId="MarginIcons">
    <w:name w:val="Margin Icons"/>
    <w:basedOn w:val="BodyText"/>
    <w:rsid w:val="00B35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FA6"/>
    <w:rPr>
      <w:rFonts w:ascii="Courier New" w:hAnsi="Courier New"/>
    </w:rPr>
  </w:style>
  <w:style w:type="paragraph" w:customStyle="1" w:styleId="NoteBullet">
    <w:name w:val="Note Bullet"/>
    <w:basedOn w:val="Note"/>
    <w:rsid w:val="00B35FA6"/>
    <w:pPr>
      <w:tabs>
        <w:tab w:val="clear" w:pos="680"/>
      </w:tabs>
      <w:spacing w:before="60" w:after="60"/>
    </w:pPr>
  </w:style>
  <w:style w:type="paragraph" w:customStyle="1" w:styleId="SubHeading2">
    <w:name w:val="SubHeading2"/>
    <w:basedOn w:val="HeadingBase"/>
    <w:rsid w:val="00B35FA6"/>
    <w:pPr>
      <w:spacing w:before="240" w:after="60"/>
    </w:pPr>
    <w:rPr>
      <w:sz w:val="20"/>
    </w:rPr>
  </w:style>
  <w:style w:type="paragraph" w:customStyle="1" w:styleId="SubHeading1">
    <w:name w:val="SubHeading1"/>
    <w:basedOn w:val="HeadingBase"/>
    <w:rsid w:val="00B35FA6"/>
    <w:pPr>
      <w:spacing w:before="240" w:after="60"/>
    </w:pPr>
    <w:rPr>
      <w:color w:val="918585"/>
      <w:sz w:val="22"/>
    </w:rPr>
  </w:style>
  <w:style w:type="paragraph" w:customStyle="1" w:styleId="SideHeading">
    <w:name w:val="Side Heading"/>
    <w:basedOn w:val="HeadingBase"/>
    <w:rsid w:val="00B35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FA6"/>
    <w:pPr>
      <w:numPr>
        <w:numId w:val="12"/>
      </w:numPr>
    </w:pPr>
  </w:style>
  <w:style w:type="paragraph" w:styleId="PlainText">
    <w:name w:val="Plain Text"/>
    <w:basedOn w:val="Normal"/>
    <w:link w:val="PlainTextChar"/>
    <w:rsid w:val="00B35FA6"/>
    <w:rPr>
      <w:sz w:val="20"/>
    </w:rPr>
  </w:style>
  <w:style w:type="character" w:customStyle="1" w:styleId="PlainTextChar">
    <w:name w:val="Plain Text Char"/>
    <w:basedOn w:val="DefaultParagraphFont"/>
    <w:link w:val="PlainText"/>
    <w:rsid w:val="00B35FA6"/>
    <w:rPr>
      <w:rFonts w:ascii="Courier New" w:eastAsia="Times New Roman" w:hAnsi="Courier New" w:cs="Times New Roman"/>
      <w:sz w:val="20"/>
      <w:szCs w:val="20"/>
      <w:lang w:eastAsia="en-US"/>
    </w:rPr>
  </w:style>
  <w:style w:type="character" w:customStyle="1" w:styleId="MenuOption">
    <w:name w:val="Menu Option"/>
    <w:basedOn w:val="DefaultParagraphFont"/>
    <w:rsid w:val="00B35FA6"/>
    <w:rPr>
      <w:b/>
      <w:smallCaps/>
    </w:rPr>
  </w:style>
  <w:style w:type="paragraph" w:customStyle="1" w:styleId="TableListNumber">
    <w:name w:val="Table List Number"/>
    <w:basedOn w:val="ListNumber"/>
    <w:rsid w:val="00B35FA6"/>
    <w:pPr>
      <w:numPr>
        <w:numId w:val="0"/>
      </w:numPr>
    </w:pPr>
  </w:style>
  <w:style w:type="paragraph" w:styleId="TOC4">
    <w:name w:val="toc 4"/>
    <w:basedOn w:val="TOCBase"/>
    <w:next w:val="Normal"/>
    <w:semiHidden/>
    <w:rsid w:val="00B35FA6"/>
    <w:pPr>
      <w:tabs>
        <w:tab w:val="right" w:leader="dot" w:pos="9071"/>
      </w:tabs>
      <w:ind w:left="1701"/>
    </w:pPr>
  </w:style>
  <w:style w:type="paragraph" w:customStyle="1" w:styleId="ListAlpha">
    <w:name w:val="List Alpha"/>
    <w:basedOn w:val="List"/>
    <w:rsid w:val="00B35FA6"/>
    <w:pPr>
      <w:numPr>
        <w:numId w:val="9"/>
      </w:numPr>
    </w:pPr>
  </w:style>
  <w:style w:type="paragraph" w:customStyle="1" w:styleId="ListAlpha2">
    <w:name w:val="List Alpha 2"/>
    <w:basedOn w:val="List2"/>
    <w:rsid w:val="00B35FA6"/>
    <w:pPr>
      <w:numPr>
        <w:numId w:val="8"/>
      </w:numPr>
    </w:pPr>
  </w:style>
  <w:style w:type="paragraph" w:styleId="List2">
    <w:name w:val="List 2"/>
    <w:basedOn w:val="BodyText"/>
    <w:rsid w:val="00B35FA6"/>
    <w:pPr>
      <w:tabs>
        <w:tab w:val="left" w:pos="680"/>
      </w:tabs>
      <w:spacing w:before="60" w:after="60"/>
      <w:ind w:left="680" w:hanging="340"/>
    </w:pPr>
  </w:style>
  <w:style w:type="paragraph" w:styleId="List3">
    <w:name w:val="List 3"/>
    <w:basedOn w:val="BodyText"/>
    <w:rsid w:val="00B35FA6"/>
    <w:pPr>
      <w:tabs>
        <w:tab w:val="left" w:pos="1021"/>
      </w:tabs>
      <w:spacing w:before="60" w:after="60"/>
      <w:ind w:left="1020" w:hanging="340"/>
    </w:pPr>
  </w:style>
  <w:style w:type="paragraph" w:styleId="List4">
    <w:name w:val="List 4"/>
    <w:basedOn w:val="BodyText"/>
    <w:rsid w:val="00B35FA6"/>
    <w:pPr>
      <w:tabs>
        <w:tab w:val="left" w:pos="1361"/>
      </w:tabs>
      <w:spacing w:before="60" w:after="60"/>
      <w:ind w:left="1361" w:hanging="340"/>
    </w:pPr>
  </w:style>
  <w:style w:type="paragraph" w:styleId="List5">
    <w:name w:val="List 5"/>
    <w:basedOn w:val="BodyText"/>
    <w:rsid w:val="00B35FA6"/>
    <w:pPr>
      <w:tabs>
        <w:tab w:val="left" w:pos="1701"/>
      </w:tabs>
      <w:spacing w:before="60" w:after="60"/>
      <w:ind w:left="1701" w:hanging="340"/>
    </w:pPr>
  </w:style>
  <w:style w:type="paragraph" w:styleId="ListBullet3">
    <w:name w:val="List Bullet 3"/>
    <w:basedOn w:val="List3"/>
    <w:rsid w:val="00B35FA6"/>
    <w:pPr>
      <w:numPr>
        <w:numId w:val="15"/>
      </w:numPr>
      <w:tabs>
        <w:tab w:val="clear" w:pos="1021"/>
      </w:tabs>
      <w:ind w:left="1037" w:hanging="357"/>
    </w:pPr>
  </w:style>
  <w:style w:type="paragraph" w:styleId="ListBullet4">
    <w:name w:val="List Bullet 4"/>
    <w:basedOn w:val="List4"/>
    <w:rsid w:val="00B35FA6"/>
    <w:pPr>
      <w:numPr>
        <w:numId w:val="3"/>
      </w:numPr>
    </w:pPr>
  </w:style>
  <w:style w:type="paragraph" w:styleId="ListBullet5">
    <w:name w:val="List Bullet 5"/>
    <w:basedOn w:val="List5"/>
    <w:rsid w:val="00B35FA6"/>
    <w:pPr>
      <w:numPr>
        <w:numId w:val="4"/>
      </w:numPr>
    </w:pPr>
  </w:style>
  <w:style w:type="paragraph" w:styleId="ListContinue2">
    <w:name w:val="List Continue 2"/>
    <w:basedOn w:val="List2"/>
    <w:rsid w:val="00B35FA6"/>
    <w:pPr>
      <w:ind w:firstLine="0"/>
    </w:pPr>
  </w:style>
  <w:style w:type="paragraph" w:styleId="ListContinue3">
    <w:name w:val="List Continue 3"/>
    <w:basedOn w:val="List3"/>
    <w:rsid w:val="00B35FA6"/>
    <w:pPr>
      <w:ind w:left="1021" w:firstLine="0"/>
    </w:pPr>
  </w:style>
  <w:style w:type="paragraph" w:styleId="ListContinue4">
    <w:name w:val="List Continue 4"/>
    <w:basedOn w:val="List4"/>
    <w:rsid w:val="00B35FA6"/>
    <w:pPr>
      <w:ind w:firstLine="0"/>
    </w:pPr>
  </w:style>
  <w:style w:type="paragraph" w:styleId="ListContinue5">
    <w:name w:val="List Continue 5"/>
    <w:basedOn w:val="List5"/>
    <w:rsid w:val="00B35FA6"/>
    <w:pPr>
      <w:ind w:firstLine="0"/>
    </w:pPr>
  </w:style>
  <w:style w:type="paragraph" w:styleId="ListNumber3">
    <w:name w:val="List Number 3"/>
    <w:basedOn w:val="List3"/>
    <w:rsid w:val="00B35FA6"/>
    <w:pPr>
      <w:numPr>
        <w:numId w:val="5"/>
      </w:numPr>
    </w:pPr>
  </w:style>
  <w:style w:type="paragraph" w:styleId="ListNumber4">
    <w:name w:val="List Number 4"/>
    <w:basedOn w:val="List4"/>
    <w:rsid w:val="00B35FA6"/>
    <w:pPr>
      <w:numPr>
        <w:numId w:val="6"/>
      </w:numPr>
    </w:pPr>
  </w:style>
  <w:style w:type="paragraph" w:styleId="ListNumber5">
    <w:name w:val="List Number 5"/>
    <w:basedOn w:val="List5"/>
    <w:rsid w:val="00B35FA6"/>
    <w:pPr>
      <w:numPr>
        <w:numId w:val="7"/>
      </w:numPr>
    </w:pPr>
  </w:style>
  <w:style w:type="paragraph" w:styleId="BlockText">
    <w:name w:val="Block Text"/>
    <w:basedOn w:val="Normal"/>
    <w:rsid w:val="00B35FA6"/>
    <w:pPr>
      <w:spacing w:after="120"/>
      <w:ind w:left="1440" w:right="1440"/>
    </w:pPr>
  </w:style>
  <w:style w:type="character" w:customStyle="1" w:styleId="Subscript">
    <w:name w:val="Subscript"/>
    <w:basedOn w:val="DefaultParagraphFont"/>
    <w:rsid w:val="00B35FA6"/>
    <w:rPr>
      <w:sz w:val="16"/>
      <w:vertAlign w:val="subscript"/>
    </w:rPr>
  </w:style>
  <w:style w:type="character" w:customStyle="1" w:styleId="Superscript">
    <w:name w:val="Superscript"/>
    <w:basedOn w:val="DefaultParagraphFont"/>
    <w:rsid w:val="00B35FA6"/>
    <w:rPr>
      <w:sz w:val="16"/>
      <w:vertAlign w:val="superscript"/>
    </w:rPr>
  </w:style>
  <w:style w:type="character" w:customStyle="1" w:styleId="Symbols">
    <w:name w:val="Symbols"/>
    <w:basedOn w:val="DefaultParagraphFont"/>
    <w:rsid w:val="00B35FA6"/>
    <w:rPr>
      <w:rFonts w:ascii="Symbol" w:hAnsi="Symbol"/>
    </w:rPr>
  </w:style>
  <w:style w:type="character" w:customStyle="1" w:styleId="MenuOptions">
    <w:name w:val="Menu Options"/>
    <w:basedOn w:val="DefaultParagraphFont"/>
    <w:rsid w:val="00B35FA6"/>
    <w:rPr>
      <w:rFonts w:ascii="Arial Narrow" w:hAnsi="Arial Narrow"/>
      <w:smallCaps/>
    </w:rPr>
  </w:style>
  <w:style w:type="character" w:customStyle="1" w:styleId="Buttons">
    <w:name w:val="Buttons"/>
    <w:basedOn w:val="DefaultParagraphFont"/>
    <w:rsid w:val="00B35FA6"/>
    <w:rPr>
      <w:b/>
    </w:rPr>
  </w:style>
  <w:style w:type="character" w:customStyle="1" w:styleId="Underlined">
    <w:name w:val="Underlined"/>
    <w:basedOn w:val="DefaultParagraphFont"/>
    <w:rsid w:val="00B35FA6"/>
    <w:rPr>
      <w:u w:val="single"/>
    </w:rPr>
  </w:style>
  <w:style w:type="paragraph" w:customStyle="1" w:styleId="TableBodyTextRight">
    <w:name w:val="Table Body Text Right"/>
    <w:basedOn w:val="TableBodyText"/>
    <w:rsid w:val="00B35FA6"/>
    <w:pPr>
      <w:widowControl w:val="0"/>
      <w:autoSpaceDE w:val="0"/>
      <w:autoSpaceDN w:val="0"/>
      <w:adjustRightInd w:val="0"/>
      <w:jc w:val="right"/>
    </w:pPr>
    <w:rPr>
      <w:rFonts w:cs="Arial"/>
      <w:szCs w:val="18"/>
    </w:rPr>
  </w:style>
  <w:style w:type="paragraph" w:customStyle="1" w:styleId="CopyrightText">
    <w:name w:val="Copyright Text"/>
    <w:basedOn w:val="BodyText"/>
    <w:rsid w:val="00B35FA6"/>
    <w:rPr>
      <w:sz w:val="18"/>
    </w:rPr>
  </w:style>
  <w:style w:type="paragraph" w:customStyle="1" w:styleId="BodySmallRight">
    <w:name w:val="Body Small Right"/>
    <w:basedOn w:val="BodyTextRight"/>
    <w:rsid w:val="00B35FA6"/>
    <w:rPr>
      <w:sz w:val="18"/>
      <w:szCs w:val="18"/>
    </w:rPr>
  </w:style>
  <w:style w:type="paragraph" w:customStyle="1" w:styleId="MarginEdition">
    <w:name w:val="Margin Edition"/>
    <w:basedOn w:val="MarginNote"/>
    <w:rsid w:val="00B35FA6"/>
    <w:pPr>
      <w:spacing w:before="0" w:after="0"/>
    </w:pPr>
    <w:rPr>
      <w:rFonts w:ascii="Times New Roman" w:hAnsi="Times New Roman"/>
      <w:color w:val="999999"/>
    </w:rPr>
  </w:style>
  <w:style w:type="paragraph" w:customStyle="1" w:styleId="Spacer">
    <w:name w:val="Spacer"/>
    <w:basedOn w:val="Normal"/>
    <w:rsid w:val="00B35FA6"/>
    <w:rPr>
      <w:sz w:val="2"/>
      <w:szCs w:val="2"/>
    </w:rPr>
  </w:style>
  <w:style w:type="character" w:customStyle="1" w:styleId="Small">
    <w:name w:val="Small"/>
    <w:basedOn w:val="DefaultParagraphFont"/>
    <w:rsid w:val="00B35FA6"/>
    <w:rPr>
      <w:sz w:val="16"/>
    </w:rPr>
  </w:style>
  <w:style w:type="paragraph" w:customStyle="1" w:styleId="WideTable">
    <w:name w:val="Wide Table"/>
    <w:basedOn w:val="Normal"/>
    <w:rsid w:val="00B35FA6"/>
    <w:pPr>
      <w:ind w:left="-1418"/>
    </w:pPr>
    <w:rPr>
      <w:sz w:val="2"/>
      <w:szCs w:val="2"/>
    </w:rPr>
  </w:style>
  <w:style w:type="character" w:styleId="PageNumber">
    <w:name w:val="page number"/>
    <w:basedOn w:val="DefaultParagraphFont"/>
    <w:rsid w:val="00B35FA6"/>
  </w:style>
  <w:style w:type="paragraph" w:styleId="Quote">
    <w:name w:val="Quote"/>
    <w:basedOn w:val="Heading1"/>
    <w:link w:val="QuoteChar"/>
    <w:qFormat/>
    <w:rsid w:val="00B35FA6"/>
    <w:rPr>
      <w:b w:val="0"/>
      <w:sz w:val="72"/>
      <w:szCs w:val="72"/>
      <w:lang w:val="en-NZ"/>
    </w:rPr>
  </w:style>
  <w:style w:type="character" w:customStyle="1" w:styleId="QuoteChar">
    <w:name w:val="Quote Char"/>
    <w:basedOn w:val="DefaultParagraphFont"/>
    <w:link w:val="Quote"/>
    <w:rsid w:val="00B35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FA6"/>
    <w:pPr>
      <w:pageBreakBefore/>
    </w:pPr>
  </w:style>
  <w:style w:type="paragraph" w:customStyle="1" w:styleId="Border">
    <w:name w:val="Border"/>
    <w:basedOn w:val="Normal"/>
    <w:qFormat/>
    <w:rsid w:val="00B35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FA6"/>
    <w:rPr>
      <w:b/>
      <w:bCs/>
      <w:i/>
      <w:iCs/>
      <w:color w:val="auto"/>
    </w:rPr>
  </w:style>
  <w:style w:type="paragraph" w:styleId="IntenseQuote">
    <w:name w:val="Intense Quote"/>
    <w:basedOn w:val="Normal"/>
    <w:next w:val="Normal"/>
    <w:link w:val="IntenseQuoteChar"/>
    <w:uiPriority w:val="30"/>
    <w:qFormat/>
    <w:rsid w:val="00B35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FA6"/>
    <w:rPr>
      <w:smallCaps/>
      <w:color w:val="auto"/>
      <w:u w:val="single"/>
    </w:rPr>
  </w:style>
  <w:style w:type="character" w:styleId="IntenseReference">
    <w:name w:val="Intense Reference"/>
    <w:basedOn w:val="DefaultParagraphFont"/>
    <w:uiPriority w:val="32"/>
    <w:qFormat/>
    <w:rsid w:val="00B35FA6"/>
    <w:rPr>
      <w:b/>
      <w:bCs/>
      <w:smallCaps/>
      <w:color w:val="auto"/>
      <w:spacing w:val="5"/>
      <w:u w:val="single"/>
    </w:rPr>
  </w:style>
  <w:style w:type="paragraph" w:customStyle="1" w:styleId="2ColumnHeading">
    <w:name w:val="2Column Heading"/>
    <w:basedOn w:val="BodyText"/>
    <w:qFormat/>
    <w:rsid w:val="00B35FA6"/>
    <w:pPr>
      <w:spacing w:after="60"/>
      <w:ind w:left="-2268"/>
    </w:pPr>
    <w:rPr>
      <w:b/>
    </w:rPr>
  </w:style>
  <w:style w:type="paragraph" w:customStyle="1" w:styleId="Heading1TOC">
    <w:name w:val="Heading1 TOC"/>
    <w:basedOn w:val="Normal"/>
    <w:qFormat/>
    <w:rsid w:val="00B35FA6"/>
    <w:pPr>
      <w:spacing w:before="240" w:after="120"/>
    </w:pPr>
    <w:rPr>
      <w:rFonts w:ascii="Times New Roman" w:hAnsi="Times New Roman"/>
      <w:b/>
      <w:sz w:val="32"/>
    </w:rPr>
  </w:style>
  <w:style w:type="paragraph" w:customStyle="1" w:styleId="Heading2TOC">
    <w:name w:val="Heading2 TOC"/>
    <w:basedOn w:val="Normal"/>
    <w:qFormat/>
    <w:rsid w:val="00B35FA6"/>
    <w:pPr>
      <w:spacing w:before="240" w:after="60"/>
    </w:pPr>
    <w:rPr>
      <w:rFonts w:ascii="Times New Roman" w:hAnsi="Times New Roman"/>
      <w:b/>
      <w:sz w:val="28"/>
    </w:rPr>
  </w:style>
  <w:style w:type="character" w:customStyle="1" w:styleId="Underline">
    <w:name w:val="Underline"/>
    <w:basedOn w:val="DefaultParagraphFont"/>
    <w:qFormat/>
    <w:rsid w:val="00B35FA6"/>
    <w:rPr>
      <w:u w:val="single"/>
    </w:rPr>
  </w:style>
  <w:style w:type="paragraph" w:styleId="BalloonText">
    <w:name w:val="Balloon Text"/>
    <w:basedOn w:val="Normal"/>
    <w:link w:val="BalloonTextChar"/>
    <w:rsid w:val="00B35FA6"/>
    <w:rPr>
      <w:rFonts w:ascii="Tahoma" w:hAnsi="Tahoma" w:cs="Tahoma"/>
      <w:sz w:val="16"/>
      <w:szCs w:val="16"/>
    </w:rPr>
  </w:style>
  <w:style w:type="character" w:customStyle="1" w:styleId="BalloonTextChar">
    <w:name w:val="Balloon Text Char"/>
    <w:basedOn w:val="DefaultParagraphFont"/>
    <w:link w:val="BalloonText"/>
    <w:rsid w:val="00B35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FA6"/>
    <w:rPr>
      <w:b/>
      <w:color w:val="660033"/>
      <w:spacing w:val="0"/>
    </w:rPr>
  </w:style>
  <w:style w:type="paragraph" w:customStyle="1" w:styleId="Nameditemlist">
    <w:name w:val="Named item list"/>
    <w:basedOn w:val="BodyText"/>
    <w:qFormat/>
    <w:rsid w:val="00B35F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1956</Words>
  <Characters>12102</Characters>
  <Application>Microsoft Office Word</Application>
  <DocSecurity>0</DocSecurity>
  <Lines>395</Lines>
  <Paragraphs>218</Paragraphs>
  <ScaleCrop>false</ScaleCrop>
  <Company>Author-it Software Corporation Ltd.</Company>
  <LinksUpToDate>false</LinksUpToDate>
  <CharactersWithSpaces>13977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BSBWHS603A Implement WHS risk management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2012-12-12T02:58:00Z</dcterms:created>
  <dcterms:modified xsi:type="dcterms:W3CDTF">2012-12-12T02:58:00Z</dcterms:modified>
</cp:coreProperties>
</file>