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70FCF" w:rsidP="00B70FCF">
      <w:pPr>
        <w:pStyle w:val="Title"/>
      </w:pPr>
      <w:r>
        <w:fldChar w:fldCharType="begin"/>
      </w:r>
      <w:r>
        <w:instrText xml:space="preserve"> TITLE   \* MERGEFORMAT </w:instrText>
      </w:r>
      <w:r>
        <w:fldChar w:fldCharType="separate"/>
      </w:r>
      <w:r>
        <w:t>BSBWHS501A Ensure a safe workplace</w:t>
      </w:r>
      <w:r>
        <w:fldChar w:fldCharType="end"/>
      </w:r>
    </w:p>
    <w:p w:rsidR="00B70FCF" w:rsidP="00B70FCF">
      <w:pPr>
        <w:pStyle w:val="Version"/>
        <w:sectPr w:rsidSect="00784DC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84DC0" w:rsidP="00784DC0">
      <w:pPr>
        <w:pStyle w:val="SuperHeading"/>
      </w:pPr>
      <w:r w:rsidRPr="00784DC0">
        <w:t>BSBWHS501A Ensure a safe workplace</w:t>
      </w:r>
    </w:p>
    <w:p w:rsidR="00000000" w:rsidRPr="00784DC0" w:rsidP="00784DC0">
      <w:pPr>
        <w:pStyle w:val="Heading1"/>
      </w:pPr>
      <w:bookmarkStart w:id="1" w:name="O_510467"/>
      <w:bookmarkEnd w:id="1"/>
      <w:r w:rsidRPr="00784DC0">
        <w:t>Mo</w:t>
      </w:r>
      <w:r w:rsidRPr="00784DC0">
        <w:t>dification History</w:t>
      </w:r>
    </w:p>
    <w:tbl>
      <w:tblPr>
        <w:tblW w:w="0" w:type="auto"/>
        <w:tblLayout w:type="fixed"/>
        <w:tblCellMar>
          <w:left w:w="62" w:type="dxa"/>
          <w:right w:w="62" w:type="dxa"/>
        </w:tblCellMar>
        <w:tblLook w:val="0000"/>
      </w:tblPr>
      <w:tblGrid>
        <w:gridCol w:w="3174"/>
        <w:gridCol w:w="5826"/>
      </w:tblGrid>
      <w:tr w:rsidTr="00784DC0">
        <w:tblPrEx>
          <w:tblW w:w="0" w:type="auto"/>
          <w:tblLayout w:type="fixed"/>
          <w:tblCellMar>
            <w:left w:w="62" w:type="dxa"/>
            <w:right w:w="62" w:type="dxa"/>
          </w:tblCellMar>
          <w:tblLook w:val="0000"/>
        </w:tblPrEx>
        <w:tc>
          <w:tcPr>
            <w:tcW w:w="31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84DC0" w:rsidP="00784DC0">
            <w:pPr>
              <w:pStyle w:val="BodyText"/>
            </w:pPr>
            <w:r w:rsidRPr="00784DC0">
              <w:rPr>
                <w:rStyle w:val="SpecialBold"/>
              </w:rPr>
              <w:t>Release</w:t>
            </w:r>
          </w:p>
        </w:tc>
        <w:tc>
          <w:tcPr>
            <w:tcW w:w="58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84DC0">
            <w:pPr>
              <w:pStyle w:val="BodyText"/>
              <w:rPr>
                <w:lang w:val="en-NZ"/>
              </w:rPr>
            </w:pPr>
            <w:r w:rsidRPr="00784DC0">
              <w:rPr>
                <w:rStyle w:val="SpecialBold"/>
              </w:rPr>
              <w:t>Comments</w:t>
            </w:r>
          </w:p>
        </w:tc>
      </w:tr>
      <w:tr w:rsidTr="00784DC0">
        <w:tblPrEx>
          <w:tblW w:w="0" w:type="auto"/>
          <w:tblLayout w:type="fixed"/>
          <w:tblCellMar>
            <w:left w:w="62" w:type="dxa"/>
            <w:right w:w="62" w:type="dxa"/>
          </w:tblCellMar>
          <w:tblLook w:val="0000"/>
        </w:tblPrEx>
        <w:tc>
          <w:tcPr>
            <w:tcW w:w="31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84DC0">
            <w:pPr>
              <w:pStyle w:val="BodyText"/>
              <w:rPr>
                <w:lang w:val="en-NZ"/>
              </w:rPr>
            </w:pPr>
            <w:r w:rsidRPr="00784DC0">
              <w:t>Release 1</w:t>
            </w:r>
          </w:p>
        </w:tc>
        <w:tc>
          <w:tcPr>
            <w:tcW w:w="58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84DC0" w:rsidP="00784DC0">
            <w:pPr>
              <w:pStyle w:val="BodyText"/>
            </w:pPr>
            <w:r w:rsidRPr="00784DC0">
              <w:t xml:space="preserve">This Unit first released with </w:t>
            </w:r>
            <w:r w:rsidRPr="00784DC0">
              <w:rPr>
                <w:rStyle w:val="Emphasis"/>
              </w:rPr>
              <w:t>BSB07 Business Training Package version 7.0</w:t>
            </w:r>
            <w:r w:rsidRPr="00784DC0">
              <w:t>.</w:t>
            </w:r>
          </w:p>
          <w:p w:rsidR="00000000" w:rsidRPr="00784DC0" w:rsidP="00784DC0">
            <w:pPr>
              <w:pStyle w:val="BodyText"/>
            </w:pPr>
          </w:p>
          <w:p w:rsidR="00000000" w:rsidRPr="00784DC0" w:rsidP="00784DC0">
            <w:pPr>
              <w:pStyle w:val="BodyText"/>
            </w:pPr>
            <w:r w:rsidRPr="00784DC0">
              <w:t>Replaces and is equivalent to BSBOHS509A Ensure a safe workplace.</w:t>
            </w:r>
          </w:p>
        </w:tc>
      </w:tr>
    </w:tbl>
    <w:p w:rsidR="00000000" w:rsidRPr="00784DC0" w:rsidP="00784DC0">
      <w:pPr>
        <w:pStyle w:val="BodyText"/>
      </w:pPr>
    </w:p>
    <w:p w:rsidR="00000000" w:rsidRPr="00784DC0" w:rsidP="00784DC0">
      <w:pPr>
        <w:pStyle w:val="AllowPageBreak"/>
      </w:pPr>
    </w:p>
    <w:p w:rsidR="00000000" w:rsidRPr="00784DC0" w:rsidP="00784DC0">
      <w:pPr>
        <w:pStyle w:val="Heading1"/>
      </w:pPr>
      <w:bookmarkStart w:id="2" w:name="O_510468"/>
      <w:bookmarkEnd w:id="2"/>
      <w:r w:rsidRPr="00784DC0">
        <w:t>Unit Descriptor</w:t>
      </w:r>
    </w:p>
    <w:p w:rsidR="00000000" w:rsidRPr="00784DC0" w:rsidP="00784DC0">
      <w:pPr>
        <w:pStyle w:val="BodyText"/>
      </w:pPr>
      <w:r w:rsidRPr="00784DC0">
        <w:t>This unit describes the performa</w:t>
      </w:r>
      <w:r w:rsidRPr="00784DC0">
        <w:t>nce outcomes, skills and knowledge required to establish, maintain and evaluate the organisation’s work health and safety (WHS) policies, procedures and programs in the relevant work area according to WHS legislative requirements.</w:t>
      </w:r>
    </w:p>
    <w:p w:rsidR="00000000" w:rsidRPr="00784DC0" w:rsidP="00784DC0">
      <w:pPr>
        <w:pStyle w:val="AllowPageBreak"/>
      </w:pPr>
    </w:p>
    <w:p w:rsidR="00000000" w:rsidRPr="00784DC0" w:rsidP="00784DC0">
      <w:pPr>
        <w:pStyle w:val="Heading1"/>
      </w:pPr>
      <w:bookmarkStart w:id="3" w:name="O_510469"/>
      <w:bookmarkEnd w:id="3"/>
      <w:r w:rsidRPr="00784DC0">
        <w:t>Applicat</w:t>
      </w:r>
      <w:r w:rsidRPr="00784DC0">
        <w:t>ion of the Unit</w:t>
      </w:r>
    </w:p>
    <w:p w:rsidR="00000000" w:rsidRPr="00784DC0" w:rsidP="00784DC0">
      <w:pPr>
        <w:pStyle w:val="BodyText"/>
      </w:pPr>
      <w:r w:rsidRPr="00784DC0">
        <w:t>This unit applies to managers working in a range of contexts. It takes a systems approach and addresses compliance with relevant legislative requirements.</w:t>
      </w:r>
    </w:p>
    <w:p w:rsidR="00000000" w:rsidRPr="00784DC0" w:rsidP="00784DC0">
      <w:pPr>
        <w:pStyle w:val="BodyText"/>
      </w:pPr>
    </w:p>
    <w:p w:rsidR="00000000" w:rsidRPr="00784DC0" w:rsidP="00784DC0">
      <w:pPr>
        <w:pStyle w:val="BodyText"/>
      </w:pPr>
      <w:r w:rsidRPr="00784DC0">
        <w:t>Those who have or are likely to have responsibility for WHS as part of their broader</w:t>
      </w:r>
      <w:r w:rsidRPr="00784DC0">
        <w:t xml:space="preserve"> management role should undertake this unit.</w:t>
      </w:r>
    </w:p>
    <w:p w:rsidR="00000000" w:rsidRPr="00784DC0" w:rsidP="00784DC0">
      <w:pPr>
        <w:pStyle w:val="BodyText"/>
      </w:pPr>
    </w:p>
    <w:p w:rsidR="00000000" w:rsidRPr="00784DC0" w:rsidP="00784DC0">
      <w:pPr>
        <w:pStyle w:val="BodyText"/>
      </w:pPr>
      <w:r w:rsidRPr="00784DC0">
        <w:t>The unit is relevant for people with obligations under WHS legislation, for example persons conducting a business or undertaking (PCBUs) or their officers (as defined by relevant legislation).</w:t>
      </w:r>
    </w:p>
    <w:p w:rsidR="00000000" w:rsidRPr="00784DC0" w:rsidP="00784DC0">
      <w:pPr>
        <w:pStyle w:val="BodyText"/>
      </w:pPr>
    </w:p>
    <w:p w:rsidR="00000000" w:rsidRPr="00784DC0" w:rsidP="00784DC0">
      <w:pPr>
        <w:pStyle w:val="BodyText"/>
      </w:pPr>
      <w:r w:rsidRPr="00784DC0">
        <w:rPr>
          <w:rStyle w:val="Emphasis"/>
        </w:rPr>
        <w:t>NOTE:  The terms Occupational Health and Safety (OHS) and Work Health and Safety (WHS) are equivalent and generally either can be used in the workplace.  In jurisdictions where the National Model WHS Legislation has not been implemented RTOs are advised to</w:t>
      </w:r>
      <w:r w:rsidRPr="00784DC0">
        <w:rPr>
          <w:rStyle w:val="Emphasis"/>
        </w:rPr>
        <w:t xml:space="preserve"> contextualise the unit of competency by referring to the existing State/Territory OHS legislative requirements.</w:t>
      </w:r>
    </w:p>
    <w:p w:rsidR="00000000" w:rsidRPr="00784DC0" w:rsidP="00784DC0">
      <w:pPr>
        <w:pStyle w:val="AllowPageBreak"/>
      </w:pPr>
    </w:p>
    <w:p w:rsidR="00000000" w:rsidRPr="00784DC0" w:rsidP="00784DC0">
      <w:pPr>
        <w:pStyle w:val="Heading1"/>
      </w:pPr>
      <w:bookmarkStart w:id="4" w:name="O_510470"/>
      <w:bookmarkEnd w:id="4"/>
      <w:r w:rsidRPr="00784DC0">
        <w:t>Licensing/Regulatory Information</w:t>
      </w:r>
    </w:p>
    <w:p w:rsidR="00000000" w:rsidRPr="00784DC0" w:rsidP="00784DC0">
      <w:pPr>
        <w:pStyle w:val="BodyText"/>
      </w:pPr>
      <w:r w:rsidRPr="00784DC0">
        <w:t>No licensing, legislative, regulatory or certification requirements apply to this unit at the</w:t>
      </w:r>
      <w:r w:rsidRPr="00784DC0">
        <w:t xml:space="preserve"> time of endorsement.</w:t>
      </w:r>
    </w:p>
    <w:p w:rsidR="00000000" w:rsidRPr="00784DC0" w:rsidP="00784DC0">
      <w:pPr>
        <w:pStyle w:val="AllowPageBreak"/>
      </w:pPr>
    </w:p>
    <w:p w:rsidR="00000000" w:rsidRPr="00784DC0" w:rsidP="00784DC0">
      <w:pPr>
        <w:pStyle w:val="Heading1"/>
      </w:pPr>
      <w:bookmarkStart w:id="5" w:name="O_510471"/>
      <w:bookmarkEnd w:id="5"/>
      <w:r w:rsidRPr="00784DC0">
        <w:t>Pre-Requisites</w:t>
      </w:r>
    </w:p>
    <w:p w:rsidR="00000000" w:rsidRPr="00784DC0" w:rsidP="00784DC0">
      <w:pPr>
        <w:pStyle w:val="BodyText"/>
      </w:pPr>
      <w:r w:rsidRPr="00784DC0">
        <w:t>Not applicable.</w:t>
      </w:r>
    </w:p>
    <w:p w:rsidR="00000000" w:rsidRPr="00784DC0" w:rsidP="00784DC0">
      <w:pPr>
        <w:pStyle w:val="AllowPageBreak"/>
      </w:pPr>
    </w:p>
    <w:p w:rsidR="00000000" w:rsidRPr="00784DC0" w:rsidP="00784DC0">
      <w:pPr>
        <w:pStyle w:val="Heading1"/>
      </w:pPr>
      <w:bookmarkStart w:id="6" w:name="O_510472"/>
      <w:bookmarkEnd w:id="6"/>
      <w:r w:rsidRPr="00784DC0">
        <w:t>Employability Skills Information</w:t>
      </w:r>
    </w:p>
    <w:p w:rsidR="00000000" w:rsidRPr="00784DC0" w:rsidP="00784DC0">
      <w:pPr>
        <w:pStyle w:val="BodyText"/>
      </w:pPr>
      <w:r w:rsidRPr="00784DC0">
        <w:t>This unit contains employability skills.</w:t>
      </w:r>
    </w:p>
    <w:p w:rsidR="00000000" w:rsidRPr="00784DC0" w:rsidP="00784DC0">
      <w:pPr>
        <w:pStyle w:val="AllowPageBreak"/>
      </w:pPr>
    </w:p>
    <w:p w:rsidR="00000000" w:rsidRPr="00784DC0" w:rsidP="00784DC0">
      <w:pPr>
        <w:pStyle w:val="Heading1"/>
      </w:pPr>
      <w:bookmarkStart w:id="7" w:name="O_510473"/>
      <w:bookmarkEnd w:id="7"/>
      <w:r w:rsidRPr="00784DC0">
        <w:t>Elements and Performance Criteria Pre-Content</w:t>
      </w:r>
    </w:p>
    <w:tbl>
      <w:tblPr>
        <w:tblW w:w="0" w:type="auto"/>
        <w:tblLayout w:type="fixed"/>
        <w:tblCellMar>
          <w:left w:w="62" w:type="dxa"/>
          <w:right w:w="62" w:type="dxa"/>
        </w:tblCellMar>
        <w:tblLook w:val="0000"/>
      </w:tblPr>
      <w:tblGrid>
        <w:gridCol w:w="2521"/>
        <w:gridCol w:w="6479"/>
      </w:tblGrid>
      <w:tr w:rsidTr="00784DC0">
        <w:tblPrEx>
          <w:tblW w:w="0" w:type="auto"/>
          <w:tblLayout w:type="fixed"/>
          <w:tblCellMar>
            <w:left w:w="62" w:type="dxa"/>
            <w:right w:w="62" w:type="dxa"/>
          </w:tblCellMar>
          <w:tblLook w:val="0000"/>
        </w:tblPrEx>
        <w:trPr>
          <w:tblHeader/>
        </w:trPr>
        <w:tc>
          <w:tcPr>
            <w:tcW w:w="252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784DC0" w:rsidP="00784DC0">
            <w:pPr>
              <w:pStyle w:val="BodyText"/>
            </w:pPr>
            <w:r w:rsidRPr="00784DC0">
              <w:rPr>
                <w:rStyle w:val="SpecialBold"/>
              </w:rPr>
              <w:t>Element</w:t>
            </w:r>
          </w:p>
        </w:tc>
        <w:tc>
          <w:tcPr>
            <w:tcW w:w="6479"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784DC0">
            <w:pPr>
              <w:pStyle w:val="BodyText"/>
              <w:rPr>
                <w:lang w:val="en-NZ"/>
              </w:rPr>
            </w:pPr>
            <w:r w:rsidRPr="00784DC0">
              <w:rPr>
                <w:rStyle w:val="SpecialBold"/>
              </w:rPr>
              <w:t>Performance Criteria</w:t>
            </w:r>
          </w:p>
        </w:tc>
      </w:tr>
      <w:tr w:rsidTr="00784DC0">
        <w:tblPrEx>
          <w:tblW w:w="0" w:type="auto"/>
          <w:tblLayout w:type="fixed"/>
          <w:tblCellMar>
            <w:left w:w="62" w:type="dxa"/>
            <w:right w:w="62" w:type="dxa"/>
          </w:tblCellMar>
          <w:tblLook w:val="0000"/>
        </w:tblPrEx>
        <w:tc>
          <w:tcPr>
            <w:tcW w:w="252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784DC0" w:rsidP="00784DC0">
            <w:pPr>
              <w:pStyle w:val="BodyText"/>
            </w:pPr>
            <w:r w:rsidRPr="00784DC0">
              <w:rPr>
                <w:rStyle w:val="Emphasis"/>
              </w:rPr>
              <w:t>El</w:t>
            </w:r>
            <w:r w:rsidRPr="00784DC0">
              <w:rPr>
                <w:rStyle w:val="Emphasis"/>
              </w:rPr>
              <w:t>ements describe the essential outcomes of a unit of competency.</w:t>
            </w:r>
          </w:p>
        </w:tc>
        <w:tc>
          <w:tcPr>
            <w:tcW w:w="6479"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784DC0" w:rsidP="00784DC0">
            <w:pPr>
              <w:pStyle w:val="BodyText"/>
            </w:pPr>
            <w:r w:rsidRPr="00784DC0">
              <w:rPr>
                <w:rStyle w:val="Emphasis"/>
              </w:rPr>
              <w:t>Performance criteria describe the performance needed to demonstrate achievement of the element. Where bold italicised text is used, further information is detailed in the required skills and k</w:t>
            </w:r>
            <w:r w:rsidRPr="00784DC0">
              <w:rPr>
                <w:rStyle w:val="Emphasis"/>
              </w:rPr>
              <w:t>nowledge section and the range statement. Assessment of performance is to be consistent with the evidence guide.</w:t>
            </w:r>
          </w:p>
        </w:tc>
      </w:tr>
    </w:tbl>
    <w:p w:rsidR="00000000" w:rsidRPr="00784DC0" w:rsidP="00784DC0">
      <w:pPr>
        <w:pStyle w:val="BodyText"/>
      </w:pPr>
    </w:p>
    <w:p w:rsidR="00000000" w:rsidRPr="00784DC0" w:rsidP="00784DC0">
      <w:pPr>
        <w:pStyle w:val="AllowPageBreak"/>
      </w:pPr>
    </w:p>
    <w:p w:rsidR="00000000" w:rsidRPr="00784DC0" w:rsidP="00784DC0">
      <w:pPr>
        <w:pStyle w:val="Heading1"/>
      </w:pPr>
      <w:bookmarkStart w:id="8" w:name="O_510474"/>
      <w:bookmarkEnd w:id="8"/>
      <w:r w:rsidRPr="00784DC0">
        <w:t>Elements and Performance Criteria</w:t>
      </w:r>
    </w:p>
    <w:tbl>
      <w:tblPr>
        <w:tblW w:w="0" w:type="auto"/>
        <w:tblLayout w:type="fixed"/>
        <w:tblCellMar>
          <w:left w:w="62" w:type="dxa"/>
          <w:right w:w="62" w:type="dxa"/>
        </w:tblCellMar>
        <w:tblLook w:val="0000"/>
      </w:tblPr>
      <w:tblGrid>
        <w:gridCol w:w="2523"/>
        <w:gridCol w:w="6477"/>
      </w:tblGrid>
      <w:tr w:rsidTr="00784DC0">
        <w:tblPrEx>
          <w:tblW w:w="0" w:type="auto"/>
          <w:tblLayout w:type="fixed"/>
          <w:tblCellMar>
            <w:left w:w="62" w:type="dxa"/>
            <w:right w:w="62" w:type="dxa"/>
          </w:tblCellMar>
          <w:tblLook w:val="0000"/>
        </w:tblPrEx>
        <w:tc>
          <w:tcPr>
            <w:tcW w:w="252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84DC0">
            <w:pPr>
              <w:pStyle w:val="BodyText"/>
              <w:rPr>
                <w:lang w:val="en-NZ"/>
              </w:rPr>
            </w:pPr>
            <w:r w:rsidRPr="00784DC0">
              <w:t>1. Establish and maintain a WHS management system</w:t>
            </w:r>
          </w:p>
        </w:tc>
        <w:tc>
          <w:tcPr>
            <w:tcW w:w="64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84DC0" w:rsidP="00784DC0">
            <w:pPr>
              <w:pStyle w:val="BodyText"/>
            </w:pPr>
            <w:r w:rsidRPr="00784DC0">
              <w:t xml:space="preserve">1.1 Locate, adapt, adopt and communicate WHS policies that clearly define the organisation’s commitment to complying with </w:t>
            </w:r>
            <w:r w:rsidRPr="00784DC0">
              <w:rPr>
                <w:rStyle w:val="BoldandItalics"/>
              </w:rPr>
              <w:t>WHS legislation</w:t>
            </w:r>
          </w:p>
          <w:p w:rsidR="00000000" w:rsidRPr="00784DC0" w:rsidP="00784DC0">
            <w:pPr>
              <w:pStyle w:val="BodyText"/>
            </w:pPr>
            <w:r w:rsidRPr="00784DC0">
              <w:t xml:space="preserve">1.2 Identify </w:t>
            </w:r>
            <w:r w:rsidRPr="00784DC0">
              <w:rPr>
                <w:rStyle w:val="BoldandItalics"/>
              </w:rPr>
              <w:t xml:space="preserve">duty holders </w:t>
            </w:r>
            <w:r w:rsidRPr="00784DC0">
              <w:t>and define WHS responsibilities for all workplace personnel according to WHS legislation, policies, procedures and programs</w:t>
            </w:r>
          </w:p>
          <w:p w:rsidR="00000000" w:rsidP="00784DC0">
            <w:pPr>
              <w:pStyle w:val="BodyText"/>
              <w:rPr>
                <w:lang w:val="en-NZ"/>
              </w:rPr>
            </w:pPr>
            <w:r w:rsidRPr="00784DC0">
              <w:t>1.3 Identify and approve financial and human resources required by the WHS management system (WHSMS)</w:t>
            </w:r>
          </w:p>
        </w:tc>
      </w:tr>
      <w:tr w:rsidTr="00784DC0">
        <w:tblPrEx>
          <w:tblW w:w="0" w:type="auto"/>
          <w:tblLayout w:type="fixed"/>
          <w:tblCellMar>
            <w:left w:w="62" w:type="dxa"/>
            <w:right w:w="62" w:type="dxa"/>
          </w:tblCellMar>
          <w:tblLook w:val="0000"/>
        </w:tblPrEx>
        <w:tc>
          <w:tcPr>
            <w:tcW w:w="252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84DC0">
            <w:pPr>
              <w:pStyle w:val="BodyText"/>
              <w:rPr>
                <w:lang w:val="en-NZ"/>
              </w:rPr>
            </w:pPr>
            <w:r w:rsidRPr="00784DC0">
              <w:t>2. Establish and maintain effe</w:t>
            </w:r>
            <w:r w:rsidRPr="00784DC0">
              <w:t>ctive and compliant participation arrangements for managing WHS</w:t>
            </w:r>
          </w:p>
        </w:tc>
        <w:tc>
          <w:tcPr>
            <w:tcW w:w="64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84DC0" w:rsidP="00784DC0">
            <w:pPr>
              <w:pStyle w:val="BodyText"/>
            </w:pPr>
            <w:r w:rsidRPr="00784DC0">
              <w:t>2.1 Work with workers and their representatives to set up and maintain participation arrangements according to relevant WHS legislation</w:t>
            </w:r>
          </w:p>
          <w:p w:rsidR="00000000" w:rsidRPr="00784DC0" w:rsidP="00784DC0">
            <w:pPr>
              <w:pStyle w:val="BodyText"/>
            </w:pPr>
            <w:r w:rsidRPr="00784DC0">
              <w:t>2.2 Appropriately resolve issues raised through particip</w:t>
            </w:r>
            <w:r w:rsidRPr="00784DC0">
              <w:t>ation and consultation arrangements according to relevant WHS legislation</w:t>
            </w:r>
          </w:p>
          <w:p w:rsidR="00000000" w:rsidP="00784DC0">
            <w:pPr>
              <w:pStyle w:val="BodyText"/>
              <w:rPr>
                <w:lang w:val="en-NZ"/>
              </w:rPr>
            </w:pPr>
            <w:r w:rsidRPr="00784DC0">
              <w:t xml:space="preserve">2.3 Promptly provide information about the outcomes of participation and consultation to workers and ensure it is easy for them to access and understand </w:t>
            </w:r>
          </w:p>
        </w:tc>
      </w:tr>
      <w:tr w:rsidTr="00784DC0">
        <w:tblPrEx>
          <w:tblW w:w="0" w:type="auto"/>
          <w:tblLayout w:type="fixed"/>
          <w:tblCellMar>
            <w:left w:w="62" w:type="dxa"/>
            <w:right w:w="62" w:type="dxa"/>
          </w:tblCellMar>
          <w:tblLook w:val="0000"/>
        </w:tblPrEx>
        <w:tc>
          <w:tcPr>
            <w:tcW w:w="252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84DC0">
            <w:pPr>
              <w:pStyle w:val="BodyText"/>
              <w:rPr>
                <w:lang w:val="en-NZ"/>
              </w:rPr>
            </w:pPr>
            <w:r w:rsidRPr="00784DC0">
              <w:t>3. Establish and maintain p</w:t>
            </w:r>
            <w:r w:rsidRPr="00784DC0">
              <w:t>rocedures for effectively identifying hazards, and assessing and controlling risks</w:t>
            </w:r>
          </w:p>
        </w:tc>
        <w:tc>
          <w:tcPr>
            <w:tcW w:w="64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84DC0" w:rsidP="00784DC0">
            <w:pPr>
              <w:pStyle w:val="BodyText"/>
            </w:pPr>
            <w:r w:rsidRPr="00784DC0">
              <w:t xml:space="preserve">3.1 Develop procedures for ongoing hazard identification, and assessment and </w:t>
            </w:r>
            <w:r w:rsidRPr="00784DC0">
              <w:rPr>
                <w:rStyle w:val="BoldandItalics"/>
              </w:rPr>
              <w:t>control of associated risks</w:t>
            </w:r>
          </w:p>
          <w:p w:rsidR="00000000" w:rsidRPr="00784DC0" w:rsidP="00784DC0">
            <w:pPr>
              <w:pStyle w:val="BodyText"/>
            </w:pPr>
            <w:r w:rsidRPr="00784DC0">
              <w:t>3.2 Include hazard identification at the planning, design and evaluation stages of any change in the workplace to ensure that new hazards are not created by the proposed changes and existing hazards are controlled</w:t>
            </w:r>
          </w:p>
          <w:p w:rsidR="00000000" w:rsidRPr="00784DC0" w:rsidP="00784DC0">
            <w:pPr>
              <w:pStyle w:val="BodyText"/>
            </w:pPr>
            <w:r w:rsidRPr="00784DC0">
              <w:t>3.3 Develop and maintain procedures for se</w:t>
            </w:r>
            <w:r w:rsidRPr="00784DC0">
              <w:t>lecting and implementing risk controls according to the hierarchy of control and WHS legislative requirements</w:t>
            </w:r>
          </w:p>
          <w:p w:rsidR="00000000" w:rsidRPr="00784DC0" w:rsidP="00784DC0">
            <w:pPr>
              <w:pStyle w:val="BodyText"/>
            </w:pPr>
            <w:r w:rsidRPr="00784DC0">
              <w:t>3.4 Identify inadequacies in existing risk controls according to the hierarchy of control and WHS legislative requirements, and promptly provide r</w:t>
            </w:r>
            <w:r w:rsidRPr="00784DC0">
              <w:t>esources to enable implementation of new measures</w:t>
            </w:r>
          </w:p>
          <w:p w:rsidR="00000000" w:rsidP="00784DC0">
            <w:pPr>
              <w:pStyle w:val="BodyText"/>
              <w:rPr>
                <w:lang w:val="en-NZ"/>
              </w:rPr>
            </w:pPr>
            <w:r w:rsidRPr="00784DC0">
              <w:t>3.5 Identify requirements for expert WHS advice, and request this advice as required</w:t>
            </w:r>
          </w:p>
        </w:tc>
      </w:tr>
      <w:tr w:rsidTr="00784DC0">
        <w:tblPrEx>
          <w:tblW w:w="0" w:type="auto"/>
          <w:tblLayout w:type="fixed"/>
          <w:tblCellMar>
            <w:left w:w="62" w:type="dxa"/>
            <w:right w:w="62" w:type="dxa"/>
          </w:tblCellMar>
          <w:tblLook w:val="0000"/>
        </w:tblPrEx>
        <w:tc>
          <w:tcPr>
            <w:tcW w:w="252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84DC0">
            <w:pPr>
              <w:pStyle w:val="BodyText"/>
              <w:rPr>
                <w:lang w:val="en-NZ"/>
              </w:rPr>
            </w:pPr>
            <w:r w:rsidRPr="00784DC0">
              <w:t>4. Evaluate and maintain a WHS management system</w:t>
            </w:r>
          </w:p>
        </w:tc>
        <w:tc>
          <w:tcPr>
            <w:tcW w:w="64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84DC0" w:rsidP="00784DC0">
            <w:pPr>
              <w:pStyle w:val="BodyText"/>
            </w:pPr>
            <w:r w:rsidRPr="00784DC0">
              <w:t>4.1 Develop and provide a WHS induction and training program for all wo</w:t>
            </w:r>
            <w:r w:rsidRPr="00784DC0">
              <w:t>rkers as part of the organisation’s training program</w:t>
            </w:r>
          </w:p>
          <w:p w:rsidR="00000000" w:rsidRPr="00784DC0" w:rsidP="00784DC0">
            <w:pPr>
              <w:pStyle w:val="BodyText"/>
            </w:pPr>
            <w:r w:rsidRPr="00784DC0">
              <w:t xml:space="preserve">4.2 Use a system for </w:t>
            </w:r>
            <w:r w:rsidRPr="00784DC0">
              <w:rPr>
                <w:rStyle w:val="BoldandItalics"/>
              </w:rPr>
              <w:t xml:space="preserve">WHS recordkeeping </w:t>
            </w:r>
            <w:r w:rsidRPr="00784DC0">
              <w:t>to allow identification of patterns of occupational injury and disease in the organisation, and to maintain a record of WHS decisions made, including reasons for th</w:t>
            </w:r>
            <w:r w:rsidRPr="00784DC0">
              <w:t>e decision</w:t>
            </w:r>
          </w:p>
          <w:p w:rsidR="00000000" w:rsidRPr="00784DC0" w:rsidP="00784DC0">
            <w:pPr>
              <w:pStyle w:val="BodyText"/>
            </w:pPr>
            <w:r w:rsidRPr="00784DC0">
              <w:t>4.3 Measure and evaluate the WHSMS in line with the organisation’s quality systems framework</w:t>
            </w:r>
          </w:p>
          <w:p w:rsidR="00000000" w:rsidRPr="00784DC0" w:rsidP="00784DC0">
            <w:pPr>
              <w:pStyle w:val="BodyText"/>
            </w:pPr>
            <w:r w:rsidRPr="00784DC0">
              <w:t>4.4 Develop and implement improvements to the WHSMS to achieve organisational WHS objectives</w:t>
            </w:r>
          </w:p>
          <w:p w:rsidR="00000000" w:rsidRPr="00784DC0" w:rsidP="00784DC0">
            <w:pPr>
              <w:pStyle w:val="BodyText"/>
            </w:pPr>
            <w:r w:rsidRPr="00784DC0">
              <w:t>4.5 Ensure compliance with the WHS legislative framework so</w:t>
            </w:r>
            <w:r w:rsidRPr="00784DC0">
              <w:t xml:space="preserve"> that, as a minimum, WHS legal requirements are achieved</w:t>
            </w:r>
          </w:p>
        </w:tc>
      </w:tr>
    </w:tbl>
    <w:p w:rsidR="00000000" w:rsidRPr="00784DC0" w:rsidP="00784DC0">
      <w:pPr>
        <w:pStyle w:val="BodyText"/>
      </w:pPr>
    </w:p>
    <w:p w:rsidR="00000000" w:rsidRPr="00784DC0" w:rsidP="00784DC0">
      <w:pPr>
        <w:pStyle w:val="AllowPageBreak"/>
      </w:pPr>
    </w:p>
    <w:p w:rsidR="00000000" w:rsidRPr="00784DC0" w:rsidP="00784DC0">
      <w:pPr>
        <w:pStyle w:val="Heading1"/>
      </w:pPr>
      <w:bookmarkStart w:id="9" w:name="O_510475"/>
      <w:bookmarkEnd w:id="9"/>
      <w:r w:rsidRPr="00784DC0">
        <w:t>Required Skills and Knowledge</w:t>
      </w:r>
    </w:p>
    <w:p w:rsidR="00000000" w:rsidRPr="00784DC0" w:rsidP="00784DC0">
      <w:pPr>
        <w:pStyle w:val="BodyText"/>
      </w:pPr>
      <w:r w:rsidRPr="00784DC0">
        <w:rPr>
          <w:rStyle w:val="Emphasis"/>
        </w:rPr>
        <w:t>This section describes the skills and knowledge required for this unit.</w:t>
      </w:r>
    </w:p>
    <w:p w:rsidR="00000000" w:rsidRPr="00784DC0" w:rsidP="00784DC0">
      <w:pPr>
        <w:pStyle w:val="BodyText"/>
      </w:pPr>
    </w:p>
    <w:p w:rsidR="00000000" w:rsidRPr="00784DC0" w:rsidP="00784DC0">
      <w:pPr>
        <w:pStyle w:val="BodyText"/>
      </w:pPr>
      <w:r w:rsidRPr="00784DC0">
        <w:rPr>
          <w:rStyle w:val="SpecialBold"/>
        </w:rPr>
        <w:t>Required skills</w:t>
      </w:r>
    </w:p>
    <w:p w:rsidR="00000000" w:rsidRPr="00784DC0" w:rsidP="00784DC0">
      <w:pPr>
        <w:pStyle w:val="BodyText"/>
      </w:pPr>
    </w:p>
    <w:p w:rsidR="00000000" w:rsidRPr="00784DC0" w:rsidP="00784DC0">
      <w:pPr>
        <w:pStyle w:val="ListBullet"/>
      </w:pPr>
      <w:r w:rsidRPr="00784DC0">
        <w:t>analytical and problem solving skills to examine relevant w</w:t>
      </w:r>
      <w:r w:rsidRPr="00784DC0">
        <w:t>orkplace information and data to identify hazards, and to assess and control risks</w:t>
      </w:r>
    </w:p>
    <w:p w:rsidR="00000000" w:rsidRPr="00784DC0" w:rsidP="00784DC0">
      <w:pPr>
        <w:pStyle w:val="ListBullet"/>
      </w:pPr>
      <w:r w:rsidRPr="00784DC0">
        <w:t>communication skills to consult with staff and to promote a safe workplace</w:t>
      </w:r>
    </w:p>
    <w:p w:rsidR="00000000" w:rsidRPr="00784DC0" w:rsidP="00784DC0">
      <w:pPr>
        <w:pStyle w:val="ListBullet"/>
      </w:pPr>
      <w:r w:rsidRPr="00784DC0">
        <w:t>information technology skills to store and retrieve relevant workplace information and data</w:t>
      </w:r>
    </w:p>
    <w:p w:rsidR="00000000" w:rsidRPr="00784DC0" w:rsidP="00784DC0">
      <w:pPr>
        <w:pStyle w:val="ListBullet"/>
      </w:pPr>
      <w:r w:rsidRPr="00784DC0">
        <w:t>literacy skills to adapt and communicate WHS policies that reflect WHS legislative requirements</w:t>
      </w:r>
    </w:p>
    <w:p w:rsidR="00000000" w:rsidRPr="00784DC0" w:rsidP="00784DC0">
      <w:pPr>
        <w:pStyle w:val="ListBullet"/>
      </w:pPr>
      <w:r w:rsidRPr="00784DC0">
        <w:t>problem-solving skills to deal with complex and non</w:t>
      </w:r>
      <w:r w:rsidRPr="00784DC0">
        <w:noBreakHyphen/>
        <w:t>routine difficulties.</w:t>
      </w:r>
    </w:p>
    <w:p w:rsidR="00000000" w:rsidRPr="00784DC0" w:rsidP="00784DC0">
      <w:pPr>
        <w:pStyle w:val="BodyText"/>
      </w:pPr>
    </w:p>
    <w:p w:rsidR="00000000" w:rsidRPr="00784DC0" w:rsidP="00784DC0">
      <w:pPr>
        <w:pStyle w:val="BodyText"/>
      </w:pPr>
      <w:r w:rsidRPr="00784DC0">
        <w:rPr>
          <w:rStyle w:val="SpecialBold"/>
        </w:rPr>
        <w:t>Required knowledge</w:t>
      </w:r>
    </w:p>
    <w:p w:rsidR="00000000" w:rsidRPr="00784DC0" w:rsidP="00784DC0">
      <w:pPr>
        <w:pStyle w:val="BodyText"/>
      </w:pPr>
    </w:p>
    <w:p w:rsidR="00000000" w:rsidRPr="00784DC0" w:rsidP="00784DC0">
      <w:pPr>
        <w:pStyle w:val="ListBullet"/>
      </w:pPr>
      <w:r w:rsidRPr="00784DC0">
        <w:t>hazard identification and risk-management processes</w:t>
      </w:r>
    </w:p>
    <w:p w:rsidR="00000000" w:rsidRPr="00784DC0" w:rsidP="00784DC0">
      <w:pPr>
        <w:pStyle w:val="ListBullet"/>
      </w:pPr>
      <w:r w:rsidRPr="00784DC0">
        <w:t>hierarchy of</w:t>
      </w:r>
      <w:r w:rsidRPr="00784DC0">
        <w:t xml:space="preserve"> risk control</w:t>
      </w:r>
    </w:p>
    <w:p w:rsidR="00000000" w:rsidRPr="00784DC0" w:rsidP="00784DC0">
      <w:pPr>
        <w:pStyle w:val="ListBullet"/>
      </w:pPr>
      <w:r w:rsidRPr="00784DC0">
        <w:t>in-house and WHS legislative reporting requirements</w:t>
      </w:r>
    </w:p>
    <w:p w:rsidR="00000000" w:rsidRPr="00784DC0" w:rsidP="00784DC0">
      <w:pPr>
        <w:pStyle w:val="ListBullet"/>
      </w:pPr>
      <w:r w:rsidRPr="00784DC0">
        <w:t>relevant WHS Acts, regulations and codes of practice that apply to the business operation.</w:t>
      </w:r>
    </w:p>
    <w:p w:rsidR="00000000" w:rsidRPr="00784DC0" w:rsidP="00784DC0">
      <w:pPr>
        <w:pStyle w:val="AllowPageBreak"/>
      </w:pPr>
    </w:p>
    <w:p w:rsidR="00000000" w:rsidRPr="00784DC0" w:rsidP="00784DC0">
      <w:pPr>
        <w:pStyle w:val="Heading1"/>
      </w:pPr>
      <w:bookmarkStart w:id="10" w:name="O_510476"/>
      <w:bookmarkEnd w:id="10"/>
      <w:r w:rsidRPr="00784DC0">
        <w:t>Evidence Guide</w:t>
      </w:r>
    </w:p>
    <w:p w:rsidR="00000000" w:rsidRPr="00784DC0" w:rsidP="00784DC0">
      <w:pPr>
        <w:pStyle w:val="BodyText"/>
      </w:pPr>
      <w:r w:rsidRPr="00784DC0">
        <w:rPr>
          <w:rStyle w:val="Emphasis"/>
        </w:rPr>
        <w:t>The evidence guide provides advice on assessment and must be read i</w:t>
      </w:r>
      <w:r w:rsidRPr="00784DC0">
        <w:rPr>
          <w:rStyle w:val="Emphasis"/>
        </w:rPr>
        <w:t>n conjunction with the performance criteria, required skills and knowledge, range statement and the Assessment Guidelines for the Training Package.</w:t>
      </w:r>
    </w:p>
    <w:p w:rsidR="00000000" w:rsidRPr="00784DC0" w:rsidP="00784DC0">
      <w:pPr>
        <w:pStyle w:val="BodyText"/>
      </w:pPr>
    </w:p>
    <w:tbl>
      <w:tblPr>
        <w:tblW w:w="0" w:type="auto"/>
        <w:tblLayout w:type="fixed"/>
        <w:tblCellMar>
          <w:left w:w="62" w:type="dxa"/>
          <w:right w:w="62" w:type="dxa"/>
        </w:tblCellMar>
        <w:tblLook w:val="0000"/>
      </w:tblPr>
      <w:tblGrid>
        <w:gridCol w:w="3557"/>
        <w:gridCol w:w="5443"/>
      </w:tblGrid>
      <w:tr w:rsidTr="00784DC0">
        <w:tblPrEx>
          <w:tblW w:w="0" w:type="auto"/>
          <w:tblLayout w:type="fixed"/>
          <w:tblCellMar>
            <w:left w:w="62" w:type="dxa"/>
            <w:right w:w="62" w:type="dxa"/>
          </w:tblCellMar>
          <w:tblLook w:val="0000"/>
        </w:tblPrEx>
        <w:tc>
          <w:tcPr>
            <w:tcW w:w="35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84DC0">
            <w:pPr>
              <w:pStyle w:val="BodyText"/>
              <w:rPr>
                <w:lang w:val="en-NZ"/>
              </w:rPr>
            </w:pPr>
            <w:r w:rsidRPr="00784DC0">
              <w:rPr>
                <w:rStyle w:val="SpecialBold"/>
              </w:rPr>
              <w:t>Overview of assessment</w:t>
            </w:r>
          </w:p>
        </w:tc>
        <w:tc>
          <w:tcPr>
            <w:tcW w:w="54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84DC0">
            <w:pPr>
              <w:pStyle w:val="BodyText"/>
              <w:rPr>
                <w:lang w:val="en-NZ"/>
              </w:rPr>
            </w:pPr>
          </w:p>
        </w:tc>
      </w:tr>
      <w:tr w:rsidTr="00784DC0">
        <w:tblPrEx>
          <w:tblW w:w="0" w:type="auto"/>
          <w:tblLayout w:type="fixed"/>
          <w:tblCellMar>
            <w:left w:w="62" w:type="dxa"/>
            <w:right w:w="62" w:type="dxa"/>
          </w:tblCellMar>
          <w:tblLook w:val="0000"/>
        </w:tblPrEx>
        <w:tc>
          <w:tcPr>
            <w:tcW w:w="35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84DC0">
            <w:pPr>
              <w:pStyle w:val="BodyText"/>
              <w:rPr>
                <w:lang w:val="en-NZ"/>
              </w:rPr>
            </w:pPr>
            <w:r w:rsidRPr="00784DC0">
              <w:rPr>
                <w:rStyle w:val="SpecialBold"/>
              </w:rPr>
              <w:t>Critical aspects for assessment and evidence required to demonstrate competency in this unit</w:t>
            </w:r>
          </w:p>
        </w:tc>
        <w:tc>
          <w:tcPr>
            <w:tcW w:w="54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84DC0" w:rsidP="00784DC0">
            <w:pPr>
              <w:pStyle w:val="BodyText"/>
            </w:pPr>
            <w:r w:rsidRPr="00784DC0">
              <w:t>Evidence of the following is essential:</w:t>
            </w:r>
          </w:p>
          <w:p w:rsidR="00000000" w:rsidRPr="00784DC0" w:rsidP="00784DC0">
            <w:pPr>
              <w:pStyle w:val="BodyText"/>
            </w:pPr>
          </w:p>
          <w:p w:rsidR="00000000" w:rsidRPr="00784DC0" w:rsidP="00784DC0">
            <w:pPr>
              <w:pStyle w:val="ListBullet"/>
            </w:pPr>
            <w:r w:rsidRPr="00784DC0">
              <w:t>detailed knowledge and application of all relevant WHS Acts, regulations and codes of practice</w:t>
            </w:r>
          </w:p>
          <w:p w:rsidR="00000000" w:rsidRPr="00784DC0" w:rsidP="00784DC0">
            <w:pPr>
              <w:pStyle w:val="ListBullet"/>
            </w:pPr>
            <w:r w:rsidRPr="00784DC0">
              <w:t>establishing and maintaini</w:t>
            </w:r>
            <w:r w:rsidRPr="00784DC0">
              <w:t>ng arrangements for managing WHS within the organisation's business systems and practices</w:t>
            </w:r>
          </w:p>
          <w:p w:rsidR="00000000" w:rsidP="00784DC0">
            <w:pPr>
              <w:pStyle w:val="ListBullet"/>
              <w:rPr>
                <w:lang w:val="en-NZ"/>
              </w:rPr>
            </w:pPr>
            <w:r w:rsidRPr="00784DC0">
              <w:t>identifying requirements for expert WHS advice.</w:t>
            </w:r>
          </w:p>
        </w:tc>
      </w:tr>
      <w:tr w:rsidTr="00784DC0">
        <w:tblPrEx>
          <w:tblW w:w="0" w:type="auto"/>
          <w:tblLayout w:type="fixed"/>
          <w:tblCellMar>
            <w:left w:w="62" w:type="dxa"/>
            <w:right w:w="62" w:type="dxa"/>
          </w:tblCellMar>
          <w:tblLook w:val="0000"/>
        </w:tblPrEx>
        <w:tc>
          <w:tcPr>
            <w:tcW w:w="35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84DC0">
            <w:pPr>
              <w:pStyle w:val="BodyText"/>
              <w:rPr>
                <w:lang w:val="en-NZ"/>
              </w:rPr>
            </w:pPr>
            <w:r w:rsidRPr="00784DC0">
              <w:rPr>
                <w:rStyle w:val="SpecialBold"/>
              </w:rPr>
              <w:t>Context of and specific resources for assessment</w:t>
            </w:r>
          </w:p>
        </w:tc>
        <w:tc>
          <w:tcPr>
            <w:tcW w:w="54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84DC0" w:rsidP="00784DC0">
            <w:pPr>
              <w:pStyle w:val="BodyText"/>
            </w:pPr>
            <w:r w:rsidRPr="00784DC0">
              <w:t>Assessment must ensure access to:</w:t>
            </w:r>
          </w:p>
          <w:p w:rsidR="00000000" w:rsidRPr="00784DC0" w:rsidP="00784DC0">
            <w:pPr>
              <w:pStyle w:val="BodyText"/>
            </w:pPr>
          </w:p>
          <w:p w:rsidR="00000000" w:rsidP="00784DC0">
            <w:pPr>
              <w:pStyle w:val="ListBullet"/>
              <w:rPr>
                <w:lang w:val="en-NZ"/>
              </w:rPr>
            </w:pPr>
            <w:r w:rsidRPr="00784DC0">
              <w:t>appropriate documentation and re</w:t>
            </w:r>
            <w:r w:rsidRPr="00784DC0">
              <w:t>sources normally used in the workplace.</w:t>
            </w:r>
          </w:p>
        </w:tc>
      </w:tr>
      <w:tr w:rsidTr="00784DC0">
        <w:tblPrEx>
          <w:tblW w:w="0" w:type="auto"/>
          <w:tblLayout w:type="fixed"/>
          <w:tblCellMar>
            <w:left w:w="62" w:type="dxa"/>
            <w:right w:w="62" w:type="dxa"/>
          </w:tblCellMar>
          <w:tblLook w:val="0000"/>
        </w:tblPrEx>
        <w:tc>
          <w:tcPr>
            <w:tcW w:w="35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84DC0">
            <w:pPr>
              <w:pStyle w:val="BodyText"/>
              <w:rPr>
                <w:lang w:val="en-NZ"/>
              </w:rPr>
            </w:pPr>
            <w:r w:rsidRPr="00784DC0">
              <w:rPr>
                <w:rStyle w:val="SpecialBold"/>
              </w:rPr>
              <w:t>Method of assessment</w:t>
            </w:r>
          </w:p>
        </w:tc>
        <w:tc>
          <w:tcPr>
            <w:tcW w:w="54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84DC0" w:rsidP="00784DC0">
            <w:pPr>
              <w:pStyle w:val="BodyText"/>
            </w:pPr>
            <w:r w:rsidRPr="00784DC0">
              <w:t>A range of assessment methods should be used to assess practical skills and knowledge. The following examples are appropriate for this unit:</w:t>
            </w:r>
          </w:p>
          <w:p w:rsidR="00000000" w:rsidRPr="00784DC0" w:rsidP="00784DC0">
            <w:pPr>
              <w:pStyle w:val="BodyText"/>
            </w:pPr>
          </w:p>
          <w:p w:rsidR="00000000" w:rsidRPr="00784DC0" w:rsidP="00784DC0">
            <w:pPr>
              <w:pStyle w:val="ListBullet"/>
            </w:pPr>
            <w:r w:rsidRPr="00784DC0">
              <w:t>analysis of responses to case studies and scenarios</w:t>
            </w:r>
          </w:p>
          <w:p w:rsidR="00000000" w:rsidRPr="00784DC0" w:rsidP="00784DC0">
            <w:pPr>
              <w:pStyle w:val="ListBullet"/>
            </w:pPr>
            <w:r w:rsidRPr="00784DC0">
              <w:t>assessment of written reports</w:t>
            </w:r>
          </w:p>
          <w:p w:rsidR="00000000" w:rsidRPr="00784DC0" w:rsidP="00784DC0">
            <w:pPr>
              <w:pStyle w:val="ListBullet"/>
            </w:pPr>
            <w:r w:rsidRPr="00784DC0">
              <w:t>demonstration of techniques</w:t>
            </w:r>
          </w:p>
          <w:p w:rsidR="00000000" w:rsidRPr="00784DC0" w:rsidP="00784DC0">
            <w:pPr>
              <w:pStyle w:val="ListBullet"/>
            </w:pPr>
            <w:r w:rsidRPr="00784DC0">
              <w:t>direct questioning combined with review of portfolios of evidence and third-party workplace reports of on-the-job performance by the candidate</w:t>
            </w:r>
          </w:p>
          <w:p w:rsidR="00000000" w:rsidRPr="00784DC0" w:rsidP="00784DC0">
            <w:pPr>
              <w:pStyle w:val="ListBullet"/>
            </w:pPr>
            <w:r w:rsidRPr="00784DC0">
              <w:t>review of WHS policies, information provided on the WH</w:t>
            </w:r>
            <w:r w:rsidRPr="00784DC0">
              <w:t>SMS, and information about the outcomes of participation and consultation provided to workers</w:t>
            </w:r>
          </w:p>
          <w:p w:rsidR="00000000" w:rsidRPr="00784DC0" w:rsidP="00784DC0">
            <w:pPr>
              <w:pStyle w:val="ListBullet"/>
            </w:pPr>
            <w:r w:rsidRPr="00784DC0">
              <w:t>oral or written questioning to assess knowledge of WHS and WHS legislation</w:t>
            </w:r>
          </w:p>
          <w:p w:rsidR="00000000" w:rsidRPr="00784DC0" w:rsidP="00784DC0">
            <w:pPr>
              <w:pStyle w:val="ListBullet"/>
            </w:pPr>
            <w:r w:rsidRPr="00784DC0">
              <w:t>evaluation of WHS induction and training</w:t>
            </w:r>
          </w:p>
          <w:p w:rsidR="00000000" w:rsidP="00784DC0">
            <w:pPr>
              <w:pStyle w:val="ListBullet"/>
              <w:rPr>
                <w:lang w:val="en-NZ"/>
              </w:rPr>
            </w:pPr>
            <w:r w:rsidRPr="00784DC0">
              <w:t>review of WHS recordkeeping system.</w:t>
            </w:r>
          </w:p>
        </w:tc>
      </w:tr>
      <w:tr w:rsidTr="00784DC0">
        <w:tblPrEx>
          <w:tblW w:w="0" w:type="auto"/>
          <w:tblLayout w:type="fixed"/>
          <w:tblCellMar>
            <w:left w:w="62" w:type="dxa"/>
            <w:right w:w="62" w:type="dxa"/>
          </w:tblCellMar>
          <w:tblLook w:val="0000"/>
        </w:tblPrEx>
        <w:tc>
          <w:tcPr>
            <w:tcW w:w="35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84DC0">
            <w:pPr>
              <w:pStyle w:val="BodyText"/>
              <w:rPr>
                <w:lang w:val="en-NZ"/>
              </w:rPr>
            </w:pPr>
            <w:r w:rsidRPr="00784DC0">
              <w:rPr>
                <w:rStyle w:val="SpecialBold"/>
              </w:rPr>
              <w:t xml:space="preserve">Guidance </w:t>
            </w:r>
            <w:r w:rsidRPr="00784DC0">
              <w:rPr>
                <w:rStyle w:val="SpecialBold"/>
              </w:rPr>
              <w:t>information for assessment</w:t>
            </w:r>
          </w:p>
        </w:tc>
        <w:tc>
          <w:tcPr>
            <w:tcW w:w="54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84DC0" w:rsidP="00784DC0">
            <w:pPr>
              <w:pStyle w:val="BodyText"/>
            </w:pPr>
            <w:r w:rsidRPr="00784DC0">
              <w:t>Holistic assessment with other units relevant to the industry sector, workplace and job role is recommended.</w:t>
            </w:r>
          </w:p>
        </w:tc>
      </w:tr>
    </w:tbl>
    <w:p w:rsidR="00000000" w:rsidRPr="00784DC0" w:rsidP="00784DC0">
      <w:pPr>
        <w:pStyle w:val="BodyText"/>
      </w:pPr>
    </w:p>
    <w:p w:rsidR="00000000" w:rsidRPr="00784DC0" w:rsidP="00784DC0">
      <w:pPr>
        <w:pStyle w:val="AllowPageBreak"/>
      </w:pPr>
    </w:p>
    <w:p w:rsidR="00000000" w:rsidRPr="00784DC0" w:rsidP="00784DC0">
      <w:pPr>
        <w:pStyle w:val="Heading1"/>
      </w:pPr>
      <w:bookmarkStart w:id="11" w:name="O_510477"/>
      <w:bookmarkEnd w:id="11"/>
      <w:r w:rsidRPr="00784DC0">
        <w:t>Range Statement</w:t>
      </w:r>
    </w:p>
    <w:p w:rsidR="00000000" w:rsidRPr="00784DC0" w:rsidP="00784DC0">
      <w:pPr>
        <w:pStyle w:val="BodyText"/>
      </w:pPr>
      <w:r w:rsidRPr="00784DC0">
        <w:rPr>
          <w:rStyle w:val="Emphasis"/>
        </w:rPr>
        <w:t>The range statement relates to the unit of competency as a whole. It allows for different work environments and situations that may affect performance. Bold italicised wording, if used in the performance criteria, is detailed below. Essential operating con</w:t>
      </w:r>
      <w:r w:rsidRPr="00784DC0">
        <w:rPr>
          <w:rStyle w:val="Emphasis"/>
        </w:rPr>
        <w:t>ditions that may be present with training and assessment (depending on the work situation, needs of the candidate, accessibility of the item, and local industry and regional contexts) may also be included.</w:t>
      </w:r>
    </w:p>
    <w:p w:rsidR="00000000" w:rsidRPr="00784DC0" w:rsidP="00784DC0">
      <w:pPr>
        <w:pStyle w:val="BodyText"/>
      </w:pPr>
    </w:p>
    <w:tbl>
      <w:tblPr>
        <w:tblW w:w="0" w:type="auto"/>
        <w:tblLayout w:type="fixed"/>
        <w:tblCellMar>
          <w:left w:w="62" w:type="dxa"/>
          <w:right w:w="62" w:type="dxa"/>
        </w:tblCellMar>
        <w:tblLook w:val="0000"/>
      </w:tblPr>
      <w:tblGrid>
        <w:gridCol w:w="3543"/>
        <w:gridCol w:w="5457"/>
      </w:tblGrid>
      <w:tr w:rsidTr="00784DC0">
        <w:tblPrEx>
          <w:tblW w:w="0" w:type="auto"/>
          <w:tblLayout w:type="fixed"/>
          <w:tblCellMar>
            <w:left w:w="62" w:type="dxa"/>
            <w:right w:w="62" w:type="dxa"/>
          </w:tblCellMar>
          <w:tblLook w:val="0000"/>
        </w:tblPrEx>
        <w:tc>
          <w:tcPr>
            <w:tcW w:w="35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84DC0">
            <w:pPr>
              <w:pStyle w:val="BodyText"/>
              <w:rPr>
                <w:lang w:val="en-NZ"/>
              </w:rPr>
            </w:pPr>
            <w:r w:rsidRPr="00784DC0">
              <w:rPr>
                <w:rStyle w:val="BoldandItalics"/>
              </w:rPr>
              <w:t xml:space="preserve">WHS legislation </w:t>
            </w:r>
            <w:r w:rsidRPr="00784DC0">
              <w:t>may include:</w:t>
            </w:r>
          </w:p>
        </w:tc>
        <w:tc>
          <w:tcPr>
            <w:tcW w:w="54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84DC0" w:rsidP="00784DC0">
            <w:pPr>
              <w:pStyle w:val="ListBullet"/>
            </w:pPr>
            <w:r w:rsidRPr="00784DC0">
              <w:t>applicable commonwe</w:t>
            </w:r>
            <w:r w:rsidRPr="00784DC0">
              <w:t>alth and state or territory WHS Acts, regulations and codes of practice</w:t>
            </w:r>
          </w:p>
          <w:p w:rsidR="00000000" w:rsidRPr="00784DC0" w:rsidP="00784DC0">
            <w:pPr>
              <w:pStyle w:val="ListBullet"/>
            </w:pPr>
            <w:r w:rsidRPr="00784DC0">
              <w:t>common law duties to meet general duty of care requirements</w:t>
            </w:r>
          </w:p>
          <w:p w:rsidR="00000000" w:rsidRPr="00784DC0" w:rsidP="00784DC0">
            <w:pPr>
              <w:pStyle w:val="ListBullet"/>
            </w:pPr>
            <w:r w:rsidRPr="00784DC0">
              <w:t>WHS legislative and regulatory requirements for:</w:t>
            </w:r>
          </w:p>
          <w:p w:rsidR="00000000" w:rsidRPr="00784DC0" w:rsidP="00784DC0">
            <w:pPr>
              <w:pStyle w:val="ListBullet2"/>
            </w:pPr>
            <w:r w:rsidRPr="00784DC0">
              <w:t>effectively managing hazards</w:t>
            </w:r>
          </w:p>
          <w:p w:rsidR="00000000" w:rsidRPr="00784DC0" w:rsidP="00784DC0">
            <w:pPr>
              <w:pStyle w:val="ListBullet2"/>
            </w:pPr>
            <w:r w:rsidRPr="00784DC0">
              <w:t>establishing consultation arrangements, inclu</w:t>
            </w:r>
            <w:r w:rsidRPr="00784DC0">
              <w:t>ding those for health and safety representatives and health and safety committees</w:t>
            </w:r>
          </w:p>
          <w:p w:rsidR="00000000" w:rsidRPr="00784DC0" w:rsidP="00784DC0">
            <w:pPr>
              <w:pStyle w:val="ListBullet2"/>
            </w:pPr>
            <w:r w:rsidRPr="00784DC0">
              <w:t>providing information and training, including training in safe operating procedures; procedures for workplace hazards; hazard identification, risk assessment and risk control</w:t>
            </w:r>
            <w:r w:rsidRPr="00784DC0">
              <w:t>; and emergency and evacuation procedures</w:t>
            </w:r>
          </w:p>
          <w:p w:rsidR="00000000" w:rsidP="00784DC0">
            <w:pPr>
              <w:pStyle w:val="ListBullet"/>
              <w:rPr>
                <w:lang w:val="en-NZ"/>
              </w:rPr>
            </w:pPr>
            <w:r w:rsidRPr="00784DC0">
              <w:t>WHS legislative, regulatory and other requirements for the maintenance and confidentiality of records of occupational injury and disease.</w:t>
            </w:r>
          </w:p>
        </w:tc>
      </w:tr>
      <w:tr w:rsidTr="00784DC0">
        <w:tblPrEx>
          <w:tblW w:w="0" w:type="auto"/>
          <w:tblLayout w:type="fixed"/>
          <w:tblCellMar>
            <w:left w:w="62" w:type="dxa"/>
            <w:right w:w="62" w:type="dxa"/>
          </w:tblCellMar>
          <w:tblLook w:val="0000"/>
        </w:tblPrEx>
        <w:trPr>
          <w:trHeight w:val="1575"/>
        </w:trPr>
        <w:tc>
          <w:tcPr>
            <w:tcW w:w="35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84DC0">
            <w:pPr>
              <w:pStyle w:val="BodyText"/>
              <w:rPr>
                <w:lang w:val="en-NZ"/>
              </w:rPr>
            </w:pPr>
            <w:r w:rsidRPr="00784DC0">
              <w:rPr>
                <w:rStyle w:val="BoldandItalics"/>
              </w:rPr>
              <w:t xml:space="preserve">Duty holders </w:t>
            </w:r>
            <w:r w:rsidRPr="00784DC0">
              <w:t>may include:</w:t>
            </w:r>
          </w:p>
        </w:tc>
        <w:tc>
          <w:tcPr>
            <w:tcW w:w="54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84DC0" w:rsidP="00784DC0">
            <w:pPr>
              <w:pStyle w:val="ListBullet"/>
            </w:pPr>
            <w:r w:rsidRPr="00784DC0">
              <w:t>as specified in WHS Acts:</w:t>
            </w:r>
          </w:p>
          <w:p w:rsidR="00000000" w:rsidRPr="00784DC0" w:rsidP="00784DC0">
            <w:pPr>
              <w:pStyle w:val="ListBullet2"/>
            </w:pPr>
            <w:r w:rsidRPr="00784DC0">
              <w:t>officers</w:t>
            </w:r>
          </w:p>
          <w:p w:rsidR="00000000" w:rsidRPr="00784DC0" w:rsidP="00784DC0">
            <w:pPr>
              <w:pStyle w:val="ListBullet2"/>
            </w:pPr>
            <w:r w:rsidRPr="00784DC0">
              <w:t>PCBUs or their officers</w:t>
            </w:r>
          </w:p>
          <w:p w:rsidR="00000000" w:rsidRPr="00784DC0" w:rsidP="00784DC0">
            <w:pPr>
              <w:pStyle w:val="ListBullet2"/>
            </w:pPr>
            <w:r w:rsidRPr="00784DC0">
              <w:t>workers</w:t>
            </w:r>
          </w:p>
          <w:p w:rsidR="00000000" w:rsidP="00784DC0">
            <w:pPr>
              <w:pStyle w:val="ListBullet2"/>
              <w:rPr>
                <w:lang w:val="en-NZ"/>
              </w:rPr>
            </w:pPr>
            <w:r w:rsidRPr="00784DC0">
              <w:t>other persons at a workplace.</w:t>
            </w:r>
          </w:p>
        </w:tc>
      </w:tr>
      <w:tr w:rsidTr="00784DC0">
        <w:tblPrEx>
          <w:tblW w:w="0" w:type="auto"/>
          <w:tblLayout w:type="fixed"/>
          <w:tblCellMar>
            <w:left w:w="62" w:type="dxa"/>
            <w:right w:w="62" w:type="dxa"/>
          </w:tblCellMar>
          <w:tblLook w:val="0000"/>
        </w:tblPrEx>
        <w:tc>
          <w:tcPr>
            <w:tcW w:w="35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84DC0">
            <w:pPr>
              <w:pStyle w:val="BodyText"/>
              <w:rPr>
                <w:lang w:val="en-NZ"/>
              </w:rPr>
            </w:pPr>
            <w:r w:rsidRPr="00784DC0">
              <w:rPr>
                <w:rStyle w:val="BoldandItalics"/>
              </w:rPr>
              <w:t xml:space="preserve">Control of associated risks </w:t>
            </w:r>
            <w:r w:rsidRPr="00784DC0">
              <w:t>may include:</w:t>
            </w:r>
          </w:p>
        </w:tc>
        <w:tc>
          <w:tcPr>
            <w:tcW w:w="54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84DC0" w:rsidP="00784DC0">
            <w:pPr>
              <w:pStyle w:val="ListBullet"/>
            </w:pPr>
            <w:r w:rsidRPr="00784DC0">
              <w:t>administrative</w:t>
            </w:r>
          </w:p>
          <w:p w:rsidR="00000000" w:rsidRPr="00784DC0" w:rsidP="00784DC0">
            <w:pPr>
              <w:pStyle w:val="ListBullet"/>
            </w:pPr>
            <w:r w:rsidRPr="00784DC0">
              <w:t>as specified in WHS Acts, regulations and codes of practice</w:t>
            </w:r>
          </w:p>
          <w:p w:rsidR="00000000" w:rsidRPr="00784DC0" w:rsidP="00784DC0">
            <w:pPr>
              <w:pStyle w:val="ListBullet"/>
            </w:pPr>
            <w:r w:rsidRPr="00784DC0">
              <w:t>co</w:t>
            </w:r>
            <w:r w:rsidRPr="00784DC0">
              <w:t>unselling/disciplinary processes, such as those associated with alcohol and other drugs</w:t>
            </w:r>
          </w:p>
          <w:p w:rsidR="00000000" w:rsidRPr="00784DC0" w:rsidP="00784DC0">
            <w:pPr>
              <w:pStyle w:val="ListBullet"/>
            </w:pPr>
            <w:r w:rsidRPr="00784DC0">
              <w:t>education about alcohol and other drugs work-related issues</w:t>
            </w:r>
          </w:p>
          <w:p w:rsidR="00000000" w:rsidRPr="00784DC0" w:rsidP="00784DC0">
            <w:pPr>
              <w:pStyle w:val="ListBullet"/>
            </w:pPr>
            <w:r w:rsidRPr="00784DC0">
              <w:t>engineering</w:t>
            </w:r>
          </w:p>
          <w:p w:rsidR="00000000" w:rsidRPr="00784DC0" w:rsidP="00784DC0">
            <w:pPr>
              <w:pStyle w:val="ListBullet"/>
            </w:pPr>
            <w:r w:rsidRPr="00784DC0">
              <w:t>hazard elimination</w:t>
            </w:r>
          </w:p>
          <w:p w:rsidR="00000000" w:rsidRPr="00784DC0" w:rsidP="00784DC0">
            <w:pPr>
              <w:pStyle w:val="ListBullet"/>
            </w:pPr>
            <w:r w:rsidRPr="00784DC0">
              <w:t>housekeeping and storage</w:t>
            </w:r>
          </w:p>
          <w:p w:rsidR="00000000" w:rsidRPr="00784DC0" w:rsidP="00784DC0">
            <w:pPr>
              <w:pStyle w:val="ListBullet"/>
            </w:pPr>
            <w:r w:rsidRPr="00784DC0">
              <w:t>issue resolution</w:t>
            </w:r>
          </w:p>
          <w:p w:rsidR="00000000" w:rsidRPr="00784DC0" w:rsidP="00784DC0">
            <w:pPr>
              <w:pStyle w:val="ListBullet"/>
            </w:pPr>
            <w:r w:rsidRPr="00784DC0">
              <w:t>personal protective equipment</w:t>
            </w:r>
          </w:p>
          <w:p w:rsidR="00000000" w:rsidRPr="00784DC0" w:rsidP="00784DC0">
            <w:pPr>
              <w:pStyle w:val="ListBullet"/>
            </w:pPr>
            <w:r w:rsidRPr="00784DC0">
              <w:t>purchasing of supplies and equipment</w:t>
            </w:r>
          </w:p>
          <w:p w:rsidR="00000000" w:rsidP="00784DC0">
            <w:pPr>
              <w:pStyle w:val="ListBullet"/>
              <w:rPr>
                <w:lang w:val="en-NZ"/>
              </w:rPr>
            </w:pPr>
            <w:r w:rsidRPr="00784DC0">
              <w:t>workplace inspections, including plant and equipment.</w:t>
            </w:r>
          </w:p>
        </w:tc>
      </w:tr>
      <w:tr w:rsidTr="00784DC0">
        <w:tblPrEx>
          <w:tblW w:w="0" w:type="auto"/>
          <w:tblLayout w:type="fixed"/>
          <w:tblCellMar>
            <w:left w:w="62" w:type="dxa"/>
            <w:right w:w="62" w:type="dxa"/>
          </w:tblCellMar>
          <w:tblLook w:val="0000"/>
        </w:tblPrEx>
        <w:tc>
          <w:tcPr>
            <w:tcW w:w="35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84DC0">
            <w:pPr>
              <w:pStyle w:val="BodyText"/>
              <w:rPr>
                <w:lang w:val="en-NZ"/>
              </w:rPr>
            </w:pPr>
            <w:r w:rsidRPr="00784DC0">
              <w:rPr>
                <w:rStyle w:val="BoldandItalics"/>
              </w:rPr>
              <w:t xml:space="preserve">WHS recordkeeping </w:t>
            </w:r>
            <w:r w:rsidRPr="00784DC0">
              <w:t>may relate to:</w:t>
            </w:r>
          </w:p>
        </w:tc>
        <w:tc>
          <w:tcPr>
            <w:tcW w:w="54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84DC0" w:rsidP="00784DC0">
            <w:pPr>
              <w:pStyle w:val="ListBullet"/>
            </w:pPr>
            <w:r w:rsidRPr="00784DC0">
              <w:t>audit and inspection reports</w:t>
            </w:r>
          </w:p>
          <w:p w:rsidR="00000000" w:rsidRPr="00784DC0" w:rsidP="00784DC0">
            <w:pPr>
              <w:pStyle w:val="ListBullet"/>
            </w:pPr>
            <w:r w:rsidRPr="00784DC0">
              <w:t>consultation, such as:</w:t>
            </w:r>
          </w:p>
          <w:p w:rsidR="00000000" w:rsidRPr="00784DC0" w:rsidP="00784DC0">
            <w:pPr>
              <w:pStyle w:val="ListBullet2"/>
            </w:pPr>
            <w:r w:rsidRPr="00784DC0">
              <w:t>meetings of health and safety committees</w:t>
            </w:r>
          </w:p>
          <w:p w:rsidR="00000000" w:rsidRPr="00784DC0" w:rsidP="00784DC0">
            <w:pPr>
              <w:pStyle w:val="ListBullet2"/>
            </w:pPr>
            <w:r w:rsidRPr="00784DC0">
              <w:t>work team meeting agendas, including WHS items and actions</w:t>
            </w:r>
          </w:p>
          <w:p w:rsidR="00000000" w:rsidRPr="00784DC0" w:rsidP="00784DC0">
            <w:pPr>
              <w:pStyle w:val="ListBullet"/>
            </w:pPr>
            <w:r w:rsidRPr="00784DC0">
              <w:t>first aid/medical post records</w:t>
            </w:r>
          </w:p>
          <w:p w:rsidR="00000000" w:rsidRPr="00784DC0" w:rsidP="00784DC0">
            <w:pPr>
              <w:pStyle w:val="ListBullet"/>
            </w:pPr>
            <w:r w:rsidRPr="00784DC0">
              <w:t>hazardous chemicals registers</w:t>
            </w:r>
          </w:p>
          <w:p w:rsidR="00000000" w:rsidRPr="00784DC0" w:rsidP="00784DC0">
            <w:pPr>
              <w:pStyle w:val="ListBullet"/>
            </w:pPr>
            <w:r w:rsidRPr="00784DC0">
              <w:t>induction, instruction and training</w:t>
            </w:r>
          </w:p>
          <w:p w:rsidR="00000000" w:rsidRPr="00784DC0" w:rsidP="00784DC0">
            <w:pPr>
              <w:pStyle w:val="ListBullet"/>
            </w:pPr>
            <w:r w:rsidRPr="00784DC0">
              <w:t>manufacturer and supplier information, including dangerous goods storage lists</w:t>
            </w:r>
          </w:p>
          <w:p w:rsidR="00000000" w:rsidRPr="00784DC0" w:rsidP="00784DC0">
            <w:pPr>
              <w:pStyle w:val="ListBullet"/>
            </w:pPr>
            <w:r w:rsidRPr="00784DC0">
              <w:t xml:space="preserve">plant and equipment </w:t>
            </w:r>
            <w:r w:rsidRPr="00784DC0">
              <w:t>maintenance and testing reports</w:t>
            </w:r>
          </w:p>
          <w:p w:rsidR="00000000" w:rsidRPr="00784DC0" w:rsidP="00784DC0">
            <w:pPr>
              <w:pStyle w:val="ListBullet"/>
            </w:pPr>
            <w:r w:rsidRPr="00784DC0">
              <w:t>workers’ compensation and rehabilitation records</w:t>
            </w:r>
          </w:p>
          <w:p w:rsidR="00000000" w:rsidRPr="00784DC0" w:rsidP="00784DC0">
            <w:pPr>
              <w:pStyle w:val="ListBullet"/>
            </w:pPr>
            <w:r w:rsidRPr="00784DC0">
              <w:t>workplace environmental monitoring records.</w:t>
            </w:r>
          </w:p>
        </w:tc>
      </w:tr>
    </w:tbl>
    <w:p w:rsidR="00000000" w:rsidRPr="00784DC0" w:rsidP="00784DC0">
      <w:pPr>
        <w:pStyle w:val="BodyText"/>
      </w:pPr>
    </w:p>
    <w:p w:rsidR="00000000" w:rsidRPr="00784DC0" w:rsidP="00784DC0">
      <w:pPr>
        <w:pStyle w:val="AllowPageBreak"/>
      </w:pPr>
    </w:p>
    <w:p w:rsidR="00000000" w:rsidRPr="00784DC0" w:rsidP="00784DC0">
      <w:pPr>
        <w:pStyle w:val="Heading1"/>
      </w:pPr>
      <w:bookmarkStart w:id="12" w:name="O_510478"/>
      <w:bookmarkEnd w:id="12"/>
      <w:r w:rsidRPr="00784DC0">
        <w:t>Unit Sector(s)</w:t>
      </w:r>
    </w:p>
    <w:p w:rsidR="00000000" w:rsidRPr="00784DC0" w:rsidP="00784DC0">
      <w:pPr>
        <w:pStyle w:val="BodyText"/>
      </w:pPr>
      <w:r w:rsidRPr="00784DC0">
        <w:t>Regulation, Licensing and Risk – Work Health and Safety</w:t>
      </w:r>
    </w:p>
    <w:p w:rsidR="00000000" w:rsidRPr="00784DC0" w:rsidP="00784DC0"/>
    <w:sectPr w:rsidSect="00784DC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4DC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4DC0" w:rsidRPr="00B70FCF" w:rsidP="00B70FC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4DC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0FCF" w:rsidP="00784DC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B70FCF" w:rsidP="00784DC0">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B70FCF" w:rsidP="00784DC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4DC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4DC0" w:rsidRPr="00B70FCF" w:rsidP="00B70FCF">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4DC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0FCF" w:rsidRPr="002D2AF8" w:rsidP="00784DC0">
    <w:pPr>
      <w:pStyle w:val="Header"/>
      <w:framePr w:wrap="around"/>
    </w:pPr>
    <w:r>
      <w:fldChar w:fldCharType="begin"/>
    </w:r>
    <w:r>
      <w:instrText xml:space="preserve"> TITLE   \* MERGEFORMAT </w:instrText>
    </w:r>
    <w:r>
      <w:fldChar w:fldCharType="separate"/>
    </w:r>
    <w:r>
      <w:t>BSBWHS501A Ensure a safe workplace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18/12/2012</w:t>
    </w:r>
    <w:r>
      <w:fldChar w:fldCharType="end"/>
    </w:r>
  </w:p>
  <w:p w:rsidR="00B70FCF" w:rsidP="00784DC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294ACF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5EE091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CCC40A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84DC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84DC0"/>
    <w:pPr>
      <w:spacing w:before="360" w:after="60"/>
      <w:outlineLvl w:val="0"/>
    </w:pPr>
    <w:rPr>
      <w:sz w:val="32"/>
    </w:rPr>
  </w:style>
  <w:style w:type="paragraph" w:styleId="Heading2">
    <w:name w:val="heading 2"/>
    <w:basedOn w:val="HeadingBase"/>
    <w:next w:val="BodyText"/>
    <w:link w:val="Heading2Char"/>
    <w:qFormat/>
    <w:rsid w:val="00784DC0"/>
    <w:pPr>
      <w:keepLines/>
      <w:spacing w:before="240" w:after="120"/>
      <w:outlineLvl w:val="1"/>
    </w:pPr>
    <w:rPr>
      <w:sz w:val="28"/>
      <w:szCs w:val="40"/>
    </w:rPr>
  </w:style>
  <w:style w:type="paragraph" w:styleId="Heading3">
    <w:name w:val="heading 3"/>
    <w:basedOn w:val="HeadingBase"/>
    <w:next w:val="BodyText"/>
    <w:link w:val="Heading3Char"/>
    <w:qFormat/>
    <w:rsid w:val="00784DC0"/>
    <w:pPr>
      <w:spacing w:before="180" w:after="120"/>
      <w:outlineLvl w:val="2"/>
    </w:pPr>
    <w:rPr>
      <w:spacing w:val="-10"/>
      <w:kern w:val="32"/>
    </w:rPr>
  </w:style>
  <w:style w:type="paragraph" w:styleId="Heading4">
    <w:name w:val="heading 4"/>
    <w:basedOn w:val="HeadingBase"/>
    <w:next w:val="BodyText"/>
    <w:link w:val="Heading4Char"/>
    <w:qFormat/>
    <w:rsid w:val="00784DC0"/>
    <w:pPr>
      <w:spacing w:before="160" w:after="120"/>
      <w:outlineLvl w:val="3"/>
    </w:pPr>
    <w:rPr>
      <w:sz w:val="22"/>
    </w:rPr>
  </w:style>
  <w:style w:type="paragraph" w:styleId="Heading5">
    <w:name w:val="heading 5"/>
    <w:basedOn w:val="HeadingBase"/>
    <w:next w:val="Normal"/>
    <w:link w:val="Heading5Char"/>
    <w:qFormat/>
    <w:rsid w:val="00784DC0"/>
    <w:pPr>
      <w:spacing w:before="80"/>
      <w:outlineLvl w:val="4"/>
    </w:pPr>
    <w:rPr>
      <w:color w:val="918585"/>
      <w:sz w:val="20"/>
    </w:rPr>
  </w:style>
  <w:style w:type="paragraph" w:styleId="Heading6">
    <w:name w:val="heading 6"/>
    <w:basedOn w:val="HeadingBase"/>
    <w:next w:val="Normal"/>
    <w:link w:val="Heading6Char"/>
    <w:qFormat/>
    <w:rsid w:val="00784DC0"/>
    <w:pPr>
      <w:spacing w:before="60"/>
      <w:outlineLvl w:val="5"/>
    </w:pPr>
    <w:rPr>
      <w:color w:val="918585"/>
      <w:sz w:val="20"/>
    </w:rPr>
  </w:style>
  <w:style w:type="paragraph" w:styleId="Heading7">
    <w:name w:val="heading 7"/>
    <w:basedOn w:val="Normal"/>
    <w:next w:val="Normal"/>
    <w:link w:val="Heading7Char"/>
    <w:qFormat/>
    <w:rsid w:val="00784DC0"/>
    <w:pPr>
      <w:ind w:left="720"/>
      <w:outlineLvl w:val="6"/>
    </w:pPr>
    <w:rPr>
      <w:i/>
    </w:rPr>
  </w:style>
  <w:style w:type="paragraph" w:styleId="Heading8">
    <w:name w:val="heading 8"/>
    <w:basedOn w:val="Normal"/>
    <w:next w:val="Normal"/>
    <w:link w:val="Heading8Char"/>
    <w:qFormat/>
    <w:rsid w:val="00784DC0"/>
    <w:pPr>
      <w:ind w:left="720"/>
      <w:outlineLvl w:val="7"/>
    </w:pPr>
    <w:rPr>
      <w:i/>
    </w:rPr>
  </w:style>
  <w:style w:type="paragraph" w:styleId="Heading9">
    <w:name w:val="heading 9"/>
    <w:basedOn w:val="Normal"/>
    <w:next w:val="Normal"/>
    <w:link w:val="Heading9Char"/>
    <w:qFormat/>
    <w:rsid w:val="00784DC0"/>
    <w:pPr>
      <w:ind w:left="720"/>
      <w:outlineLvl w:val="8"/>
    </w:pPr>
    <w:rPr>
      <w:i/>
    </w:rPr>
  </w:style>
  <w:style w:type="character" w:default="1" w:styleId="DefaultParagraphFont">
    <w:name w:val="Default Paragraph Font"/>
    <w:uiPriority w:val="1"/>
    <w:unhideWhenUsed/>
    <w:rsid w:val="00784DC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84DC0"/>
  </w:style>
  <w:style w:type="character" w:customStyle="1" w:styleId="Heading1Char">
    <w:name w:val="Heading 1 Char"/>
    <w:basedOn w:val="DefaultParagraphFont"/>
    <w:link w:val="Heading1"/>
    <w:rsid w:val="00784DC0"/>
    <w:rPr>
      <w:rFonts w:ascii="Times New Roman" w:eastAsia="Times New Roman" w:hAnsi="Times New Roman" w:cs="Times New Roman"/>
      <w:b/>
      <w:sz w:val="32"/>
      <w:szCs w:val="20"/>
      <w:lang w:eastAsia="en-US"/>
    </w:rPr>
  </w:style>
  <w:style w:type="paragraph" w:styleId="BodyText">
    <w:name w:val="Body Text"/>
    <w:basedOn w:val="Normal"/>
    <w:link w:val="BodyTextChar"/>
    <w:rsid w:val="00784DC0"/>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784DC0"/>
    <w:rPr>
      <w:rFonts w:ascii="Times New Roman" w:eastAsia="Times New Roman" w:hAnsi="Times New Roman" w:cs="Times New Roman"/>
      <w:sz w:val="24"/>
      <w:lang w:eastAsia="en-US"/>
    </w:rPr>
  </w:style>
  <w:style w:type="paragraph" w:styleId="ListBullet">
    <w:name w:val="List Bullet"/>
    <w:basedOn w:val="List"/>
    <w:rsid w:val="00784DC0"/>
    <w:pPr>
      <w:numPr>
        <w:numId w:val="13"/>
      </w:numPr>
      <w:tabs>
        <w:tab w:val="clear" w:pos="340"/>
      </w:tabs>
      <w:spacing w:before="40" w:after="40"/>
    </w:pPr>
  </w:style>
  <w:style w:type="character" w:customStyle="1" w:styleId="SpecialBold">
    <w:name w:val="Special Bold"/>
    <w:basedOn w:val="DefaultParagraphFont"/>
    <w:rsid w:val="00784DC0"/>
    <w:rPr>
      <w:b/>
      <w:spacing w:val="0"/>
    </w:rPr>
  </w:style>
  <w:style w:type="paragraph" w:styleId="ListBullet2">
    <w:name w:val="List Bullet 2"/>
    <w:basedOn w:val="List2"/>
    <w:rsid w:val="00784DC0"/>
    <w:pPr>
      <w:numPr>
        <w:numId w:val="14"/>
      </w:numPr>
      <w:tabs>
        <w:tab w:val="clear" w:pos="680"/>
      </w:tabs>
    </w:pPr>
  </w:style>
  <w:style w:type="character" w:styleId="Emphasis">
    <w:name w:val="Emphasis"/>
    <w:basedOn w:val="DefaultParagraphFont"/>
    <w:qFormat/>
    <w:rsid w:val="00784DC0"/>
    <w:rPr>
      <w:i/>
    </w:rPr>
  </w:style>
  <w:style w:type="paragraph" w:customStyle="1" w:styleId="SuperHeading">
    <w:name w:val="SuperHeading"/>
    <w:basedOn w:val="Normal"/>
    <w:rsid w:val="00784DC0"/>
    <w:pPr>
      <w:spacing w:before="240" w:after="120"/>
      <w:outlineLvl w:val="0"/>
    </w:pPr>
    <w:rPr>
      <w:rFonts w:ascii="Times New Roman" w:hAnsi="Times New Roman"/>
      <w:b/>
      <w:sz w:val="32"/>
    </w:rPr>
  </w:style>
  <w:style w:type="paragraph" w:customStyle="1" w:styleId="AllowPageBreak">
    <w:name w:val="AllowPageBreak"/>
    <w:rsid w:val="00784DC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784DC0"/>
    <w:rPr>
      <w:b/>
      <w:i/>
      <w:u w:val="none"/>
    </w:rPr>
  </w:style>
  <w:style w:type="character" w:customStyle="1" w:styleId="Heading2Char">
    <w:name w:val="Heading 2 Char"/>
    <w:basedOn w:val="DefaultParagraphFont"/>
    <w:link w:val="Heading2"/>
    <w:rsid w:val="00784DC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84DC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84DC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84DC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84DC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84DC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84DC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84DC0"/>
    <w:rPr>
      <w:rFonts w:ascii="Courier New" w:eastAsia="Times New Roman" w:hAnsi="Courier New" w:cs="Times New Roman"/>
      <w:i/>
      <w:szCs w:val="20"/>
      <w:lang w:eastAsia="en-US"/>
    </w:rPr>
  </w:style>
  <w:style w:type="paragraph" w:customStyle="1" w:styleId="HeadingBase">
    <w:name w:val="Heading Base"/>
    <w:rsid w:val="00784DC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84DC0"/>
    <w:pPr>
      <w:tabs>
        <w:tab w:val="right" w:leader="dot" w:pos="9072"/>
      </w:tabs>
      <w:ind w:left="567"/>
    </w:pPr>
    <w:rPr>
      <w:szCs w:val="22"/>
    </w:rPr>
  </w:style>
  <w:style w:type="paragraph" w:customStyle="1" w:styleId="TOCBase">
    <w:name w:val="TOC Base"/>
    <w:rsid w:val="00784DC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84DC0"/>
    <w:pPr>
      <w:tabs>
        <w:tab w:val="right" w:leader="dot" w:pos="9072"/>
      </w:tabs>
      <w:spacing w:before="40" w:after="40"/>
      <w:ind w:left="284"/>
    </w:pPr>
    <w:rPr>
      <w:rFonts w:ascii="Times New Roman" w:hAnsi="Times New Roman"/>
    </w:rPr>
  </w:style>
  <w:style w:type="paragraph" w:styleId="TOC1">
    <w:name w:val="toc 1"/>
    <w:basedOn w:val="TOCBase"/>
    <w:next w:val="Normal"/>
    <w:rsid w:val="00784DC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84DC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84DC0"/>
    <w:rPr>
      <w:rFonts w:ascii="Times New Roman" w:eastAsia="Times New Roman" w:hAnsi="Times New Roman" w:cs="Times New Roman"/>
      <w:sz w:val="16"/>
      <w:lang w:eastAsia="en-US"/>
    </w:rPr>
  </w:style>
  <w:style w:type="paragraph" w:styleId="Title">
    <w:name w:val="Title"/>
    <w:basedOn w:val="HeadingBase"/>
    <w:link w:val="TitleChar"/>
    <w:qFormat/>
    <w:rsid w:val="00784DC0"/>
    <w:pPr>
      <w:spacing w:before="5040"/>
      <w:jc w:val="center"/>
    </w:pPr>
    <w:rPr>
      <w:sz w:val="48"/>
      <w:szCs w:val="72"/>
      <w:lang w:val="en-US"/>
    </w:rPr>
  </w:style>
  <w:style w:type="character" w:customStyle="1" w:styleId="TitleChar">
    <w:name w:val="Title Char"/>
    <w:basedOn w:val="DefaultParagraphFont"/>
    <w:link w:val="Title"/>
    <w:rsid w:val="00784DC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84DC0"/>
    <w:pPr>
      <w:tabs>
        <w:tab w:val="left" w:pos="3600"/>
        <w:tab w:val="left" w:pos="3958"/>
      </w:tabs>
    </w:pPr>
  </w:style>
  <w:style w:type="paragraph" w:styleId="List">
    <w:name w:val="List"/>
    <w:basedOn w:val="BodyText"/>
    <w:next w:val="BodyText"/>
    <w:rsid w:val="00784DC0"/>
    <w:pPr>
      <w:tabs>
        <w:tab w:val="left" w:pos="340"/>
      </w:tabs>
      <w:spacing w:before="60" w:after="60"/>
      <w:ind w:left="340" w:hanging="340"/>
    </w:pPr>
  </w:style>
  <w:style w:type="paragraph" w:customStyle="1" w:styleId="Note">
    <w:name w:val="Note"/>
    <w:basedOn w:val="BodyText"/>
    <w:rsid w:val="00784DC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84DC0"/>
    <w:pPr>
      <w:framePr w:wrap="auto" w:hAnchor="text" w:y="6049"/>
    </w:pPr>
    <w:rPr>
      <w:color w:val="000000"/>
      <w:sz w:val="40"/>
    </w:rPr>
  </w:style>
  <w:style w:type="paragraph" w:customStyle="1" w:styleId="TOCTitle">
    <w:name w:val="TOCTitle"/>
    <w:basedOn w:val="Heading1"/>
    <w:rsid w:val="00784DC0"/>
    <w:pPr>
      <w:spacing w:after="240"/>
      <w:jc w:val="center"/>
      <w:outlineLvl w:val="9"/>
    </w:pPr>
    <w:rPr>
      <w:caps/>
    </w:rPr>
  </w:style>
  <w:style w:type="paragraph" w:customStyle="1" w:styleId="Version">
    <w:name w:val="Version"/>
    <w:rsid w:val="00784DC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84DC0"/>
    <w:pPr>
      <w:keepNext w:val="0"/>
      <w:tabs>
        <w:tab w:val="right" w:pos="4176"/>
      </w:tabs>
      <w:ind w:left="198" w:hanging="198"/>
    </w:pPr>
    <w:rPr>
      <w:rFonts w:ascii="Garamond" w:hAnsi="Garamond"/>
    </w:rPr>
  </w:style>
  <w:style w:type="paragraph" w:styleId="IndexHeading">
    <w:name w:val="index heading"/>
    <w:basedOn w:val="Normal"/>
    <w:next w:val="Index1"/>
    <w:semiHidden/>
    <w:rsid w:val="00784DC0"/>
    <w:pPr>
      <w:spacing w:before="120" w:after="120"/>
    </w:pPr>
    <w:rPr>
      <w:rFonts w:ascii="Arial" w:hAnsi="Arial"/>
      <w:b/>
      <w:color w:val="918585"/>
      <w:sz w:val="24"/>
    </w:rPr>
  </w:style>
  <w:style w:type="paragraph" w:styleId="Header">
    <w:name w:val="header"/>
    <w:basedOn w:val="Normal"/>
    <w:link w:val="HeaderChar"/>
    <w:rsid w:val="00784DC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84DC0"/>
    <w:rPr>
      <w:rFonts w:ascii="Times New Roman" w:eastAsia="Times New Roman" w:hAnsi="Times New Roman" w:cs="Times New Roman"/>
      <w:sz w:val="16"/>
      <w:szCs w:val="20"/>
      <w:lang w:val="en-GB" w:eastAsia="en-US"/>
    </w:rPr>
  </w:style>
  <w:style w:type="paragraph" w:customStyle="1" w:styleId="Chapter">
    <w:name w:val="Chapter"/>
    <w:basedOn w:val="Normal"/>
    <w:rsid w:val="00784DC0"/>
    <w:pPr>
      <w:spacing w:before="240"/>
    </w:pPr>
    <w:rPr>
      <w:rFonts w:ascii="Times New Roman" w:hAnsi="Times New Roman"/>
      <w:smallCaps/>
      <w:spacing w:val="80"/>
      <w:sz w:val="28"/>
    </w:rPr>
  </w:style>
  <w:style w:type="paragraph" w:customStyle="1" w:styleId="InChapter">
    <w:name w:val="InChapter"/>
    <w:basedOn w:val="Heading3"/>
    <w:rsid w:val="00784DC0"/>
    <w:pPr>
      <w:spacing w:after="240"/>
      <w:outlineLvl w:val="9"/>
    </w:pPr>
    <w:rPr>
      <w:noProof/>
    </w:rPr>
  </w:style>
  <w:style w:type="paragraph" w:styleId="Index2">
    <w:name w:val="index 2"/>
    <w:basedOn w:val="Normal"/>
    <w:next w:val="Normal"/>
    <w:semiHidden/>
    <w:rsid w:val="00784DC0"/>
    <w:pPr>
      <w:tabs>
        <w:tab w:val="right" w:pos="4176"/>
      </w:tabs>
      <w:ind w:left="568" w:hanging="284"/>
    </w:pPr>
    <w:rPr>
      <w:rFonts w:ascii="Garamond" w:hAnsi="Garamond"/>
    </w:rPr>
  </w:style>
  <w:style w:type="paragraph" w:customStyle="1" w:styleId="Byline">
    <w:name w:val="Byline"/>
    <w:rsid w:val="00784DC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84DC0"/>
    <w:pPr>
      <w:tabs>
        <w:tab w:val="clear" w:pos="3600"/>
        <w:tab w:val="clear" w:pos="3958"/>
      </w:tabs>
      <w:jc w:val="right"/>
    </w:pPr>
  </w:style>
  <w:style w:type="paragraph" w:styleId="Caption">
    <w:name w:val="caption"/>
    <w:basedOn w:val="BodyText"/>
    <w:next w:val="Normal"/>
    <w:qFormat/>
    <w:rsid w:val="00784DC0"/>
    <w:pPr>
      <w:framePr w:w="2268" w:hSpace="181" w:vSpace="181" w:wrap="around" w:vAnchor="text" w:hAnchor="page" w:x="1135" w:y="285" w:anchorLock="1"/>
    </w:pPr>
    <w:rPr>
      <w:i/>
    </w:rPr>
  </w:style>
  <w:style w:type="paragraph" w:customStyle="1" w:styleId="MiniTOCTitle">
    <w:name w:val="MiniTOCTitle"/>
    <w:basedOn w:val="Heading4"/>
    <w:rsid w:val="00784DC0"/>
    <w:pPr>
      <w:spacing w:before="240"/>
      <w:outlineLvl w:val="9"/>
    </w:pPr>
    <w:rPr>
      <w:noProof/>
      <w:sz w:val="24"/>
    </w:rPr>
  </w:style>
  <w:style w:type="paragraph" w:customStyle="1" w:styleId="MiniTOCItem">
    <w:name w:val="MiniTOCItem"/>
    <w:basedOn w:val="ListBullet"/>
    <w:rsid w:val="00784DC0"/>
    <w:pPr>
      <w:numPr>
        <w:numId w:val="0"/>
      </w:numPr>
      <w:tabs>
        <w:tab w:val="right" w:leader="dot" w:pos="6521"/>
      </w:tabs>
      <w:spacing w:before="0" w:after="0"/>
    </w:pPr>
  </w:style>
  <w:style w:type="paragraph" w:customStyle="1" w:styleId="TOFTitle">
    <w:name w:val="TOFTitle"/>
    <w:basedOn w:val="TOCTitle"/>
    <w:rsid w:val="00784DC0"/>
  </w:style>
  <w:style w:type="paragraph" w:styleId="TableofFigures">
    <w:name w:val="table of figures"/>
    <w:basedOn w:val="Normal"/>
    <w:next w:val="Normal"/>
    <w:semiHidden/>
    <w:rsid w:val="00784DC0"/>
    <w:pPr>
      <w:tabs>
        <w:tab w:val="right" w:leader="dot" w:pos="9072"/>
      </w:tabs>
      <w:ind w:left="970" w:hanging="403"/>
    </w:pPr>
    <w:rPr>
      <w:rFonts w:ascii="Times New Roman" w:hAnsi="Times New Roman"/>
      <w:b/>
    </w:rPr>
  </w:style>
  <w:style w:type="paragraph" w:styleId="ListNumber">
    <w:name w:val="List Number"/>
    <w:basedOn w:val="List"/>
    <w:rsid w:val="00784DC0"/>
    <w:pPr>
      <w:numPr>
        <w:numId w:val="11"/>
      </w:numPr>
    </w:pPr>
  </w:style>
  <w:style w:type="character" w:customStyle="1" w:styleId="WingdingSymbols">
    <w:name w:val="Wingding Symbols"/>
    <w:rsid w:val="00784DC0"/>
    <w:rPr>
      <w:rFonts w:ascii="Wingdings" w:hAnsi="Wingdings"/>
    </w:rPr>
  </w:style>
  <w:style w:type="paragraph" w:customStyle="1" w:styleId="TableHeading">
    <w:name w:val="Table Heading"/>
    <w:basedOn w:val="HeadingBase"/>
    <w:rsid w:val="00784DC0"/>
    <w:pPr>
      <w:keepLines/>
      <w:pBdr>
        <w:bottom w:val="single" w:sz="6" w:space="1" w:color="918585"/>
      </w:pBdr>
      <w:spacing w:before="240"/>
    </w:pPr>
  </w:style>
  <w:style w:type="character" w:customStyle="1" w:styleId="HotSpot">
    <w:name w:val="HotSpot"/>
    <w:rsid w:val="00784DC0"/>
    <w:rPr>
      <w:color w:val="0033CC"/>
      <w:u w:val="none"/>
    </w:rPr>
  </w:style>
  <w:style w:type="paragraph" w:customStyle="1" w:styleId="BodyTextRight">
    <w:name w:val="Body Text Right"/>
    <w:basedOn w:val="BodyText"/>
    <w:rsid w:val="00784DC0"/>
    <w:pPr>
      <w:spacing w:before="0" w:after="0"/>
      <w:jc w:val="right"/>
    </w:pPr>
  </w:style>
  <w:style w:type="paragraph" w:styleId="Index3">
    <w:name w:val="index 3"/>
    <w:basedOn w:val="ListNumber2"/>
    <w:next w:val="Normal"/>
    <w:semiHidden/>
    <w:rsid w:val="00784DC0"/>
    <w:pPr>
      <w:numPr>
        <w:numId w:val="0"/>
      </w:numPr>
      <w:tabs>
        <w:tab w:val="right" w:leader="dot" w:pos="4176"/>
      </w:tabs>
    </w:pPr>
  </w:style>
  <w:style w:type="paragraph" w:styleId="ListNumber2">
    <w:name w:val="List Number 2"/>
    <w:basedOn w:val="List2"/>
    <w:rsid w:val="00784DC0"/>
    <w:pPr>
      <w:numPr>
        <w:numId w:val="10"/>
      </w:numPr>
      <w:tabs>
        <w:tab w:val="clear" w:pos="1060"/>
      </w:tabs>
    </w:pPr>
  </w:style>
  <w:style w:type="paragraph" w:customStyle="1" w:styleId="MarginNote">
    <w:name w:val="Margin Note"/>
    <w:basedOn w:val="BodyText"/>
    <w:rsid w:val="00784DC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84DC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84DC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84DC0"/>
    <w:rPr>
      <w:sz w:val="32"/>
    </w:rPr>
  </w:style>
  <w:style w:type="paragraph" w:customStyle="1" w:styleId="HeadingProcedure">
    <w:name w:val="Heading Procedure"/>
    <w:basedOn w:val="HeadingBase"/>
    <w:next w:val="Normal"/>
    <w:rsid w:val="00784DC0"/>
    <w:pPr>
      <w:tabs>
        <w:tab w:val="left" w:pos="0"/>
      </w:tabs>
      <w:spacing w:before="120" w:after="60"/>
    </w:pPr>
    <w:rPr>
      <w:i/>
      <w:color w:val="918585"/>
      <w:sz w:val="22"/>
    </w:rPr>
  </w:style>
  <w:style w:type="paragraph" w:customStyle="1" w:styleId="TableBodyText">
    <w:name w:val="Table Body Text"/>
    <w:basedOn w:val="BodyText"/>
    <w:rsid w:val="00784DC0"/>
    <w:pPr>
      <w:spacing w:before="60" w:after="60"/>
    </w:pPr>
  </w:style>
  <w:style w:type="paragraph" w:styleId="ListContinue">
    <w:name w:val="List Continue"/>
    <w:basedOn w:val="List"/>
    <w:rsid w:val="00784DC0"/>
    <w:pPr>
      <w:ind w:firstLine="0"/>
    </w:pPr>
  </w:style>
  <w:style w:type="paragraph" w:customStyle="1" w:styleId="ListNote">
    <w:name w:val="List Note"/>
    <w:basedOn w:val="List"/>
    <w:rsid w:val="00784DC0"/>
    <w:pPr>
      <w:pBdr>
        <w:top w:val="single" w:sz="6" w:space="2" w:color="918585"/>
        <w:bottom w:val="single" w:sz="6" w:space="2" w:color="918585"/>
      </w:pBdr>
      <w:tabs>
        <w:tab w:val="left" w:pos="1021"/>
      </w:tabs>
      <w:ind w:firstLine="0"/>
    </w:pPr>
  </w:style>
  <w:style w:type="paragraph" w:customStyle="1" w:styleId="Warning">
    <w:name w:val="Warning"/>
    <w:basedOn w:val="BodyText"/>
    <w:rsid w:val="00784DC0"/>
    <w:pPr>
      <w:shd w:val="clear" w:color="auto" w:fill="D9D9D9"/>
      <w:tabs>
        <w:tab w:val="left" w:pos="992"/>
      </w:tabs>
      <w:ind w:left="119" w:right="119"/>
    </w:pPr>
    <w:rPr>
      <w:sz w:val="20"/>
    </w:rPr>
  </w:style>
  <w:style w:type="paragraph" w:customStyle="1" w:styleId="MarginIcons">
    <w:name w:val="Margin Icons"/>
    <w:basedOn w:val="BodyText"/>
    <w:rsid w:val="00784DC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84DC0"/>
    <w:rPr>
      <w:rFonts w:ascii="Courier New" w:hAnsi="Courier New"/>
    </w:rPr>
  </w:style>
  <w:style w:type="paragraph" w:customStyle="1" w:styleId="NoteBullet">
    <w:name w:val="Note Bullet"/>
    <w:basedOn w:val="Note"/>
    <w:rsid w:val="00784DC0"/>
    <w:pPr>
      <w:tabs>
        <w:tab w:val="clear" w:pos="680"/>
      </w:tabs>
      <w:spacing w:before="60" w:after="60"/>
    </w:pPr>
  </w:style>
  <w:style w:type="paragraph" w:customStyle="1" w:styleId="SubHeading2">
    <w:name w:val="SubHeading2"/>
    <w:basedOn w:val="HeadingBase"/>
    <w:rsid w:val="00784DC0"/>
    <w:pPr>
      <w:spacing w:before="240" w:after="60"/>
    </w:pPr>
    <w:rPr>
      <w:sz w:val="20"/>
    </w:rPr>
  </w:style>
  <w:style w:type="paragraph" w:customStyle="1" w:styleId="SubHeading1">
    <w:name w:val="SubHeading1"/>
    <w:basedOn w:val="HeadingBase"/>
    <w:rsid w:val="00784DC0"/>
    <w:pPr>
      <w:spacing w:before="240" w:after="60"/>
    </w:pPr>
    <w:rPr>
      <w:color w:val="918585"/>
      <w:sz w:val="22"/>
    </w:rPr>
  </w:style>
  <w:style w:type="paragraph" w:customStyle="1" w:styleId="SideHeading">
    <w:name w:val="Side Heading"/>
    <w:basedOn w:val="HeadingBase"/>
    <w:rsid w:val="00784DC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84DC0"/>
    <w:pPr>
      <w:numPr>
        <w:numId w:val="12"/>
      </w:numPr>
    </w:pPr>
  </w:style>
  <w:style w:type="paragraph" w:styleId="PlainText">
    <w:name w:val="Plain Text"/>
    <w:basedOn w:val="Normal"/>
    <w:link w:val="PlainTextChar"/>
    <w:rsid w:val="00784DC0"/>
    <w:rPr>
      <w:sz w:val="20"/>
    </w:rPr>
  </w:style>
  <w:style w:type="character" w:customStyle="1" w:styleId="PlainTextChar">
    <w:name w:val="Plain Text Char"/>
    <w:basedOn w:val="DefaultParagraphFont"/>
    <w:link w:val="PlainText"/>
    <w:rsid w:val="00784DC0"/>
    <w:rPr>
      <w:rFonts w:ascii="Courier New" w:eastAsia="Times New Roman" w:hAnsi="Courier New" w:cs="Times New Roman"/>
      <w:sz w:val="20"/>
      <w:szCs w:val="20"/>
      <w:lang w:eastAsia="en-US"/>
    </w:rPr>
  </w:style>
  <w:style w:type="character" w:customStyle="1" w:styleId="MenuOption">
    <w:name w:val="Menu Option"/>
    <w:basedOn w:val="DefaultParagraphFont"/>
    <w:rsid w:val="00784DC0"/>
    <w:rPr>
      <w:b/>
      <w:smallCaps/>
    </w:rPr>
  </w:style>
  <w:style w:type="paragraph" w:customStyle="1" w:styleId="TableListNumber">
    <w:name w:val="Table List Number"/>
    <w:basedOn w:val="ListNumber"/>
    <w:rsid w:val="00784DC0"/>
    <w:pPr>
      <w:numPr>
        <w:numId w:val="0"/>
      </w:numPr>
    </w:pPr>
  </w:style>
  <w:style w:type="paragraph" w:styleId="TOC4">
    <w:name w:val="toc 4"/>
    <w:basedOn w:val="TOCBase"/>
    <w:next w:val="Normal"/>
    <w:semiHidden/>
    <w:rsid w:val="00784DC0"/>
    <w:pPr>
      <w:tabs>
        <w:tab w:val="right" w:leader="dot" w:pos="9071"/>
      </w:tabs>
      <w:ind w:left="1701"/>
    </w:pPr>
  </w:style>
  <w:style w:type="paragraph" w:customStyle="1" w:styleId="ListAlpha">
    <w:name w:val="List Alpha"/>
    <w:basedOn w:val="List"/>
    <w:rsid w:val="00784DC0"/>
    <w:pPr>
      <w:numPr>
        <w:numId w:val="9"/>
      </w:numPr>
    </w:pPr>
  </w:style>
  <w:style w:type="paragraph" w:customStyle="1" w:styleId="ListAlpha2">
    <w:name w:val="List Alpha 2"/>
    <w:basedOn w:val="List2"/>
    <w:rsid w:val="00784DC0"/>
    <w:pPr>
      <w:numPr>
        <w:numId w:val="8"/>
      </w:numPr>
    </w:pPr>
  </w:style>
  <w:style w:type="paragraph" w:styleId="List2">
    <w:name w:val="List 2"/>
    <w:basedOn w:val="BodyText"/>
    <w:rsid w:val="00784DC0"/>
    <w:pPr>
      <w:tabs>
        <w:tab w:val="left" w:pos="680"/>
      </w:tabs>
      <w:spacing w:before="60" w:after="60"/>
      <w:ind w:left="680" w:hanging="340"/>
    </w:pPr>
  </w:style>
  <w:style w:type="paragraph" w:styleId="List3">
    <w:name w:val="List 3"/>
    <w:basedOn w:val="BodyText"/>
    <w:rsid w:val="00784DC0"/>
    <w:pPr>
      <w:tabs>
        <w:tab w:val="left" w:pos="1021"/>
      </w:tabs>
      <w:spacing w:before="60" w:after="60"/>
      <w:ind w:left="1020" w:hanging="340"/>
    </w:pPr>
  </w:style>
  <w:style w:type="paragraph" w:styleId="List4">
    <w:name w:val="List 4"/>
    <w:basedOn w:val="BodyText"/>
    <w:rsid w:val="00784DC0"/>
    <w:pPr>
      <w:tabs>
        <w:tab w:val="left" w:pos="1361"/>
      </w:tabs>
      <w:spacing w:before="60" w:after="60"/>
      <w:ind w:left="1361" w:hanging="340"/>
    </w:pPr>
  </w:style>
  <w:style w:type="paragraph" w:styleId="List5">
    <w:name w:val="List 5"/>
    <w:basedOn w:val="BodyText"/>
    <w:rsid w:val="00784DC0"/>
    <w:pPr>
      <w:tabs>
        <w:tab w:val="left" w:pos="1701"/>
      </w:tabs>
      <w:spacing w:before="60" w:after="60"/>
      <w:ind w:left="1701" w:hanging="340"/>
    </w:pPr>
  </w:style>
  <w:style w:type="paragraph" w:styleId="ListBullet3">
    <w:name w:val="List Bullet 3"/>
    <w:basedOn w:val="List3"/>
    <w:rsid w:val="00784DC0"/>
    <w:pPr>
      <w:numPr>
        <w:numId w:val="15"/>
      </w:numPr>
      <w:tabs>
        <w:tab w:val="clear" w:pos="1021"/>
      </w:tabs>
      <w:ind w:left="1037" w:hanging="357"/>
    </w:pPr>
  </w:style>
  <w:style w:type="paragraph" w:styleId="ListBullet4">
    <w:name w:val="List Bullet 4"/>
    <w:basedOn w:val="List4"/>
    <w:rsid w:val="00784DC0"/>
    <w:pPr>
      <w:numPr>
        <w:numId w:val="3"/>
      </w:numPr>
    </w:pPr>
  </w:style>
  <w:style w:type="paragraph" w:styleId="ListBullet5">
    <w:name w:val="List Bullet 5"/>
    <w:basedOn w:val="List5"/>
    <w:rsid w:val="00784DC0"/>
    <w:pPr>
      <w:numPr>
        <w:numId w:val="4"/>
      </w:numPr>
    </w:pPr>
  </w:style>
  <w:style w:type="paragraph" w:styleId="ListContinue2">
    <w:name w:val="List Continue 2"/>
    <w:basedOn w:val="List2"/>
    <w:rsid w:val="00784DC0"/>
    <w:pPr>
      <w:ind w:firstLine="0"/>
    </w:pPr>
  </w:style>
  <w:style w:type="paragraph" w:styleId="ListContinue3">
    <w:name w:val="List Continue 3"/>
    <w:basedOn w:val="List3"/>
    <w:rsid w:val="00784DC0"/>
    <w:pPr>
      <w:ind w:left="1021" w:firstLine="0"/>
    </w:pPr>
  </w:style>
  <w:style w:type="paragraph" w:styleId="ListContinue4">
    <w:name w:val="List Continue 4"/>
    <w:basedOn w:val="List4"/>
    <w:rsid w:val="00784DC0"/>
    <w:pPr>
      <w:ind w:firstLine="0"/>
    </w:pPr>
  </w:style>
  <w:style w:type="paragraph" w:styleId="ListContinue5">
    <w:name w:val="List Continue 5"/>
    <w:basedOn w:val="List5"/>
    <w:rsid w:val="00784DC0"/>
    <w:pPr>
      <w:ind w:firstLine="0"/>
    </w:pPr>
  </w:style>
  <w:style w:type="paragraph" w:styleId="ListNumber3">
    <w:name w:val="List Number 3"/>
    <w:basedOn w:val="List3"/>
    <w:rsid w:val="00784DC0"/>
    <w:pPr>
      <w:numPr>
        <w:numId w:val="5"/>
      </w:numPr>
    </w:pPr>
  </w:style>
  <w:style w:type="paragraph" w:styleId="ListNumber4">
    <w:name w:val="List Number 4"/>
    <w:basedOn w:val="List4"/>
    <w:rsid w:val="00784DC0"/>
    <w:pPr>
      <w:numPr>
        <w:numId w:val="6"/>
      </w:numPr>
    </w:pPr>
  </w:style>
  <w:style w:type="paragraph" w:styleId="ListNumber5">
    <w:name w:val="List Number 5"/>
    <w:basedOn w:val="List5"/>
    <w:rsid w:val="00784DC0"/>
    <w:pPr>
      <w:numPr>
        <w:numId w:val="7"/>
      </w:numPr>
    </w:pPr>
  </w:style>
  <w:style w:type="paragraph" w:styleId="BlockText">
    <w:name w:val="Block Text"/>
    <w:basedOn w:val="Normal"/>
    <w:rsid w:val="00784DC0"/>
    <w:pPr>
      <w:spacing w:after="120"/>
      <w:ind w:left="1440" w:right="1440"/>
    </w:pPr>
  </w:style>
  <w:style w:type="character" w:customStyle="1" w:styleId="Subscript">
    <w:name w:val="Subscript"/>
    <w:basedOn w:val="DefaultParagraphFont"/>
    <w:rsid w:val="00784DC0"/>
    <w:rPr>
      <w:sz w:val="16"/>
      <w:vertAlign w:val="subscript"/>
    </w:rPr>
  </w:style>
  <w:style w:type="character" w:customStyle="1" w:styleId="Superscript">
    <w:name w:val="Superscript"/>
    <w:basedOn w:val="DefaultParagraphFont"/>
    <w:rsid w:val="00784DC0"/>
    <w:rPr>
      <w:sz w:val="16"/>
      <w:vertAlign w:val="superscript"/>
    </w:rPr>
  </w:style>
  <w:style w:type="character" w:customStyle="1" w:styleId="Symbols">
    <w:name w:val="Symbols"/>
    <w:basedOn w:val="DefaultParagraphFont"/>
    <w:rsid w:val="00784DC0"/>
    <w:rPr>
      <w:rFonts w:ascii="Symbol" w:hAnsi="Symbol"/>
    </w:rPr>
  </w:style>
  <w:style w:type="character" w:customStyle="1" w:styleId="MenuOptions">
    <w:name w:val="Menu Options"/>
    <w:basedOn w:val="DefaultParagraphFont"/>
    <w:rsid w:val="00784DC0"/>
    <w:rPr>
      <w:rFonts w:ascii="Arial Narrow" w:hAnsi="Arial Narrow"/>
      <w:smallCaps/>
    </w:rPr>
  </w:style>
  <w:style w:type="character" w:customStyle="1" w:styleId="Buttons">
    <w:name w:val="Buttons"/>
    <w:basedOn w:val="DefaultParagraphFont"/>
    <w:rsid w:val="00784DC0"/>
    <w:rPr>
      <w:b/>
    </w:rPr>
  </w:style>
  <w:style w:type="character" w:customStyle="1" w:styleId="Underlined">
    <w:name w:val="Underlined"/>
    <w:basedOn w:val="DefaultParagraphFont"/>
    <w:rsid w:val="00784DC0"/>
    <w:rPr>
      <w:u w:val="single"/>
    </w:rPr>
  </w:style>
  <w:style w:type="paragraph" w:customStyle="1" w:styleId="TableBodyTextRight">
    <w:name w:val="Table Body Text Right"/>
    <w:basedOn w:val="TableBodyText"/>
    <w:rsid w:val="00784DC0"/>
    <w:pPr>
      <w:widowControl w:val="0"/>
      <w:autoSpaceDE w:val="0"/>
      <w:autoSpaceDN w:val="0"/>
      <w:adjustRightInd w:val="0"/>
      <w:jc w:val="right"/>
    </w:pPr>
    <w:rPr>
      <w:rFonts w:cs="Arial"/>
      <w:szCs w:val="18"/>
    </w:rPr>
  </w:style>
  <w:style w:type="paragraph" w:customStyle="1" w:styleId="CopyrightText">
    <w:name w:val="Copyright Text"/>
    <w:basedOn w:val="BodyText"/>
    <w:rsid w:val="00784DC0"/>
    <w:rPr>
      <w:sz w:val="18"/>
    </w:rPr>
  </w:style>
  <w:style w:type="paragraph" w:customStyle="1" w:styleId="BodySmallRight">
    <w:name w:val="Body Small Right"/>
    <w:basedOn w:val="BodyTextRight"/>
    <w:rsid w:val="00784DC0"/>
    <w:rPr>
      <w:sz w:val="18"/>
      <w:szCs w:val="18"/>
    </w:rPr>
  </w:style>
  <w:style w:type="paragraph" w:customStyle="1" w:styleId="MarginEdition">
    <w:name w:val="Margin Edition"/>
    <w:basedOn w:val="MarginNote"/>
    <w:rsid w:val="00784DC0"/>
    <w:pPr>
      <w:spacing w:before="0" w:after="0"/>
    </w:pPr>
    <w:rPr>
      <w:rFonts w:ascii="Times New Roman" w:hAnsi="Times New Roman"/>
      <w:color w:val="999999"/>
    </w:rPr>
  </w:style>
  <w:style w:type="paragraph" w:customStyle="1" w:styleId="Spacer">
    <w:name w:val="Spacer"/>
    <w:basedOn w:val="Normal"/>
    <w:rsid w:val="00784DC0"/>
    <w:rPr>
      <w:sz w:val="2"/>
      <w:szCs w:val="2"/>
    </w:rPr>
  </w:style>
  <w:style w:type="character" w:customStyle="1" w:styleId="Small">
    <w:name w:val="Small"/>
    <w:basedOn w:val="DefaultParagraphFont"/>
    <w:rsid w:val="00784DC0"/>
    <w:rPr>
      <w:sz w:val="16"/>
    </w:rPr>
  </w:style>
  <w:style w:type="paragraph" w:customStyle="1" w:styleId="WideTable">
    <w:name w:val="Wide Table"/>
    <w:basedOn w:val="Normal"/>
    <w:rsid w:val="00784DC0"/>
    <w:pPr>
      <w:ind w:left="-1418"/>
    </w:pPr>
    <w:rPr>
      <w:sz w:val="2"/>
      <w:szCs w:val="2"/>
    </w:rPr>
  </w:style>
  <w:style w:type="character" w:styleId="PageNumber">
    <w:name w:val="page number"/>
    <w:basedOn w:val="DefaultParagraphFont"/>
    <w:rsid w:val="00784DC0"/>
  </w:style>
  <w:style w:type="paragraph" w:styleId="Quote">
    <w:name w:val="Quote"/>
    <w:basedOn w:val="Heading1"/>
    <w:link w:val="QuoteChar"/>
    <w:qFormat/>
    <w:rsid w:val="00784DC0"/>
    <w:rPr>
      <w:b w:val="0"/>
      <w:sz w:val="72"/>
      <w:szCs w:val="72"/>
      <w:lang w:val="en-NZ"/>
    </w:rPr>
  </w:style>
  <w:style w:type="character" w:customStyle="1" w:styleId="QuoteChar">
    <w:name w:val="Quote Char"/>
    <w:basedOn w:val="DefaultParagraphFont"/>
    <w:link w:val="Quote"/>
    <w:rsid w:val="00784DC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84DC0"/>
    <w:pPr>
      <w:pageBreakBefore/>
    </w:pPr>
  </w:style>
  <w:style w:type="paragraph" w:customStyle="1" w:styleId="Border">
    <w:name w:val="Border"/>
    <w:basedOn w:val="Normal"/>
    <w:qFormat/>
    <w:rsid w:val="00784DC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84DC0"/>
    <w:rPr>
      <w:b/>
      <w:bCs/>
      <w:i/>
      <w:iCs/>
      <w:color w:val="auto"/>
    </w:rPr>
  </w:style>
  <w:style w:type="paragraph" w:styleId="IntenseQuote">
    <w:name w:val="Intense Quote"/>
    <w:basedOn w:val="Normal"/>
    <w:next w:val="Normal"/>
    <w:link w:val="IntenseQuoteChar"/>
    <w:uiPriority w:val="30"/>
    <w:qFormat/>
    <w:rsid w:val="00784DC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84DC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84DC0"/>
    <w:rPr>
      <w:smallCaps/>
      <w:color w:val="auto"/>
      <w:u w:val="single"/>
    </w:rPr>
  </w:style>
  <w:style w:type="character" w:styleId="IntenseReference">
    <w:name w:val="Intense Reference"/>
    <w:basedOn w:val="DefaultParagraphFont"/>
    <w:uiPriority w:val="32"/>
    <w:qFormat/>
    <w:rsid w:val="00784DC0"/>
    <w:rPr>
      <w:b/>
      <w:bCs/>
      <w:smallCaps/>
      <w:color w:val="auto"/>
      <w:spacing w:val="5"/>
      <w:u w:val="single"/>
    </w:rPr>
  </w:style>
  <w:style w:type="paragraph" w:customStyle="1" w:styleId="2ColumnHeading">
    <w:name w:val="2Column Heading"/>
    <w:basedOn w:val="BodyText"/>
    <w:qFormat/>
    <w:rsid w:val="00784DC0"/>
    <w:pPr>
      <w:spacing w:after="60"/>
      <w:ind w:left="-2268"/>
    </w:pPr>
    <w:rPr>
      <w:b/>
    </w:rPr>
  </w:style>
  <w:style w:type="paragraph" w:customStyle="1" w:styleId="Heading1TOC">
    <w:name w:val="Heading1 TOC"/>
    <w:basedOn w:val="Normal"/>
    <w:qFormat/>
    <w:rsid w:val="00784DC0"/>
    <w:pPr>
      <w:spacing w:before="240" w:after="120"/>
    </w:pPr>
    <w:rPr>
      <w:rFonts w:ascii="Times New Roman" w:hAnsi="Times New Roman"/>
      <w:b/>
      <w:sz w:val="32"/>
    </w:rPr>
  </w:style>
  <w:style w:type="paragraph" w:customStyle="1" w:styleId="Heading2TOC">
    <w:name w:val="Heading2 TOC"/>
    <w:basedOn w:val="Normal"/>
    <w:qFormat/>
    <w:rsid w:val="00784DC0"/>
    <w:pPr>
      <w:spacing w:before="240" w:after="60"/>
    </w:pPr>
    <w:rPr>
      <w:rFonts w:ascii="Times New Roman" w:hAnsi="Times New Roman"/>
      <w:b/>
      <w:sz w:val="28"/>
    </w:rPr>
  </w:style>
  <w:style w:type="character" w:customStyle="1" w:styleId="Underline">
    <w:name w:val="Underline"/>
    <w:basedOn w:val="DefaultParagraphFont"/>
    <w:qFormat/>
    <w:rsid w:val="00784DC0"/>
    <w:rPr>
      <w:u w:val="single"/>
    </w:rPr>
  </w:style>
  <w:style w:type="paragraph" w:styleId="BalloonText">
    <w:name w:val="Balloon Text"/>
    <w:basedOn w:val="Normal"/>
    <w:link w:val="BalloonTextChar"/>
    <w:rsid w:val="00784DC0"/>
    <w:rPr>
      <w:rFonts w:ascii="Tahoma" w:hAnsi="Tahoma" w:cs="Tahoma"/>
      <w:sz w:val="16"/>
      <w:szCs w:val="16"/>
    </w:rPr>
  </w:style>
  <w:style w:type="character" w:customStyle="1" w:styleId="BalloonTextChar">
    <w:name w:val="Balloon Text Char"/>
    <w:basedOn w:val="DefaultParagraphFont"/>
    <w:link w:val="BalloonText"/>
    <w:rsid w:val="00784DC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84DC0"/>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784DC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84DC0"/>
    <w:rPr>
      <w:b/>
      <w:color w:val="660033"/>
      <w:spacing w:val="0"/>
    </w:rPr>
  </w:style>
  <w:style w:type="paragraph" w:customStyle="1" w:styleId="Nameditemlist">
    <w:name w:val="Named item list"/>
    <w:basedOn w:val="BodyText"/>
    <w:qFormat/>
    <w:rsid w:val="00784DC0"/>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1331</Words>
  <Characters>8248</Characters>
  <Application>Microsoft Office Word</Application>
  <DocSecurity>0</DocSecurity>
  <Lines>263</Lines>
  <Paragraphs>126</Paragraphs>
  <ScaleCrop>false</ScaleCrop>
  <Company>Author-it Software Corporation Ltd.</Company>
  <LinksUpToDate>false</LinksUpToDate>
  <CharactersWithSpaces>9512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BSBWHS501A Ensure a safe workplace</dc:title>
  <dc:subject>Approved</dc:subject>
  <dc:creator>Innovation and Business Skills Australia</dc:creator>
  <cp:keywords>Release:</cp:keywords>
  <dc:description>Copyright © 1996-2007 Author-it Software Corporation Ltd., all rights reserved.</dc:description>
  <cp:lastModifiedBy>TPCMS</cp:lastModifiedBy>
  <cp:revision>3</cp:revision>
  <dcterms:created xsi:type="dcterms:W3CDTF">2012-12-12T03:06:00Z</dcterms:created>
  <dcterms:modified xsi:type="dcterms:W3CDTF">2012-12-12T03:06:00Z</dcterms:modified>
</cp:coreProperties>
</file>