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975" w:rsidP="00A25975">
      <w:pPr>
        <w:pStyle w:val="Title"/>
      </w:pPr>
      <w:r>
        <w:fldChar w:fldCharType="begin"/>
      </w:r>
      <w:r>
        <w:instrText xml:space="preserve"> TITLE   \* MERGEFORMAT </w:instrText>
      </w:r>
      <w:r>
        <w:fldChar w:fldCharType="separate"/>
      </w:r>
      <w:r>
        <w:t>BSBOHS609B Evaluate an organisation's OHS performance</w:t>
      </w:r>
      <w:r>
        <w:fldChar w:fldCharType="end"/>
      </w:r>
    </w:p>
    <w:p w:rsidR="00A25975" w:rsidP="00A25975">
      <w:pPr>
        <w:pStyle w:val="Version"/>
        <w:sectPr w:rsidSect="00DD64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6455" w:rsidP="00DD6455">
      <w:pPr>
        <w:pStyle w:val="SuperHeading"/>
      </w:pPr>
      <w:r w:rsidRPr="00DD6455">
        <w:t>BSBOHS609B Evaluate an organisation's OHS performance</w:t>
      </w:r>
    </w:p>
    <w:p w:rsidR="00000000" w:rsidRPr="00DD6455" w:rsidP="00DD6455">
      <w:pPr>
        <w:pStyle w:val="SuperHeading"/>
      </w:pPr>
    </w:p>
    <w:p w:rsidR="00000000" w:rsidRPr="00DD6455" w:rsidP="00DD6455">
      <w:pPr>
        <w:pStyle w:val="Heading1"/>
      </w:pPr>
      <w:bookmarkStart w:id="1" w:name="O_66723"/>
      <w:bookmarkEnd w:id="1"/>
      <w:r w:rsidRPr="00DD6455">
        <w:t>Modification History</w:t>
      </w:r>
    </w:p>
    <w:p w:rsidR="00000000" w:rsidRPr="00DD6455" w:rsidP="00DD6455">
      <w:pPr>
        <w:pStyle w:val="BodyText"/>
      </w:pPr>
      <w:r w:rsidRPr="00DD6455">
        <w:t>Not applicable.</w:t>
      </w:r>
    </w:p>
    <w:p w:rsidR="00000000" w:rsidRPr="00DD6455" w:rsidP="00DD6455">
      <w:pPr>
        <w:pStyle w:val="AllowPageBreak"/>
      </w:pPr>
    </w:p>
    <w:p w:rsidR="00000000" w:rsidRPr="00DD6455" w:rsidP="00DD6455">
      <w:pPr>
        <w:pStyle w:val="Heading1"/>
      </w:pPr>
      <w:bookmarkStart w:id="2" w:name="O_66724"/>
      <w:bookmarkEnd w:id="2"/>
      <w:r w:rsidRPr="00DD6455">
        <w:t>Unit Descriptor</w:t>
      </w:r>
    </w:p>
    <w:tbl>
      <w:tblPr>
        <w:tblW w:w="0" w:type="auto"/>
        <w:tblLayout w:type="fixed"/>
        <w:tblCellMar>
          <w:left w:w="62" w:type="dxa"/>
          <w:right w:w="62" w:type="dxa"/>
        </w:tblCellMar>
        <w:tblLook w:val="0000"/>
      </w:tblPr>
      <w:tblGrid>
        <w:gridCol w:w="2659"/>
        <w:gridCol w:w="5863"/>
      </w:tblGrid>
      <w:tr w:rsidTr="00A25975">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BodyText"/>
            </w:pPr>
            <w:r w:rsidRPr="00DD6455">
              <w:t>This unit describes the performance outcomes, skills and knowledge required to make judgements as a</w:t>
            </w:r>
            <w:r w:rsidRPr="00DD6455">
              <w:t xml:space="preserve"> consequence of an occupational health and safety (OHS) audit and to evaluate an organisation's arrangements for identifying hazards, assessing and controlling risks, and monitoring and improving the effectiveness of the management of OHS and compliance ag</w:t>
            </w:r>
            <w:r w:rsidRPr="00DD6455">
              <w:t>ainst agreed benchmarks.</w:t>
            </w:r>
          </w:p>
          <w:p w:rsidR="00000000" w:rsidRPr="00DD6455" w:rsidP="00DD6455">
            <w:pPr>
              <w:pStyle w:val="BodyText"/>
            </w:pPr>
            <w:r w:rsidRPr="00DD6455">
              <w:t>No licensing, legislative, regulatory or certification requirements apply to this unit at the time of endorsement.</w:t>
            </w:r>
          </w:p>
        </w:tc>
      </w:tr>
    </w:tbl>
    <w:p w:rsidR="00000000" w:rsidRPr="00DD6455" w:rsidP="00DD6455">
      <w:pPr>
        <w:pStyle w:val="BodyText"/>
      </w:pPr>
    </w:p>
    <w:p w:rsidR="00000000" w:rsidRPr="00DD6455" w:rsidP="00DD6455">
      <w:pPr>
        <w:pStyle w:val="AllowPageBreak"/>
      </w:pPr>
    </w:p>
    <w:p w:rsidR="00000000" w:rsidRPr="00DD6455" w:rsidP="00DD6455">
      <w:pPr>
        <w:pStyle w:val="Heading1"/>
      </w:pPr>
      <w:bookmarkStart w:id="3" w:name="O_66725"/>
      <w:bookmarkEnd w:id="3"/>
      <w:r w:rsidRPr="00DD6455">
        <w:t>Application of the Unit</w:t>
      </w:r>
    </w:p>
    <w:tbl>
      <w:tblPr>
        <w:tblW w:w="0" w:type="auto"/>
        <w:tblLayout w:type="fixed"/>
        <w:tblCellMar>
          <w:left w:w="62" w:type="dxa"/>
          <w:right w:w="62" w:type="dxa"/>
        </w:tblCellMar>
        <w:tblLook w:val="0000"/>
      </w:tblPr>
      <w:tblGrid>
        <w:gridCol w:w="2747"/>
        <w:gridCol w:w="5775"/>
      </w:tblGrid>
      <w:tr w:rsidTr="00A2597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BodyText"/>
            </w:pPr>
            <w:r w:rsidRPr="00DD6455">
              <w:t>This unit focuses on evaluation of the effectiveness of an organisation's management of OHS. Aspects of the integration with other organisational management systems, the appropriateness of participative arrangements and OHS improvements are some components</w:t>
            </w:r>
            <w:r w:rsidRPr="00DD6455">
              <w:t xml:space="preserve"> of the evaluation. The scope may cover OHS performance measures and outcomes, strategies, policies, programs, procedures and the organisation's resources.</w:t>
            </w:r>
          </w:p>
          <w:p w:rsidR="00000000" w:rsidRPr="00DD6455" w:rsidP="00DD6455">
            <w:pPr>
              <w:pStyle w:val="BodyText"/>
            </w:pPr>
            <w:r w:rsidRPr="00DD6455">
              <w:t xml:space="preserve">This unit applies to the auditing of systematic approaches to managing OHS, which may or may not be </w:t>
            </w:r>
            <w:r w:rsidRPr="00DD6455">
              <w:t xml:space="preserve">formalised as part of an OHS management system, and can apply to internal or external benchmarks. The scope and benchmark criteria for the OHS audit will be agreed before the commencement of information and data gathering, and may address all areas of the </w:t>
            </w:r>
            <w:r w:rsidRPr="00DD6455">
              <w:t>organisation or an identified function, business or geographical area.</w:t>
            </w:r>
          </w:p>
          <w:p w:rsidR="00000000" w:rsidRPr="00DD6455" w:rsidP="00DD6455">
            <w:pPr>
              <w:pStyle w:val="BodyText"/>
            </w:pPr>
            <w:r w:rsidRPr="00DD6455">
              <w:t>Achievement of this competency requires a demonstrated knowledge of the requirements to evaluate the OHS management system (OHSMS) that is in place. An OHSMS is that part of the organis</w:t>
            </w:r>
            <w:r w:rsidRPr="00DD6455">
              <w:t>ation's overall management system that, for example, covers developing, implementing, reviewing and maintaining the activities for managing OHS risks. Thus, an OHSMS is one systematic approach to managing OHS.</w:t>
            </w:r>
          </w:p>
          <w:p w:rsidR="00000000" w:rsidRPr="00DD6455" w:rsidP="00DD6455">
            <w:pPr>
              <w:pStyle w:val="BodyText"/>
            </w:pPr>
            <w:r w:rsidRPr="00DD6455">
              <w:t>This unit is a companion unit to BSBOHS608B Co</w:t>
            </w:r>
            <w:r w:rsidRPr="00DD6455">
              <w:t>nduct an OHS audit; together the units address the knowledge and skills required to conduct an OHS audit and to evaluate an organisation's OHS performance. People aspiring to skills for overall responsibility of an OHS audit will require competence in both</w:t>
            </w:r>
            <w:r w:rsidRPr="00DD6455">
              <w:t xml:space="preserve"> units.</w:t>
            </w:r>
          </w:p>
        </w:tc>
      </w:tr>
    </w:tbl>
    <w:p w:rsidR="00000000" w:rsidRPr="00DD6455" w:rsidP="00DD6455">
      <w:pPr>
        <w:pStyle w:val="BodyText"/>
      </w:pPr>
    </w:p>
    <w:p w:rsidR="00000000" w:rsidRPr="00DD6455" w:rsidP="00DD6455">
      <w:pPr>
        <w:pStyle w:val="AllowPageBreak"/>
      </w:pPr>
    </w:p>
    <w:p w:rsidR="00000000" w:rsidRPr="00DD6455" w:rsidP="00DD6455">
      <w:pPr>
        <w:pStyle w:val="Heading1"/>
      </w:pPr>
      <w:bookmarkStart w:id="4" w:name="O_66726"/>
      <w:bookmarkEnd w:id="4"/>
      <w:r w:rsidRPr="00DD6455">
        <w:t>Licensing/Regulatory Information</w:t>
      </w:r>
    </w:p>
    <w:p w:rsidR="00000000" w:rsidRPr="00DD6455" w:rsidP="00DD6455">
      <w:pPr>
        <w:pStyle w:val="BodyText"/>
      </w:pPr>
      <w:r w:rsidRPr="00DD6455">
        <w:t>Not applicable.</w:t>
      </w:r>
    </w:p>
    <w:p w:rsidR="00000000" w:rsidRPr="00DD6455" w:rsidP="00DD6455">
      <w:pPr>
        <w:pStyle w:val="AllowPageBreak"/>
      </w:pPr>
    </w:p>
    <w:p w:rsidR="00000000" w:rsidRPr="00DD6455" w:rsidP="00DD6455">
      <w:pPr>
        <w:pStyle w:val="Heading1"/>
      </w:pPr>
      <w:bookmarkStart w:id="5" w:name="O_66727"/>
      <w:bookmarkEnd w:id="5"/>
      <w:r w:rsidRPr="00DD6455">
        <w:t>Pre-Requisites</w:t>
      </w:r>
    </w:p>
    <w:tbl>
      <w:tblPr>
        <w:tblW w:w="0" w:type="auto"/>
        <w:tblLayout w:type="fixed"/>
        <w:tblCellMar>
          <w:left w:w="62" w:type="dxa"/>
          <w:right w:w="62" w:type="dxa"/>
        </w:tblCellMar>
        <w:tblLook w:val="0000"/>
      </w:tblPr>
      <w:tblGrid>
        <w:gridCol w:w="2775"/>
        <w:gridCol w:w="1295"/>
        <w:gridCol w:w="4452"/>
      </w:tblGrid>
      <w:tr w:rsidTr="00A2597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p>
        </w:tc>
      </w:tr>
      <w:tr w:rsidTr="00A259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p>
        </w:tc>
      </w:tr>
      <w:tr w:rsidTr="00A259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BodyText"/>
            </w:pPr>
          </w:p>
        </w:tc>
      </w:tr>
    </w:tbl>
    <w:p w:rsidR="00000000" w:rsidRPr="00DD6455" w:rsidP="00DD6455">
      <w:pPr>
        <w:pStyle w:val="BodyText"/>
      </w:pPr>
    </w:p>
    <w:p w:rsidR="00000000" w:rsidRPr="00DD6455" w:rsidP="00DD6455">
      <w:pPr>
        <w:pStyle w:val="AllowPageBreak"/>
      </w:pPr>
    </w:p>
    <w:p w:rsidR="00000000" w:rsidRPr="00DD6455" w:rsidP="00DD6455">
      <w:pPr>
        <w:pStyle w:val="Heading1"/>
      </w:pPr>
      <w:bookmarkStart w:id="6" w:name="O_66728"/>
      <w:bookmarkEnd w:id="6"/>
      <w:r w:rsidRPr="00DD6455">
        <w:t>Employability Skills Information</w:t>
      </w:r>
    </w:p>
    <w:tbl>
      <w:tblPr>
        <w:tblW w:w="0" w:type="auto"/>
        <w:tblLayout w:type="fixed"/>
        <w:tblCellMar>
          <w:left w:w="62" w:type="dxa"/>
          <w:right w:w="62" w:type="dxa"/>
        </w:tblCellMar>
        <w:tblLook w:val="0000"/>
      </w:tblPr>
      <w:tblGrid>
        <w:gridCol w:w="2802"/>
        <w:gridCol w:w="5720"/>
      </w:tblGrid>
      <w:tr w:rsidTr="00A259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BodyText"/>
            </w:pPr>
            <w:r w:rsidRPr="00DD6455">
              <w:t>This unit contains employability skills.</w:t>
            </w:r>
          </w:p>
        </w:tc>
      </w:tr>
    </w:tbl>
    <w:p w:rsidR="00000000" w:rsidRPr="00DD6455" w:rsidP="00DD6455">
      <w:pPr>
        <w:pStyle w:val="BodyText"/>
      </w:pPr>
    </w:p>
    <w:p w:rsidR="00000000" w:rsidRPr="00DD6455" w:rsidP="00DD6455">
      <w:pPr>
        <w:pStyle w:val="AllowPageBreak"/>
      </w:pPr>
    </w:p>
    <w:p w:rsidR="00000000" w:rsidRPr="00DD6455" w:rsidP="00DD6455">
      <w:pPr>
        <w:pStyle w:val="Heading1"/>
      </w:pPr>
      <w:bookmarkStart w:id="7" w:name="O_66729"/>
      <w:bookmarkEnd w:id="7"/>
      <w:r w:rsidRPr="00DD6455">
        <w:t>Elements and Performance Criteria Pre-Content</w:t>
      </w:r>
    </w:p>
    <w:tbl>
      <w:tblPr>
        <w:tblW w:w="0" w:type="auto"/>
        <w:tblLayout w:type="fixed"/>
        <w:tblCellMar>
          <w:left w:w="62" w:type="dxa"/>
          <w:right w:w="62" w:type="dxa"/>
        </w:tblCellMar>
        <w:tblLook w:val="0000"/>
      </w:tblPr>
      <w:tblGrid>
        <w:gridCol w:w="2579"/>
        <w:gridCol w:w="5943"/>
      </w:tblGrid>
      <w:tr w:rsidTr="00A25975">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BodyText"/>
            </w:pPr>
            <w:r w:rsidRPr="00DD6455">
              <w:t>Performance criteria describe the performance needed to demonstrate achievement of the element. Where bold italicised text is used, furth</w:t>
            </w:r>
            <w:r w:rsidRPr="00DD6455">
              <w:t>er information is detailed in the required skills and knowledge section and the range statement. Assessment of performance is to be consistent with the evidence guide.</w:t>
            </w:r>
          </w:p>
        </w:tc>
      </w:tr>
    </w:tbl>
    <w:p w:rsidR="00000000" w:rsidRPr="00DD6455" w:rsidP="00DD6455">
      <w:pPr>
        <w:pStyle w:val="BodyText"/>
      </w:pPr>
    </w:p>
    <w:p w:rsidR="00000000" w:rsidRPr="00DD6455" w:rsidP="00DD6455">
      <w:pPr>
        <w:pStyle w:val="AllowPageBreak"/>
      </w:pPr>
    </w:p>
    <w:p w:rsidR="00000000" w:rsidRPr="00DD6455" w:rsidP="00DD6455">
      <w:pPr>
        <w:pStyle w:val="Heading1"/>
      </w:pPr>
      <w:bookmarkStart w:id="8" w:name="O_66730"/>
      <w:bookmarkEnd w:id="8"/>
      <w:r w:rsidRPr="00DD6455">
        <w:t>Elements and Performance Criteria</w:t>
      </w:r>
    </w:p>
    <w:tbl>
      <w:tblPr>
        <w:tblW w:w="0" w:type="auto"/>
        <w:tblLayout w:type="fixed"/>
        <w:tblCellMar>
          <w:left w:w="62" w:type="dxa"/>
          <w:right w:w="62" w:type="dxa"/>
        </w:tblCellMar>
        <w:tblLook w:val="0000"/>
      </w:tblPr>
      <w:tblGrid>
        <w:gridCol w:w="2579"/>
        <w:gridCol w:w="5943"/>
      </w:tblGrid>
      <w:tr w:rsidTr="00A25975">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BodyText"/>
            </w:pPr>
            <w:r w:rsidRPr="00DD6455">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PERFORMANCE CRITERIA</w:t>
            </w:r>
          </w:p>
        </w:tc>
      </w:tr>
      <w:tr w:rsidTr="00A25975">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List"/>
              <w:rPr>
                <w:lang w:val="en-NZ"/>
              </w:rPr>
            </w:pPr>
            <w:r w:rsidRPr="00DD6455">
              <w:t>1.</w:t>
            </w:r>
            <w:r w:rsidRPr="00DD6455">
              <w:tab/>
            </w:r>
            <w:r w:rsidRPr="00DD6455">
              <w:t>Evaluate effectiveness of systematic approaches to identifying OHS hazards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List2"/>
            </w:pPr>
            <w:r w:rsidRPr="00DD6455">
              <w:t>1.1.</w:t>
            </w:r>
            <w:r w:rsidRPr="00DD6455">
              <w:tab/>
              <w:t xml:space="preserve">Identify workplace </w:t>
            </w:r>
            <w:r w:rsidRPr="00DD6455">
              <w:rPr>
                <w:rStyle w:val="BoldandItalics"/>
              </w:rPr>
              <w:t>hazard</w:t>
            </w:r>
            <w:r w:rsidRPr="00DD6455">
              <w:t xml:space="preserve"> identification activities being undertaken and compare them with organisational policies and procedures</w:t>
            </w:r>
          </w:p>
          <w:p w:rsidR="00000000" w:rsidRPr="00DD6455" w:rsidP="00DD6455">
            <w:pPr>
              <w:pStyle w:val="List2"/>
            </w:pPr>
            <w:r w:rsidRPr="00DD6455">
              <w:t>1.2.</w:t>
            </w:r>
            <w:r w:rsidRPr="00DD6455">
              <w:tab/>
              <w:t>Examine products, processes and systems t</w:t>
            </w:r>
            <w:r w:rsidRPr="00DD6455">
              <w:t xml:space="preserve">o determine whether </w:t>
            </w:r>
            <w:r w:rsidRPr="00DD6455">
              <w:rPr>
                <w:rStyle w:val="BoldandItalics"/>
              </w:rPr>
              <w:t>hazards of long latency</w:t>
            </w:r>
            <w:r w:rsidRPr="00DD6455">
              <w:t xml:space="preserve"> and </w:t>
            </w:r>
            <w:r w:rsidRPr="00DD6455">
              <w:rPr>
                <w:rStyle w:val="BoldandItalics"/>
              </w:rPr>
              <w:t>low frequency</w:t>
            </w:r>
            <w:r w:rsidRPr="00DD6455">
              <w:t>/</w:t>
            </w:r>
            <w:r w:rsidRPr="00DD6455">
              <w:rPr>
                <w:rStyle w:val="BoldandItalics"/>
              </w:rPr>
              <w:t>high consequence</w:t>
            </w:r>
            <w:r w:rsidRPr="00DD6455">
              <w:t xml:space="preserve"> are included and minimised</w:t>
            </w:r>
          </w:p>
          <w:p w:rsidR="00000000" w:rsidRPr="00DD6455" w:rsidP="00DD6455">
            <w:pPr>
              <w:pStyle w:val="List2"/>
            </w:pPr>
            <w:r w:rsidRPr="00DD6455">
              <w:t>1.3.</w:t>
            </w:r>
            <w:r w:rsidRPr="00DD6455">
              <w:tab/>
              <w:t xml:space="preserve">Examine products, processes and systems to determine whether risks to </w:t>
            </w:r>
            <w:r w:rsidRPr="00DD6455">
              <w:rPr>
                <w:rStyle w:val="BoldandItalics"/>
              </w:rPr>
              <w:t>persons other than employees</w:t>
            </w:r>
            <w:r w:rsidRPr="00DD6455">
              <w:t xml:space="preserve"> are identified and minimised</w:t>
            </w:r>
          </w:p>
          <w:p w:rsidR="00000000" w:rsidRPr="00DD6455" w:rsidP="00DD6455">
            <w:pPr>
              <w:pStyle w:val="List2"/>
            </w:pPr>
            <w:r w:rsidRPr="00DD6455">
              <w:t>1.4.</w:t>
            </w:r>
            <w:r w:rsidRPr="00DD6455">
              <w:tab/>
              <w:t xml:space="preserve">Identify </w:t>
            </w:r>
            <w:r w:rsidRPr="00DD6455">
              <w:rPr>
                <w:rStyle w:val="BoldandItalics"/>
              </w:rPr>
              <w:t>org</w:t>
            </w:r>
            <w:r w:rsidRPr="00DD6455">
              <w:rPr>
                <w:rStyle w:val="BoldandItalics"/>
              </w:rPr>
              <w:t>anisational factors</w:t>
            </w:r>
            <w:r w:rsidRPr="00DD6455">
              <w:t xml:space="preserve"> that impact on OHS </w:t>
            </w:r>
          </w:p>
          <w:p w:rsidR="00000000" w:rsidP="00DD6455">
            <w:pPr>
              <w:pStyle w:val="List2"/>
              <w:rPr>
                <w:lang w:val="en-NZ"/>
              </w:rPr>
            </w:pPr>
            <w:r w:rsidRPr="00DD6455">
              <w:t>1.5.</w:t>
            </w:r>
            <w:r w:rsidRPr="00DD6455">
              <w:tab/>
              <w:t xml:space="preserve">Review outcomes of the evidence gathering with </w:t>
            </w:r>
            <w:r w:rsidRPr="00DD6455">
              <w:rPr>
                <w:rStyle w:val="BoldandItalics"/>
              </w:rPr>
              <w:t>specialist personnel</w:t>
            </w:r>
            <w:r w:rsidRPr="00DD6455">
              <w:t>, if required</w:t>
            </w:r>
          </w:p>
        </w:tc>
      </w:tr>
      <w:tr w:rsidTr="00A25975">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List"/>
              <w:rPr>
                <w:lang w:val="en-NZ"/>
              </w:rPr>
            </w:pPr>
            <w:r w:rsidRPr="00DD6455">
              <w:t>2.</w:t>
            </w:r>
            <w:r w:rsidRPr="00DD6455">
              <w:tab/>
              <w:t>Evaluate the effectiveness of systematic approaches to OHS risk management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List2"/>
            </w:pPr>
            <w:r w:rsidRPr="00DD6455">
              <w:t>2.1.</w:t>
            </w:r>
            <w:r w:rsidRPr="00DD6455">
              <w:tab/>
              <w:t>Evaluate appropriateness of the organisation's</w:t>
            </w:r>
            <w:r w:rsidRPr="00DD6455">
              <w:t xml:space="preserve"> risk assessment tool/s and processes</w:t>
            </w:r>
          </w:p>
          <w:p w:rsidR="00000000" w:rsidRPr="00DD6455" w:rsidP="00DD6455">
            <w:pPr>
              <w:pStyle w:val="List2"/>
            </w:pPr>
            <w:r w:rsidRPr="00DD6455">
              <w:t>2.2.</w:t>
            </w:r>
            <w:r w:rsidRPr="00DD6455">
              <w:tab/>
              <w:t>Assess outcomes of the risk assessment process for validity, reliability and inclusion of all major OHS risks, in particular demonstrated use of risk assessment methods in the organisation</w:t>
            </w:r>
          </w:p>
          <w:p w:rsidR="00000000" w:rsidP="00DD6455">
            <w:pPr>
              <w:pStyle w:val="List2"/>
              <w:rPr>
                <w:lang w:val="en-NZ"/>
              </w:rPr>
            </w:pPr>
            <w:r w:rsidRPr="00DD6455">
              <w:t>2.3.</w:t>
            </w:r>
            <w:r w:rsidRPr="00DD6455">
              <w:tab/>
              <w:t>Evaluate risk contr</w:t>
            </w:r>
            <w:r w:rsidRPr="00DD6455">
              <w:t>ols for suitability and effectiveness in relation to the organisation's systematic management of OHS</w:t>
            </w:r>
          </w:p>
        </w:tc>
      </w:tr>
      <w:tr w:rsidTr="00A25975">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List"/>
              <w:rPr>
                <w:lang w:val="en-NZ"/>
              </w:rPr>
            </w:pPr>
            <w:r w:rsidRPr="00DD6455">
              <w:t>3.</w:t>
            </w:r>
            <w:r w:rsidRPr="00DD6455">
              <w:tab/>
              <w:t>Evaluate the effectiveness of systematic OHS monitoring processes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List2"/>
            </w:pPr>
            <w:r w:rsidRPr="00DD6455">
              <w:t>3.1.</w:t>
            </w:r>
            <w:r w:rsidRPr="00DD6455">
              <w:tab/>
              <w:t>Evaluate the scope of organisational processes to monitor the implementation and</w:t>
            </w:r>
            <w:r w:rsidRPr="00DD6455">
              <w:t xml:space="preserve"> status of systematic approaches to managing OHS</w:t>
            </w:r>
          </w:p>
          <w:p w:rsidR="00000000" w:rsidRPr="00DD6455" w:rsidP="00DD6455">
            <w:pPr>
              <w:pStyle w:val="List2"/>
            </w:pPr>
            <w:r w:rsidRPr="00DD6455">
              <w:t>3.2.</w:t>
            </w:r>
            <w:r w:rsidRPr="00DD6455">
              <w:tab/>
              <w:t>Evaluate the quality of information and data obtained from the monitoring processes</w:t>
            </w:r>
          </w:p>
          <w:p w:rsidR="00000000" w:rsidP="00DD6455">
            <w:pPr>
              <w:pStyle w:val="List2"/>
              <w:rPr>
                <w:lang w:val="en-NZ"/>
              </w:rPr>
            </w:pPr>
            <w:r w:rsidRPr="00DD6455">
              <w:t>3.3.</w:t>
            </w:r>
            <w:r w:rsidRPr="00DD6455">
              <w:tab/>
              <w:t>Evaluate the managerial level of response to the issues raised in the monitorin</w:t>
            </w:r>
            <w:r w:rsidRPr="00DD6455">
              <w:t>g process in relation to the level of risk</w:t>
            </w:r>
          </w:p>
        </w:tc>
      </w:tr>
      <w:tr w:rsidTr="00A25975">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List"/>
              <w:rPr>
                <w:lang w:val="en-NZ"/>
              </w:rPr>
            </w:pPr>
            <w:r w:rsidRPr="00DD6455">
              <w:t>4.</w:t>
            </w:r>
            <w:r w:rsidRPr="00DD6455">
              <w:tab/>
              <w:t>Assess whether the OHS management approaches have produced improved performance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List2"/>
            </w:pPr>
            <w:r w:rsidRPr="00DD6455">
              <w:t>4.1.</w:t>
            </w:r>
            <w:r w:rsidRPr="00DD6455">
              <w:tab/>
              <w:t xml:space="preserve">Evaluate performance indicators, including positive performance indicators (PPIs) to determine whether they provide a true, </w:t>
            </w:r>
            <w:r w:rsidRPr="00DD6455">
              <w:t>reliable and timely measure of the effectiveness of the OHS management approaches to reducing OHS risk</w:t>
            </w:r>
          </w:p>
          <w:p w:rsidR="00000000" w:rsidRPr="00DD6455" w:rsidP="00DD6455">
            <w:pPr>
              <w:pStyle w:val="List2"/>
            </w:pPr>
            <w:r w:rsidRPr="00DD6455">
              <w:t>4.2.</w:t>
            </w:r>
            <w:r w:rsidRPr="00DD6455">
              <w:tab/>
              <w:t>Compare reported performance with evidence gathered and document differences</w:t>
            </w:r>
          </w:p>
          <w:p w:rsidR="00000000" w:rsidP="00DD6455">
            <w:pPr>
              <w:pStyle w:val="List2"/>
              <w:rPr>
                <w:lang w:val="en-NZ"/>
              </w:rPr>
            </w:pPr>
            <w:r w:rsidRPr="00DD6455">
              <w:t>4.3.</w:t>
            </w:r>
            <w:r w:rsidRPr="00DD6455">
              <w:tab/>
              <w:t xml:space="preserve">Evaluate outcomes of performance and document them in a clear and </w:t>
            </w:r>
            <w:r w:rsidRPr="00DD6455">
              <w:t>objective manner</w:t>
            </w:r>
          </w:p>
        </w:tc>
      </w:tr>
      <w:tr w:rsidTr="00A25975">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List"/>
              <w:rPr>
                <w:lang w:val="en-NZ"/>
              </w:rPr>
            </w:pPr>
            <w:r w:rsidRPr="00DD6455">
              <w:t>5.</w:t>
            </w:r>
            <w:r w:rsidRPr="00DD6455">
              <w:tab/>
              <w:t>Assess and advise on organisational OHS compliance against agreed benchmarks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List2"/>
            </w:pPr>
            <w:r w:rsidRPr="00DD6455">
              <w:t>5.1.</w:t>
            </w:r>
            <w:r w:rsidRPr="00DD6455">
              <w:tab/>
              <w:t xml:space="preserve">Undertake systematic analysis to identify areas of OHS compliance and non-compliance with </w:t>
            </w:r>
            <w:r w:rsidRPr="00DD6455">
              <w:rPr>
                <w:rStyle w:val="BoldandItalics"/>
              </w:rPr>
              <w:t>benchmarks</w:t>
            </w:r>
          </w:p>
          <w:p w:rsidR="00000000" w:rsidRPr="00DD6455" w:rsidP="00DD6455">
            <w:pPr>
              <w:pStyle w:val="List2"/>
            </w:pPr>
            <w:r w:rsidRPr="00DD6455">
              <w:t>5.2.</w:t>
            </w:r>
            <w:r w:rsidRPr="00DD6455">
              <w:tab/>
              <w:t>Provide advice on the impact of legislation and</w:t>
            </w:r>
            <w:r w:rsidRPr="00DD6455">
              <w:t xml:space="preserve"> standards on the selection, suitability and implementation of a range of OHS performance interventions</w:t>
            </w:r>
          </w:p>
          <w:p w:rsidR="00000000" w:rsidRPr="00DD6455" w:rsidP="00DD6455">
            <w:pPr>
              <w:pStyle w:val="List2"/>
            </w:pPr>
            <w:r w:rsidRPr="00DD6455">
              <w:t>5.3.</w:t>
            </w:r>
            <w:r w:rsidRPr="00DD6455">
              <w:tab/>
              <w:t xml:space="preserve">Document outcomes of evaluation of compliance and report to </w:t>
            </w:r>
            <w:r w:rsidRPr="00DD6455">
              <w:rPr>
                <w:rStyle w:val="BoldandItalics"/>
              </w:rPr>
              <w:t>key personnel and stakeholders</w:t>
            </w:r>
          </w:p>
        </w:tc>
      </w:tr>
    </w:tbl>
    <w:p w:rsidR="00000000" w:rsidRPr="00DD6455" w:rsidP="00DD6455">
      <w:pPr>
        <w:pStyle w:val="BodyText"/>
      </w:pPr>
    </w:p>
    <w:p w:rsidR="00000000" w:rsidRPr="00DD6455" w:rsidP="00DD6455">
      <w:pPr>
        <w:pStyle w:val="AllowPageBreak"/>
      </w:pPr>
    </w:p>
    <w:p w:rsidR="00000000" w:rsidRPr="00DD6455" w:rsidP="00DD6455">
      <w:pPr>
        <w:pStyle w:val="Heading1"/>
      </w:pPr>
      <w:bookmarkStart w:id="9" w:name="O_66731"/>
      <w:bookmarkEnd w:id="9"/>
      <w:r w:rsidRPr="00DD6455">
        <w:t>Required Skills and Knowledge</w:t>
      </w:r>
    </w:p>
    <w:tbl>
      <w:tblPr>
        <w:tblW w:w="0" w:type="auto"/>
        <w:tblLayout w:type="fixed"/>
        <w:tblCellMar>
          <w:left w:w="62" w:type="dxa"/>
          <w:right w:w="62" w:type="dxa"/>
        </w:tblCellMar>
        <w:tblLook w:val="0000"/>
      </w:tblPr>
      <w:tblGrid>
        <w:gridCol w:w="8522"/>
      </w:tblGrid>
      <w:tr w:rsidTr="00A259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 xml:space="preserve">REQUIRED </w:t>
            </w:r>
            <w:r w:rsidRPr="00DD6455">
              <w:rPr>
                <w:rStyle w:val="SpecialBold"/>
              </w:rPr>
              <w:t>SKILLS AND KNOWLEDGE</w:t>
            </w:r>
          </w:p>
        </w:tc>
      </w:tr>
      <w:tr w:rsidTr="00A259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t>This section describes the skills and knowledge required for this unit.</w:t>
            </w:r>
          </w:p>
        </w:tc>
      </w:tr>
      <w:tr w:rsidTr="00A259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Required skills</w:t>
            </w:r>
          </w:p>
        </w:tc>
      </w:tr>
      <w:tr w:rsidTr="00A259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ListBullet"/>
            </w:pPr>
            <w:r w:rsidRPr="00DD6455">
              <w:t>analytical skills to:</w:t>
            </w:r>
          </w:p>
          <w:p w:rsidR="00000000" w:rsidRPr="00DD6455" w:rsidP="00DD6455">
            <w:pPr>
              <w:pStyle w:val="ListBullet2"/>
            </w:pPr>
            <w:r w:rsidRPr="00DD6455">
              <w:t>use information and relevant workplace information and data, and to make observations of workplace t</w:t>
            </w:r>
            <w:r w:rsidRPr="00DD6455">
              <w:t>asks and interactions between people, their activities, equipment, environment and systems</w:t>
            </w:r>
          </w:p>
          <w:p w:rsidR="00000000" w:rsidRPr="00DD6455" w:rsidP="00DD6455">
            <w:pPr>
              <w:pStyle w:val="ListBullet2"/>
            </w:pPr>
            <w:r w:rsidRPr="00DD6455">
              <w:t>interpret information and data, to identify areas for improvement</w:t>
            </w:r>
          </w:p>
          <w:p w:rsidR="00000000" w:rsidRPr="00DD6455" w:rsidP="00DD6455">
            <w:pPr>
              <w:pStyle w:val="ListBullet"/>
            </w:pPr>
            <w:r w:rsidRPr="00DD6455">
              <w:t>research skills to:</w:t>
            </w:r>
          </w:p>
          <w:p w:rsidR="00000000" w:rsidRPr="00DD6455" w:rsidP="00DD6455">
            <w:pPr>
              <w:pStyle w:val="ListBullet2"/>
            </w:pPr>
            <w:r w:rsidRPr="00DD6455">
              <w:t>access relevant OHS information and data</w:t>
            </w:r>
          </w:p>
          <w:p w:rsidR="00000000" w:rsidRPr="00DD6455" w:rsidP="00DD6455">
            <w:pPr>
              <w:pStyle w:val="ListBullet2"/>
            </w:pPr>
            <w:r w:rsidRPr="00DD6455">
              <w:t>use information and data gathering t</w:t>
            </w:r>
            <w:r w:rsidRPr="00DD6455">
              <w:t>echniques such as brainstorming, polling, interviewing</w:t>
            </w:r>
          </w:p>
          <w:p w:rsidR="00000000" w:rsidRPr="00DD6455" w:rsidP="00DD6455">
            <w:pPr>
              <w:pStyle w:val="ListBullet"/>
            </w:pPr>
            <w:r w:rsidRPr="00DD6455">
              <w:t>communication skills to:</w:t>
            </w:r>
          </w:p>
          <w:p w:rsidR="00000000" w:rsidRPr="00DD6455" w:rsidP="00DD6455">
            <w:pPr>
              <w:pStyle w:val="ListBullet2"/>
            </w:pPr>
            <w:r w:rsidRPr="00DD6455">
              <w:t>relate effectively with personnel at all levels of the organisation, OHS specialists and, as required, emergency services personnel</w:t>
            </w:r>
          </w:p>
          <w:p w:rsidR="00000000" w:rsidRPr="00DD6455" w:rsidP="00DD6455">
            <w:pPr>
              <w:pStyle w:val="ListBullet2"/>
            </w:pPr>
            <w:r w:rsidRPr="00DD6455">
              <w:t>prepare reports for a range of target grou</w:t>
            </w:r>
            <w:r w:rsidRPr="00DD6455">
              <w:t>ps including OHS committee, OHS representatives, managers, supervisors and other stakeholders</w:t>
            </w:r>
          </w:p>
          <w:p w:rsidR="00000000" w:rsidRPr="00DD6455" w:rsidP="00DD6455">
            <w:pPr>
              <w:pStyle w:val="ListBullet2"/>
            </w:pPr>
            <w:r w:rsidRPr="00DD6455">
              <w:t xml:space="preserve">employ consultation and negotiation skills to develop plans, and to implement and monitor designated actions </w:t>
            </w:r>
          </w:p>
          <w:p w:rsidR="00000000" w:rsidRPr="00DD6455" w:rsidP="00DD6455">
            <w:pPr>
              <w:pStyle w:val="ListBullet2"/>
            </w:pPr>
            <w:r w:rsidRPr="00DD6455">
              <w:t>conduct effective formal and informal meetings</w:t>
            </w:r>
          </w:p>
          <w:p w:rsidR="00000000" w:rsidRPr="00DD6455" w:rsidP="00DD6455">
            <w:pPr>
              <w:pStyle w:val="ListBullet2"/>
            </w:pPr>
            <w:r w:rsidRPr="00DD6455">
              <w:t>use l</w:t>
            </w:r>
            <w:r w:rsidRPr="00DD6455">
              <w:t>anguage and literacy skills appropriate to the workgroup and the task</w:t>
            </w:r>
          </w:p>
          <w:p w:rsidR="00000000" w:rsidRPr="00DD6455" w:rsidP="00DD6455">
            <w:pPr>
              <w:pStyle w:val="ListBullet"/>
            </w:pPr>
            <w:r w:rsidRPr="00DD6455">
              <w:t>project management skills to achieve continuous improvement and change, and to contribute to strategic OHS performance of the organisation</w:t>
            </w:r>
          </w:p>
          <w:p w:rsidR="00000000" w:rsidRPr="00DD6455" w:rsidP="00DD6455">
            <w:pPr>
              <w:pStyle w:val="ListBullet"/>
            </w:pPr>
            <w:r w:rsidRPr="00DD6455">
              <w:t>numeracy skills to carry out simple statistica</w:t>
            </w:r>
            <w:r w:rsidRPr="00DD6455">
              <w:t>l analysis e.g. mean, standard deviation, regression</w:t>
            </w:r>
          </w:p>
          <w:p w:rsidR="00000000" w:rsidRPr="00DD6455" w:rsidP="00DD6455">
            <w:pPr>
              <w:pStyle w:val="ListBullet"/>
            </w:pPr>
            <w:r w:rsidRPr="00DD6455">
              <w:t xml:space="preserve">organisational skills to manage own tasks within a timeframe </w:t>
            </w:r>
          </w:p>
          <w:p w:rsidR="00000000" w:rsidRPr="00DD6455" w:rsidP="00DD6455">
            <w:pPr>
              <w:pStyle w:val="ListBullet"/>
            </w:pPr>
            <w:r w:rsidRPr="00DD6455">
              <w:t>information technology skills to:</w:t>
            </w:r>
          </w:p>
          <w:p w:rsidR="00000000" w:rsidRPr="00DD6455" w:rsidP="00DD6455">
            <w:pPr>
              <w:pStyle w:val="ListBullet2"/>
            </w:pPr>
            <w:r w:rsidRPr="00DD6455">
              <w:t>access internal and external information and data on OHS</w:t>
            </w:r>
          </w:p>
          <w:p w:rsidR="00000000" w:rsidRPr="00DD6455" w:rsidP="00DD6455">
            <w:pPr>
              <w:pStyle w:val="ListBullet2"/>
            </w:pPr>
            <w:r w:rsidRPr="00DD6455">
              <w:t xml:space="preserve">prepare reports and to analyse and evaluate a range of information and data formats including graphs, maps, matrices, technical reports </w:t>
            </w:r>
          </w:p>
          <w:p w:rsidR="00000000" w:rsidRPr="00DD6455" w:rsidP="00DD6455">
            <w:pPr>
              <w:pStyle w:val="ListBullet2"/>
            </w:pPr>
            <w:r w:rsidRPr="00DD6455">
              <w:t xml:space="preserve">use electronic information and data systems to enter workplace information and data and to produce effective graphical </w:t>
            </w:r>
            <w:r w:rsidRPr="00DD6455">
              <w:t>representation</w:t>
            </w:r>
          </w:p>
          <w:p w:rsidR="00000000" w:rsidRPr="00DD6455" w:rsidP="00DD6455">
            <w:pPr>
              <w:pStyle w:val="ListBullet2"/>
            </w:pPr>
            <w:r w:rsidRPr="00DD6455">
              <w:t>use a range of communication media</w:t>
            </w:r>
          </w:p>
          <w:p w:rsidR="00000000" w:rsidP="00DD6455">
            <w:pPr>
              <w:pStyle w:val="ListBullet"/>
              <w:rPr>
                <w:lang w:val="en-NZ"/>
              </w:rPr>
            </w:pPr>
            <w:r w:rsidRPr="00DD6455">
              <w:t>attention to detail when making observations and recording outcomes.</w:t>
            </w:r>
          </w:p>
        </w:tc>
      </w:tr>
      <w:tr w:rsidTr="00A259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Required knowledge</w:t>
            </w:r>
          </w:p>
        </w:tc>
      </w:tr>
      <w:tr w:rsidTr="00A259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ListBullet"/>
            </w:pPr>
            <w:r w:rsidRPr="00DD6455">
              <w:t xml:space="preserve">roles and responsibilities under OHS legislation of employees including supervisors, contractors, OHS inspectors </w:t>
            </w:r>
          </w:p>
          <w:p w:rsidR="00000000" w:rsidRPr="00DD6455" w:rsidP="00DD6455">
            <w:pPr>
              <w:pStyle w:val="ListBullet"/>
            </w:pPr>
            <w:r w:rsidRPr="00DD6455">
              <w:t xml:space="preserve">principles of duty of care including concepts of causation, foreseeability, preventability </w:t>
            </w:r>
          </w:p>
          <w:p w:rsidR="00000000" w:rsidRPr="00DD6455" w:rsidP="00DD6455">
            <w:pPr>
              <w:pStyle w:val="ListBullet"/>
            </w:pPr>
            <w:r w:rsidRPr="00DD6455">
              <w:t xml:space="preserve">legislative requirements for OHS information and data, and consultation </w:t>
            </w:r>
          </w:p>
          <w:p w:rsidR="00000000" w:rsidRPr="00DD6455" w:rsidP="00DD6455">
            <w:pPr>
              <w:pStyle w:val="ListBullet"/>
            </w:pPr>
            <w:r w:rsidRPr="00DD6455">
              <w:t>roles and responsibilities in relation to communication and consultation for OHS committees</w:t>
            </w:r>
            <w:r w:rsidRPr="00DD6455">
              <w:t xml:space="preserve">, OHS representatives, line management, employees and inspectors </w:t>
            </w:r>
          </w:p>
          <w:p w:rsidR="00000000" w:rsidRPr="00DD6455" w:rsidP="00DD6455">
            <w:pPr>
              <w:pStyle w:val="ListBullet"/>
            </w:pPr>
            <w:r w:rsidRPr="00DD6455">
              <w:t>state/territory and commonwealth OHS legislation (acts, regulations, codes of practice, associated standards and guidance material) including prescriptive and performance approaches and link</w:t>
            </w:r>
            <w:r w:rsidRPr="00DD6455">
              <w:t xml:space="preserve">s to other relevant legislation such as industrial relations, equal employment opportunity, workers compensation, rehabilitation </w:t>
            </w:r>
          </w:p>
          <w:p w:rsidR="00000000" w:rsidRPr="00DD6455" w:rsidP="00DD6455">
            <w:pPr>
              <w:pStyle w:val="ListBullet"/>
            </w:pPr>
            <w:r w:rsidRPr="00DD6455">
              <w:t xml:space="preserve">structure and forms of legislation including regulations, codes of practice, associated standards and guidance material </w:t>
            </w:r>
          </w:p>
          <w:p w:rsidR="00000000" w:rsidRPr="00DD6455" w:rsidP="00DD6455">
            <w:pPr>
              <w:pStyle w:val="ListBullet"/>
            </w:pPr>
            <w:r w:rsidRPr="00DD6455">
              <w:t>diffe</w:t>
            </w:r>
            <w:r w:rsidRPr="00DD6455">
              <w:t xml:space="preserve">rence between common law and statutory law </w:t>
            </w:r>
          </w:p>
          <w:p w:rsidR="00000000" w:rsidRPr="00DD6455" w:rsidP="00DD6455">
            <w:pPr>
              <w:pStyle w:val="ListBullet"/>
            </w:pPr>
            <w:r w:rsidRPr="00DD6455">
              <w:t xml:space="preserve">concept of common law duty of care </w:t>
            </w:r>
          </w:p>
          <w:p w:rsidR="00000000" w:rsidRPr="00DD6455" w:rsidP="00DD6455">
            <w:pPr>
              <w:pStyle w:val="ListBullet"/>
            </w:pPr>
            <w:r w:rsidRPr="00DD6455">
              <w:t xml:space="preserve">requirements for record keeping that address OHS, privacy and other relevant legislation </w:t>
            </w:r>
          </w:p>
          <w:p w:rsidR="00000000" w:rsidRPr="00DD6455" w:rsidP="00DD6455">
            <w:pPr>
              <w:pStyle w:val="ListBullet"/>
            </w:pPr>
            <w:r w:rsidRPr="00DD6455">
              <w:t>standards related to OHS information and data, statistics and records management inclu</w:t>
            </w:r>
            <w:r w:rsidRPr="00DD6455">
              <w:t xml:space="preserve">ding requirements for information and data under elements of systematically managing OHS </w:t>
            </w:r>
          </w:p>
          <w:p w:rsidR="00000000" w:rsidRPr="00DD6455" w:rsidP="00DD6455">
            <w:pPr>
              <w:pStyle w:val="ListBullet"/>
            </w:pPr>
            <w:r w:rsidRPr="00DD6455">
              <w:t>nature and use of information and data that provides valid and reliable results on performance of OHS management processes (including PPIs) and limitations of other t</w:t>
            </w:r>
            <w:r w:rsidRPr="00DD6455">
              <w:t>ypes of measures</w:t>
            </w:r>
          </w:p>
          <w:p w:rsidR="00000000" w:rsidRPr="00DD6455" w:rsidP="00DD6455">
            <w:pPr>
              <w:pStyle w:val="ListBullet"/>
            </w:pPr>
            <w:r w:rsidRPr="00DD6455">
              <w:t xml:space="preserve">development of tools such as PPIs in assessment of OHS performance </w:t>
            </w:r>
          </w:p>
          <w:p w:rsidR="00000000" w:rsidRPr="00DD6455" w:rsidP="00DD6455">
            <w:pPr>
              <w:pStyle w:val="ListBullet"/>
            </w:pPr>
            <w:r w:rsidRPr="00DD6455">
              <w:t xml:space="preserve">methods of collecting reliable information and data, commonly encountered problems in collection, and strategies for overcoming such problems </w:t>
            </w:r>
          </w:p>
          <w:p w:rsidR="00000000" w:rsidRPr="00DD6455" w:rsidP="00DD6455">
            <w:pPr>
              <w:pStyle w:val="ListBullet"/>
            </w:pPr>
            <w:r w:rsidRPr="00DD6455">
              <w:t xml:space="preserve">requirements for reporting under OHS and other relevant legislation including notification and reporting of incidents </w:t>
            </w:r>
          </w:p>
          <w:p w:rsidR="00000000" w:rsidRPr="00DD6455" w:rsidP="00DD6455">
            <w:pPr>
              <w:pStyle w:val="ListBullet"/>
            </w:pPr>
            <w:r w:rsidRPr="00DD6455">
              <w:t xml:space="preserve">difference between hazard and risk </w:t>
            </w:r>
          </w:p>
          <w:p w:rsidR="00000000" w:rsidRPr="00DD6455" w:rsidP="00DD6455">
            <w:pPr>
              <w:pStyle w:val="ListBullet"/>
            </w:pPr>
            <w:r w:rsidRPr="00DD6455">
              <w:t xml:space="preserve">risk as a measure of uncertainty and the factors that affect risk </w:t>
            </w:r>
          </w:p>
          <w:p w:rsidR="00000000" w:rsidRPr="00DD6455" w:rsidP="00DD6455">
            <w:pPr>
              <w:pStyle w:val="ListBullet"/>
            </w:pPr>
            <w:r w:rsidRPr="00DD6455">
              <w:t>requirements under hazard-specific</w:t>
            </w:r>
            <w:r w:rsidRPr="00DD6455">
              <w:t xml:space="preserve"> OHS legislation and codes of practice </w:t>
            </w:r>
          </w:p>
          <w:p w:rsidR="00000000" w:rsidRPr="00DD6455" w:rsidP="00DD6455">
            <w:pPr>
              <w:pStyle w:val="ListBullet"/>
            </w:pPr>
            <w:r w:rsidRPr="00DD6455">
              <w:t xml:space="preserve">principles of incident causation and injury processes </w:t>
            </w:r>
          </w:p>
          <w:p w:rsidR="00000000" w:rsidRPr="00DD6455" w:rsidP="00DD6455">
            <w:pPr>
              <w:pStyle w:val="ListBullet"/>
            </w:pPr>
            <w:r w:rsidRPr="00DD6455">
              <w:t xml:space="preserve">characteristics, mode of action and units of measurement of major hazard types </w:t>
            </w:r>
          </w:p>
          <w:p w:rsidR="00000000" w:rsidRPr="00DD6455" w:rsidP="00DD6455">
            <w:pPr>
              <w:pStyle w:val="ListBullet"/>
            </w:pPr>
            <w:r w:rsidRPr="00DD6455">
              <w:t>principles of human behaviour and response to interactions with human, physical a</w:t>
            </w:r>
            <w:r w:rsidRPr="00DD6455">
              <w:t xml:space="preserve">nd task environment to identify psychosocial hazards </w:t>
            </w:r>
          </w:p>
          <w:p w:rsidR="00000000" w:rsidRPr="00DD6455" w:rsidP="00DD6455">
            <w:pPr>
              <w:pStyle w:val="ListBullet"/>
            </w:pPr>
            <w:r w:rsidRPr="00DD6455">
              <w:t xml:space="preserve">hierarchy of control and considerations for choosing between different control measures, such as possible inadequacies of particular control measures </w:t>
            </w:r>
          </w:p>
          <w:p w:rsidR="00000000" w:rsidRPr="00DD6455" w:rsidP="00DD6455">
            <w:pPr>
              <w:pStyle w:val="ListBullet"/>
            </w:pPr>
            <w:r w:rsidRPr="00DD6455">
              <w:t xml:space="preserve">standard industry controls for a range of hazards </w:t>
            </w:r>
          </w:p>
          <w:p w:rsidR="00000000" w:rsidRPr="00DD6455" w:rsidP="00DD6455">
            <w:pPr>
              <w:pStyle w:val="ListBullet"/>
            </w:pPr>
            <w:r w:rsidRPr="00DD6455">
              <w:t xml:space="preserve">types of hazard identification tools including job system analysis (JSA) </w:t>
            </w:r>
          </w:p>
          <w:p w:rsidR="00000000" w:rsidRPr="00DD6455" w:rsidP="00DD6455">
            <w:pPr>
              <w:pStyle w:val="ListBullet"/>
            </w:pPr>
            <w:r w:rsidRPr="00DD6455">
              <w:t xml:space="preserve">limitations of generic hazard and risk checklists, and risk ranking processes </w:t>
            </w:r>
          </w:p>
          <w:p w:rsidR="00000000" w:rsidRPr="00DD6455" w:rsidP="00DD6455">
            <w:pPr>
              <w:pStyle w:val="ListBullet"/>
            </w:pPr>
            <w:r w:rsidRPr="00DD6455">
              <w:t xml:space="preserve">sampling methodologies, application and related statistical measures </w:t>
            </w:r>
          </w:p>
          <w:p w:rsidR="00000000" w:rsidRPr="00DD6455" w:rsidP="00DD6455">
            <w:pPr>
              <w:pStyle w:val="ListBullet"/>
            </w:pPr>
            <w:r w:rsidRPr="00DD6455">
              <w:t>principles and practices of a sys</w:t>
            </w:r>
            <w:r w:rsidRPr="00DD6455">
              <w:t xml:space="preserve">tematic approach to managing OHS </w:t>
            </w:r>
          </w:p>
          <w:p w:rsidR="00000000" w:rsidRPr="00DD6455" w:rsidP="00DD6455">
            <w:pPr>
              <w:pStyle w:val="ListBullet"/>
            </w:pPr>
            <w:r w:rsidRPr="00DD6455">
              <w:t xml:space="preserve">range of risk analysis/assessment techniques and tools, and the application and limitations of those techniques and tools </w:t>
            </w:r>
          </w:p>
          <w:p w:rsidR="00000000" w:rsidRPr="00DD6455" w:rsidP="00DD6455">
            <w:pPr>
              <w:pStyle w:val="ListBullet"/>
            </w:pPr>
            <w:r w:rsidRPr="00DD6455">
              <w:t xml:space="preserve">requirements of OHS and standards related to systematically managing OHS </w:t>
            </w:r>
          </w:p>
          <w:p w:rsidR="00000000" w:rsidRPr="00DD6455" w:rsidP="00DD6455">
            <w:pPr>
              <w:pStyle w:val="ListBullet"/>
            </w:pPr>
            <w:r w:rsidRPr="00DD6455">
              <w:t>other functional areas th</w:t>
            </w:r>
            <w:r w:rsidRPr="00DD6455">
              <w:t xml:space="preserve">at impact on the management of OHS </w:t>
            </w:r>
          </w:p>
          <w:p w:rsidR="00000000" w:rsidRPr="00DD6455" w:rsidP="00DD6455">
            <w:pPr>
              <w:pStyle w:val="ListBullet"/>
            </w:pPr>
            <w:r w:rsidRPr="00DD6455">
              <w:t xml:space="preserve">internal and external sources of OHS information and data </w:t>
            </w:r>
          </w:p>
          <w:p w:rsidR="00000000" w:rsidRPr="00DD6455" w:rsidP="00DD6455">
            <w:pPr>
              <w:pStyle w:val="ListBullet"/>
            </w:pPr>
            <w:r w:rsidRPr="00DD6455">
              <w:t xml:space="preserve">how the characteristics and composition of the workforce impact on risk and the systematic approach to managing OHS, for example: </w:t>
            </w:r>
          </w:p>
          <w:p w:rsidR="00000000" w:rsidRPr="00DD6455" w:rsidP="00DD6455">
            <w:pPr>
              <w:pStyle w:val="ListBullet2"/>
            </w:pPr>
            <w:r w:rsidRPr="00DD6455">
              <w:t xml:space="preserve">labour market changes </w:t>
            </w:r>
          </w:p>
          <w:p w:rsidR="00000000" w:rsidRPr="00DD6455" w:rsidP="00DD6455">
            <w:pPr>
              <w:pStyle w:val="ListBullet2"/>
            </w:pPr>
            <w:r w:rsidRPr="00DD6455">
              <w:t xml:space="preserve">structure and organisation of workforce e.g. part-time, casual and contract workers, shift rosters, geographical location </w:t>
            </w:r>
          </w:p>
          <w:p w:rsidR="00000000" w:rsidRPr="00DD6455" w:rsidP="00DD6455">
            <w:pPr>
              <w:pStyle w:val="ListBullet2"/>
            </w:pPr>
            <w:r w:rsidRPr="00DD6455">
              <w:t xml:space="preserve">language, literacy and numeracy </w:t>
            </w:r>
          </w:p>
          <w:p w:rsidR="00000000" w:rsidRPr="00DD6455" w:rsidP="00DD6455">
            <w:pPr>
              <w:pStyle w:val="ListBullet2"/>
            </w:pPr>
            <w:r w:rsidRPr="00DD6455">
              <w:t xml:space="preserve">communication skills </w:t>
            </w:r>
          </w:p>
          <w:p w:rsidR="00000000" w:rsidRPr="00DD6455" w:rsidP="00DD6455">
            <w:pPr>
              <w:pStyle w:val="ListBullet2"/>
            </w:pPr>
            <w:r w:rsidRPr="00DD6455">
              <w:t xml:space="preserve">cultural background/workplace diversity </w:t>
            </w:r>
          </w:p>
          <w:p w:rsidR="00000000" w:rsidRPr="00DD6455" w:rsidP="00DD6455">
            <w:pPr>
              <w:pStyle w:val="ListBullet2"/>
            </w:pPr>
            <w:r w:rsidRPr="00DD6455">
              <w:t xml:space="preserve">gender </w:t>
            </w:r>
          </w:p>
          <w:p w:rsidR="00000000" w:rsidRPr="00DD6455" w:rsidP="00DD6455">
            <w:pPr>
              <w:pStyle w:val="ListBullet2"/>
            </w:pPr>
            <w:r w:rsidRPr="00DD6455">
              <w:t>workers with specific needs</w:t>
            </w:r>
          </w:p>
          <w:p w:rsidR="00000000" w:rsidRPr="00DD6455" w:rsidP="00DD6455">
            <w:pPr>
              <w:pStyle w:val="ListBullet"/>
            </w:pPr>
            <w:r w:rsidRPr="00DD6455">
              <w:t xml:space="preserve">auditing methods and techniques </w:t>
            </w:r>
          </w:p>
          <w:p w:rsidR="00000000" w:rsidRPr="00DD6455" w:rsidP="00DD6455">
            <w:pPr>
              <w:pStyle w:val="ListBullet"/>
            </w:pPr>
            <w:r w:rsidRPr="00DD6455">
              <w:t xml:space="preserve">benefits, limitations and use of a range of communication strategies and tools appropriate to the workplace </w:t>
            </w:r>
          </w:p>
          <w:p w:rsidR="00000000" w:rsidRPr="00DD6455" w:rsidP="00DD6455">
            <w:pPr>
              <w:pStyle w:val="ListBullet"/>
            </w:pPr>
            <w:r w:rsidRPr="00DD6455">
              <w:t xml:space="preserve">organisational behaviour and culture as it impacts on OHS and on change </w:t>
            </w:r>
          </w:p>
          <w:p w:rsidR="00000000" w:rsidRPr="00DD6455" w:rsidP="00DD6455">
            <w:pPr>
              <w:pStyle w:val="ListBullet"/>
            </w:pPr>
            <w:r w:rsidRPr="00DD6455">
              <w:t xml:space="preserve">ethics related to professional practice </w:t>
            </w:r>
          </w:p>
          <w:p w:rsidR="00000000" w:rsidRPr="00DD6455" w:rsidP="00DD6455">
            <w:pPr>
              <w:pStyle w:val="ListBullet"/>
            </w:pPr>
            <w:r w:rsidRPr="00DD6455">
              <w:t xml:space="preserve">methods of providing evidence of compliance with OHS legislation </w:t>
            </w:r>
          </w:p>
          <w:p w:rsidR="00000000" w:rsidRPr="00DD6455" w:rsidP="00DD6455">
            <w:pPr>
              <w:pStyle w:val="ListBullet"/>
            </w:pPr>
            <w:r w:rsidRPr="00DD6455">
              <w:t xml:space="preserve">professional liability in relation to providing advice </w:t>
            </w:r>
          </w:p>
          <w:p w:rsidR="00000000" w:rsidRPr="00DD6455" w:rsidP="00DD6455">
            <w:pPr>
              <w:pStyle w:val="ListBullet"/>
            </w:pPr>
            <w:r w:rsidRPr="00DD6455">
              <w:t xml:space="preserve">principles of effective meetings including agendas, action planning, chair and secretarial duties, minutes and action items </w:t>
            </w:r>
          </w:p>
          <w:p w:rsidR="00000000" w:rsidRPr="00DD6455" w:rsidP="00DD6455">
            <w:pPr>
              <w:pStyle w:val="ListBullet"/>
            </w:pPr>
            <w:r w:rsidRPr="00DD6455">
              <w:t xml:space="preserve">organisational OHS policies and procedures </w:t>
            </w:r>
          </w:p>
          <w:p w:rsidR="00000000" w:rsidRPr="00DD6455" w:rsidP="00DD6455">
            <w:pPr>
              <w:pStyle w:val="ListBullet"/>
            </w:pPr>
            <w:r w:rsidRPr="00DD6455">
              <w:t xml:space="preserve">nature of workplace processes (including work flow, planning and control) and hazards relevant to the particular workplace </w:t>
            </w:r>
          </w:p>
          <w:p w:rsidR="00000000" w:rsidRPr="00DD6455" w:rsidP="00DD6455">
            <w:pPr>
              <w:pStyle w:val="ListBullet"/>
            </w:pPr>
            <w:r w:rsidRPr="00DD6455">
              <w:t xml:space="preserve">formal and informal communication and consultation processes, and key personnel related </w:t>
            </w:r>
            <w:r w:rsidRPr="00DD6455">
              <w:t xml:space="preserve">to communication </w:t>
            </w:r>
          </w:p>
          <w:p w:rsidR="00000000" w:rsidRPr="00DD6455" w:rsidP="00DD6455">
            <w:pPr>
              <w:pStyle w:val="ListBullet"/>
            </w:pPr>
            <w:r w:rsidRPr="00DD6455">
              <w:t xml:space="preserve">language, literacy and cultural profile of the workgroup </w:t>
            </w:r>
          </w:p>
          <w:p w:rsidR="00000000" w:rsidRPr="00DD6455" w:rsidP="00DD6455">
            <w:pPr>
              <w:pStyle w:val="ListBullet"/>
            </w:pPr>
            <w:r w:rsidRPr="00DD6455">
              <w:t>organisational culture as it impacts on the workgroup.</w:t>
            </w:r>
          </w:p>
        </w:tc>
      </w:tr>
    </w:tbl>
    <w:p w:rsidR="00000000" w:rsidRPr="00DD6455" w:rsidP="00DD6455">
      <w:pPr>
        <w:pStyle w:val="BodyText"/>
      </w:pPr>
    </w:p>
    <w:p w:rsidR="00000000" w:rsidRPr="00DD6455" w:rsidP="00DD6455">
      <w:pPr>
        <w:pStyle w:val="AllowPageBreak"/>
      </w:pPr>
    </w:p>
    <w:p w:rsidR="00000000" w:rsidRPr="00DD6455" w:rsidP="00DD6455">
      <w:pPr>
        <w:pStyle w:val="Heading1"/>
      </w:pPr>
      <w:bookmarkStart w:id="10" w:name="O_66732"/>
      <w:bookmarkEnd w:id="10"/>
      <w:r w:rsidRPr="00DD6455">
        <w:t>Evidence Guide</w:t>
      </w:r>
    </w:p>
    <w:tbl>
      <w:tblPr>
        <w:tblW w:w="9570" w:type="dxa"/>
        <w:tblLayout w:type="fixed"/>
        <w:tblCellMar>
          <w:left w:w="62" w:type="dxa"/>
          <w:right w:w="62" w:type="dxa"/>
        </w:tblCellMar>
        <w:tblLook w:val="0000"/>
      </w:tblPr>
      <w:tblGrid>
        <w:gridCol w:w="3908"/>
        <w:gridCol w:w="5662"/>
      </w:tblGrid>
      <w:tr w:rsidTr="00A259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EVIDENCE GUIDE</w:t>
            </w:r>
          </w:p>
        </w:tc>
      </w:tr>
      <w:tr w:rsidTr="00A259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t>The Evidence Guide provides advice on assessment and must be read in conjunction with the performance criteria, required skills and knowledge, range statement and the Assessment Guidelines for the Training Package.</w:t>
            </w:r>
          </w:p>
        </w:tc>
      </w:tr>
      <w:tr w:rsidTr="00A259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p>
        </w:tc>
      </w:tr>
      <w:tr w:rsidTr="00A259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Critical aspec</w:t>
            </w:r>
            <w:r w:rsidRPr="00DD645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BodyText"/>
            </w:pPr>
            <w:r w:rsidRPr="00DD6455">
              <w:t>Evidence of the following is essential:</w:t>
            </w:r>
          </w:p>
          <w:p w:rsidR="00000000" w:rsidRPr="00DD6455" w:rsidP="00DD6455">
            <w:pPr>
              <w:pStyle w:val="ListBullet"/>
            </w:pPr>
            <w:r w:rsidRPr="00DD6455">
              <w:t>application of OHS risk control within a collaborative environment</w:t>
            </w:r>
          </w:p>
          <w:p w:rsidR="00000000" w:rsidRPr="00DD6455" w:rsidP="00DD6455">
            <w:pPr>
              <w:pStyle w:val="ListBullet"/>
            </w:pPr>
            <w:r w:rsidRPr="00DD6455">
              <w:t>products developed for effective application of knowledge and skill in applying OHS risk controls</w:t>
            </w:r>
          </w:p>
          <w:p w:rsidR="00000000" w:rsidRPr="00DD6455" w:rsidP="00DD6455">
            <w:pPr>
              <w:pStyle w:val="ListBullet"/>
            </w:pPr>
            <w:r w:rsidRPr="00DD6455">
              <w:t>how these products were developed</w:t>
            </w:r>
          </w:p>
          <w:p w:rsidR="00000000" w:rsidRPr="00DD6455" w:rsidP="00DD6455">
            <w:pPr>
              <w:pStyle w:val="ListBullet"/>
            </w:pPr>
            <w:r w:rsidRPr="00DD6455">
              <w:t>use of these products</w:t>
            </w:r>
          </w:p>
          <w:p w:rsidR="00000000" w:rsidP="00DD6455">
            <w:pPr>
              <w:pStyle w:val="ListBullet"/>
              <w:rPr>
                <w:lang w:val="en-NZ"/>
              </w:rPr>
            </w:pPr>
            <w:r w:rsidRPr="00DD6455">
              <w:t>knowledge of nature and use of information and data that provides valid and reliable results on perfor</w:t>
            </w:r>
            <w:r w:rsidRPr="00DD6455">
              <w:t>mance of OHS management processes (including PPIs) and limitations of other types of measures.</w:t>
            </w:r>
          </w:p>
        </w:tc>
      </w:tr>
      <w:tr w:rsidTr="00A259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BodyText"/>
            </w:pPr>
            <w:r w:rsidRPr="00DD6455">
              <w:t>Assessment must ensure:</w:t>
            </w:r>
          </w:p>
          <w:p w:rsidR="00000000" w:rsidRPr="00DD6455" w:rsidP="00DD6455">
            <w:pPr>
              <w:pStyle w:val="ListBullet"/>
            </w:pPr>
            <w:r w:rsidRPr="00DD6455">
              <w:t>access to organisation documentation, information and data</w:t>
            </w:r>
          </w:p>
          <w:p w:rsidR="00000000" w:rsidP="00DD6455">
            <w:pPr>
              <w:pStyle w:val="ListBullet"/>
              <w:rPr>
                <w:lang w:val="en-NZ"/>
              </w:rPr>
            </w:pPr>
            <w:r w:rsidRPr="00DD6455">
              <w:t>access to workplace, including personnel involved in areas be evaluated.</w:t>
            </w:r>
          </w:p>
        </w:tc>
      </w:tr>
      <w:tr w:rsidTr="00A259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BodyText"/>
            </w:pPr>
            <w:r w:rsidRPr="00DD6455">
              <w:t>A range of assessment methods should be used to assess practical skills and knowledge. The following examples are appropriate for this unit:</w:t>
            </w:r>
          </w:p>
          <w:p w:rsidR="00000000" w:rsidRPr="00DD6455" w:rsidP="00DD6455">
            <w:pPr>
              <w:pStyle w:val="ListBullet"/>
            </w:pPr>
            <w:r w:rsidRPr="00DD6455">
              <w:t>analysis of respons</w:t>
            </w:r>
            <w:r w:rsidRPr="00DD6455">
              <w:t>es to case studies and scenarios</w:t>
            </w:r>
          </w:p>
          <w:p w:rsidR="00000000" w:rsidRPr="00DD6455" w:rsidP="00DD6455">
            <w:pPr>
              <w:pStyle w:val="ListBullet"/>
            </w:pPr>
            <w:r w:rsidRPr="00DD6455">
              <w:t>direct questioning combined with review of portfolios of evidence and third party reports of on-the-job performance by the candidate</w:t>
            </w:r>
          </w:p>
          <w:p w:rsidR="00000000" w:rsidRPr="00DD6455" w:rsidP="00DD6455">
            <w:pPr>
              <w:pStyle w:val="ListBullet"/>
            </w:pPr>
            <w:r w:rsidRPr="00DD6455">
              <w:t>demonstration of techniques used in reviewing the organisation's OHS performance</w:t>
            </w:r>
          </w:p>
          <w:p w:rsidR="00000000" w:rsidRPr="00DD6455" w:rsidP="00DD6455">
            <w:pPr>
              <w:pStyle w:val="ListBullet"/>
            </w:pPr>
            <w:r w:rsidRPr="00DD6455">
              <w:t>observation of performance in role plays</w:t>
            </w:r>
          </w:p>
          <w:p w:rsidR="00000000" w:rsidRPr="00DD6455" w:rsidP="00DD6455">
            <w:pPr>
              <w:pStyle w:val="ListBullet"/>
            </w:pPr>
            <w:r w:rsidRPr="00DD6455">
              <w:t>observation of presentations</w:t>
            </w:r>
          </w:p>
          <w:p w:rsidR="00000000" w:rsidRPr="00DD6455" w:rsidP="00DD6455">
            <w:pPr>
              <w:pStyle w:val="ListBullet"/>
            </w:pPr>
            <w:r w:rsidRPr="00DD6455">
              <w:t>oral or written questioning to assess knowledge of roles and responsibilities under OHS legislation of employees including supervisors, contractors, OHS inspectors</w:t>
            </w:r>
          </w:p>
          <w:p w:rsidR="00000000" w:rsidRPr="00DD6455" w:rsidP="00DD6455">
            <w:pPr>
              <w:pStyle w:val="ListBullet"/>
            </w:pPr>
            <w:r w:rsidRPr="00DD6455">
              <w:t>evaluation of the orga</w:t>
            </w:r>
            <w:r w:rsidRPr="00DD6455">
              <w:t>nisation's risk assessment tool/s and processes</w:t>
            </w:r>
          </w:p>
          <w:p w:rsidR="00000000" w:rsidRPr="00DD6455" w:rsidP="00DD6455">
            <w:pPr>
              <w:pStyle w:val="ListBullet"/>
            </w:pPr>
            <w:r w:rsidRPr="00DD6455">
              <w:t>evaluation and documentation of performance outcomes</w:t>
            </w:r>
          </w:p>
          <w:p w:rsidR="00000000" w:rsidP="00DD6455">
            <w:pPr>
              <w:pStyle w:val="ListBullet"/>
              <w:rPr>
                <w:lang w:val="en-NZ"/>
              </w:rPr>
            </w:pPr>
            <w:r w:rsidRPr="00DD6455">
              <w:t>review of report developed to document outcomes of evaluation of compliance.</w:t>
            </w:r>
          </w:p>
        </w:tc>
      </w:tr>
      <w:tr w:rsidTr="00A259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BodyText"/>
            </w:pPr>
            <w:r w:rsidRPr="00DD6455">
              <w:t>Holistic assessment with other units rele</w:t>
            </w:r>
            <w:r w:rsidRPr="00DD6455">
              <w:t>vant to the industry sector, workplace and job role is recommended, for example:</w:t>
            </w:r>
          </w:p>
          <w:p w:rsidR="00000000" w:rsidRPr="00DD6455" w:rsidP="00DD6455">
            <w:pPr>
              <w:pStyle w:val="ListBullet"/>
            </w:pPr>
            <w:r w:rsidRPr="00DD6455">
              <w:t>BSBOHS608B Conduct an OHS audit.</w:t>
            </w:r>
          </w:p>
        </w:tc>
      </w:tr>
    </w:tbl>
    <w:p w:rsidR="00000000" w:rsidRPr="00DD6455" w:rsidP="00DD6455">
      <w:pPr>
        <w:pStyle w:val="BodyText"/>
      </w:pPr>
    </w:p>
    <w:p w:rsidR="00000000" w:rsidRPr="00DD6455" w:rsidP="00DD6455">
      <w:pPr>
        <w:pStyle w:val="AllowPageBreak"/>
      </w:pPr>
    </w:p>
    <w:p w:rsidR="00000000" w:rsidRPr="00DD6455" w:rsidP="00DD6455">
      <w:pPr>
        <w:pStyle w:val="Heading1"/>
      </w:pPr>
      <w:bookmarkStart w:id="11" w:name="O_66733"/>
      <w:bookmarkEnd w:id="11"/>
      <w:r w:rsidRPr="00DD6455">
        <w:t>Range Statement</w:t>
      </w:r>
    </w:p>
    <w:tbl>
      <w:tblPr>
        <w:tblW w:w="0" w:type="auto"/>
        <w:tblLayout w:type="fixed"/>
        <w:tblCellMar>
          <w:left w:w="62" w:type="dxa"/>
          <w:right w:w="62" w:type="dxa"/>
        </w:tblCellMar>
        <w:tblLook w:val="0000"/>
      </w:tblPr>
      <w:tblGrid>
        <w:gridCol w:w="3483"/>
        <w:gridCol w:w="5039"/>
      </w:tblGrid>
      <w:tr w:rsidTr="00A259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RANGE STATEMENT</w:t>
            </w:r>
          </w:p>
        </w:tc>
      </w:tr>
      <w:tr w:rsidTr="00A259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t>The range statement relates to the unit of competency as a whole. It allows for different work environments and situations that may affect performance. Bold italicised wording, if used in the performance criteria, is detailed below. Essential operating con</w:t>
            </w:r>
            <w:r w:rsidRPr="00DD6455">
              <w:t>ditions that may be present with training and assessment (depending on the work situation, needs of the candidate, accessibility of the item, and local industry and regional contexts) may also be included.</w:t>
            </w:r>
          </w:p>
        </w:tc>
      </w:tr>
      <w:tr w:rsidTr="00A25975">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BoldandItalics"/>
              </w:rPr>
              <w:t>Hazards</w:t>
            </w:r>
            <w:r w:rsidRPr="00DD645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ListBullet"/>
            </w:pPr>
            <w:r w:rsidRPr="00DD6455">
              <w:t>source or situation with a</w:t>
            </w:r>
            <w:r w:rsidRPr="00DD6455">
              <w:t xml:space="preserve"> potential for harm in terms of:</w:t>
            </w:r>
          </w:p>
          <w:p w:rsidR="00000000" w:rsidRPr="00DD6455" w:rsidP="00DD6455">
            <w:pPr>
              <w:pStyle w:val="ListBullet2"/>
            </w:pPr>
            <w:r w:rsidRPr="00DD6455">
              <w:t>human injury or ill health</w:t>
            </w:r>
          </w:p>
          <w:p w:rsidR="00000000" w:rsidRPr="00DD6455" w:rsidP="00DD6455">
            <w:pPr>
              <w:pStyle w:val="ListBullet2"/>
            </w:pPr>
            <w:r w:rsidRPr="00DD6455">
              <w:t>damage to property</w:t>
            </w:r>
          </w:p>
          <w:p w:rsidR="00000000" w:rsidRPr="00DD6455" w:rsidP="00DD6455">
            <w:pPr>
              <w:pStyle w:val="ListBullet2"/>
            </w:pPr>
            <w:r w:rsidRPr="00DD6455">
              <w:t>damage to the environment</w:t>
            </w:r>
          </w:p>
          <w:p w:rsidR="00000000" w:rsidP="00DD6455">
            <w:pPr>
              <w:pStyle w:val="ListBullet2"/>
              <w:rPr>
                <w:lang w:val="en-NZ"/>
              </w:rPr>
            </w:pPr>
            <w:r w:rsidRPr="00DD6455">
              <w:t>or a combination of these</w:t>
            </w:r>
          </w:p>
        </w:tc>
      </w:tr>
      <w:tr w:rsidTr="00A25975">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BoldandItalics"/>
              </w:rPr>
              <w:t>Hazards of long latency</w:t>
            </w:r>
            <w:r w:rsidRPr="00DD645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ListBullet"/>
            </w:pPr>
            <w:r w:rsidRPr="00DD6455">
              <w:t xml:space="preserve">conditions, illnesses and other health risks that result from longer term exposure </w:t>
            </w:r>
            <w:r w:rsidRPr="00DD6455">
              <w:t>to specific triggers such as:</w:t>
            </w:r>
          </w:p>
          <w:p w:rsidR="00000000" w:rsidRPr="00DD6455" w:rsidP="00DD6455">
            <w:pPr>
              <w:pStyle w:val="ListBullet2"/>
            </w:pPr>
            <w:r w:rsidRPr="00DD6455">
              <w:t>chemicals</w:t>
            </w:r>
          </w:p>
          <w:p w:rsidR="00000000" w:rsidRPr="00DD6455" w:rsidP="00DD6455">
            <w:pPr>
              <w:pStyle w:val="ListBullet2"/>
            </w:pPr>
            <w:r w:rsidRPr="00DD6455">
              <w:t>noise</w:t>
            </w:r>
          </w:p>
          <w:p w:rsidR="00000000" w:rsidRPr="00DD6455" w:rsidP="00DD6455">
            <w:pPr>
              <w:pStyle w:val="ListBullet2"/>
            </w:pPr>
            <w:r w:rsidRPr="00DD6455">
              <w:t>radiation</w:t>
            </w:r>
          </w:p>
          <w:p w:rsidR="00000000" w:rsidP="00DD6455">
            <w:pPr>
              <w:pStyle w:val="ListBullet2"/>
              <w:rPr>
                <w:lang w:val="en-NZ"/>
              </w:rPr>
            </w:pPr>
            <w:r w:rsidRPr="00DD6455">
              <w:t>psychosocial factors</w:t>
            </w:r>
          </w:p>
        </w:tc>
      </w:tr>
      <w:tr w:rsidTr="00A25975">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BoldandItalics"/>
              </w:rPr>
              <w:t>Hazards of low frequency</w:t>
            </w:r>
            <w:r w:rsidRPr="00DD6455">
              <w:t>/</w:t>
            </w:r>
            <w:r w:rsidRPr="00DD6455">
              <w:rPr>
                <w:rStyle w:val="BoldandItalics"/>
              </w:rPr>
              <w:t>high consequence</w:t>
            </w:r>
            <w:r w:rsidRPr="00DD645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ListBullet"/>
            </w:pPr>
            <w:r w:rsidRPr="00DD6455">
              <w:t>high impact events that may result in very serious injury, death or multiple death situations that occur rarely such as:</w:t>
            </w:r>
          </w:p>
          <w:p w:rsidR="00000000" w:rsidRPr="00DD6455" w:rsidP="00DD6455">
            <w:pPr>
              <w:pStyle w:val="ListBullet2"/>
            </w:pPr>
            <w:r w:rsidRPr="00DD6455">
              <w:t>explosions</w:t>
            </w:r>
          </w:p>
          <w:p w:rsidR="00000000" w:rsidRPr="00DD6455" w:rsidP="00DD6455">
            <w:pPr>
              <w:pStyle w:val="ListBullet2"/>
            </w:pPr>
            <w:r w:rsidRPr="00DD6455">
              <w:t xml:space="preserve">fires </w:t>
            </w:r>
          </w:p>
          <w:p w:rsidR="00000000" w:rsidP="00DD6455">
            <w:pPr>
              <w:pStyle w:val="ListBullet2"/>
              <w:rPr>
                <w:lang w:val="en-NZ"/>
              </w:rPr>
            </w:pPr>
            <w:r w:rsidRPr="00DD6455">
              <w:t xml:space="preserve">building collapses </w:t>
            </w:r>
          </w:p>
        </w:tc>
      </w:tr>
      <w:tr w:rsidTr="00A25975">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BoldandItalics"/>
              </w:rPr>
              <w:t>Persons other than employees</w:t>
            </w:r>
            <w:r w:rsidRPr="00DD645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ListBullet"/>
            </w:pPr>
            <w:r w:rsidRPr="00DD6455">
              <w:t>contractors</w:t>
            </w:r>
          </w:p>
          <w:p w:rsidR="00000000" w:rsidRPr="00DD6455" w:rsidP="00DD6455">
            <w:pPr>
              <w:pStyle w:val="ListBullet"/>
            </w:pPr>
            <w:r w:rsidRPr="00DD6455">
              <w:t>customers/clients</w:t>
            </w:r>
          </w:p>
          <w:p w:rsidR="00000000" w:rsidRPr="00DD6455" w:rsidP="00DD6455">
            <w:pPr>
              <w:pStyle w:val="ListBullet"/>
            </w:pPr>
            <w:r w:rsidRPr="00DD6455">
              <w:t>neighbourhood or local community members</w:t>
            </w:r>
          </w:p>
          <w:p w:rsidR="00000000" w:rsidP="00DD6455">
            <w:pPr>
              <w:pStyle w:val="ListBullet"/>
              <w:rPr>
                <w:lang w:val="en-NZ"/>
              </w:rPr>
            </w:pPr>
            <w:r w:rsidRPr="00DD6455">
              <w:t>visitors to premises</w:t>
            </w:r>
          </w:p>
        </w:tc>
      </w:tr>
      <w:tr w:rsidTr="00A25975">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BoldandItalics"/>
              </w:rPr>
              <w:t>Organisational factors</w:t>
            </w:r>
            <w:r w:rsidRPr="00DD645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ListBullet"/>
            </w:pPr>
            <w:r w:rsidRPr="00DD6455">
              <w:t>authority</w:t>
            </w:r>
          </w:p>
          <w:p w:rsidR="00000000" w:rsidRPr="00DD6455" w:rsidP="00DD6455">
            <w:pPr>
              <w:pStyle w:val="ListBullet"/>
            </w:pPr>
            <w:r w:rsidRPr="00DD6455">
              <w:t>geographical spread of sites</w:t>
            </w:r>
          </w:p>
          <w:p w:rsidR="00000000" w:rsidRPr="00DD6455" w:rsidP="00DD6455">
            <w:pPr>
              <w:pStyle w:val="ListBullet"/>
            </w:pPr>
            <w:r w:rsidRPr="00DD6455">
              <w:t>nature of hazards and level of risk</w:t>
            </w:r>
          </w:p>
          <w:p w:rsidR="00000000" w:rsidRPr="00DD6455" w:rsidP="00DD6455">
            <w:pPr>
              <w:pStyle w:val="ListBullet"/>
            </w:pPr>
            <w:r w:rsidRPr="00DD6455">
              <w:t>other management systems requiring interface or integration with management of OHS</w:t>
            </w:r>
          </w:p>
          <w:p w:rsidR="00000000" w:rsidRPr="00DD6455" w:rsidP="00DD6455">
            <w:pPr>
              <w:pStyle w:val="ListBullet"/>
            </w:pPr>
            <w:r w:rsidRPr="00DD6455">
              <w:t>participatory arrangements</w:t>
            </w:r>
          </w:p>
          <w:p w:rsidR="00000000" w:rsidRPr="00DD6455" w:rsidP="00DD6455">
            <w:pPr>
              <w:pStyle w:val="ListBullet"/>
            </w:pPr>
            <w:r w:rsidRPr="00DD6455">
              <w:t>reporting structure</w:t>
            </w:r>
          </w:p>
          <w:p w:rsidR="00000000" w:rsidRPr="00DD6455" w:rsidP="00DD6455">
            <w:pPr>
              <w:pStyle w:val="ListBullet"/>
            </w:pPr>
            <w:r w:rsidRPr="00DD6455">
              <w:t>roster and shift arrangements</w:t>
            </w:r>
          </w:p>
          <w:p w:rsidR="00000000" w:rsidRPr="00DD6455" w:rsidP="00DD6455">
            <w:pPr>
              <w:pStyle w:val="ListBullet"/>
            </w:pPr>
            <w:r w:rsidRPr="00DD6455">
              <w:t>supervision structure</w:t>
            </w:r>
          </w:p>
          <w:p w:rsidR="00000000" w:rsidRPr="00DD6455" w:rsidP="00DD6455">
            <w:pPr>
              <w:pStyle w:val="ListBullet"/>
            </w:pPr>
            <w:r w:rsidRPr="00DD6455">
              <w:t>workplace culture including industrial relations and safety culture</w:t>
            </w:r>
          </w:p>
          <w:p w:rsidR="00000000" w:rsidRPr="00DD6455" w:rsidP="00DD6455">
            <w:pPr>
              <w:pStyle w:val="ListBullet"/>
            </w:pPr>
            <w:r w:rsidRPr="00DD6455">
              <w:t>workforce structure such as:</w:t>
            </w:r>
          </w:p>
          <w:p w:rsidR="00000000" w:rsidRPr="00DD6455" w:rsidP="00DD6455">
            <w:pPr>
              <w:pStyle w:val="ListBullet2"/>
            </w:pPr>
            <w:r w:rsidRPr="00DD6455">
              <w:t>labour hire</w:t>
            </w:r>
          </w:p>
          <w:p w:rsidR="00000000" w:rsidRPr="00DD6455" w:rsidP="00DD6455">
            <w:pPr>
              <w:pStyle w:val="ListBullet2"/>
            </w:pPr>
            <w:r w:rsidRPr="00DD6455">
              <w:t>contractors</w:t>
            </w:r>
          </w:p>
          <w:p w:rsidR="00000000" w:rsidRPr="00DD6455" w:rsidP="00DD6455">
            <w:pPr>
              <w:pStyle w:val="ListBullet2"/>
            </w:pPr>
            <w:r w:rsidRPr="00DD6455">
              <w:t>part-time and casual workers</w:t>
            </w:r>
          </w:p>
          <w:p w:rsidR="00000000" w:rsidP="00DD6455">
            <w:pPr>
              <w:pStyle w:val="ListBullet2"/>
              <w:rPr>
                <w:lang w:val="en-NZ"/>
              </w:rPr>
            </w:pPr>
            <w:r w:rsidRPr="00DD6455">
              <w:t>cultural diversity</w:t>
            </w:r>
          </w:p>
        </w:tc>
      </w:tr>
      <w:tr w:rsidTr="00A25975">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BoldandItalics"/>
              </w:rPr>
              <w:t>Specialist personnel</w:t>
            </w:r>
            <w:r w:rsidRPr="00DD645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ListBullet"/>
            </w:pPr>
            <w:r w:rsidRPr="00DD6455">
              <w:t>external consultants specialising in specific areas of OHS such as:</w:t>
            </w:r>
          </w:p>
          <w:p w:rsidR="00000000" w:rsidRPr="00DD6455" w:rsidP="00DD6455">
            <w:pPr>
              <w:pStyle w:val="ListBullet2"/>
            </w:pPr>
            <w:r w:rsidRPr="00DD6455">
              <w:t>safety engineering</w:t>
            </w:r>
          </w:p>
          <w:p w:rsidR="00000000" w:rsidRPr="00DD6455" w:rsidP="00DD6455">
            <w:pPr>
              <w:pStyle w:val="ListBullet2"/>
            </w:pPr>
            <w:r w:rsidRPr="00DD6455">
              <w:t>ergonomics</w:t>
            </w:r>
          </w:p>
          <w:p w:rsidR="00000000" w:rsidRPr="00DD6455" w:rsidP="00DD6455">
            <w:pPr>
              <w:pStyle w:val="ListBullet2"/>
            </w:pPr>
            <w:r w:rsidRPr="00DD6455">
              <w:t>hygiene</w:t>
            </w:r>
          </w:p>
          <w:p w:rsidR="00000000" w:rsidRPr="00DD6455" w:rsidP="00DD6455">
            <w:pPr>
              <w:pStyle w:val="ListBullet2"/>
            </w:pPr>
            <w:r w:rsidRPr="00DD6455">
              <w:t>toxicology</w:t>
            </w:r>
          </w:p>
          <w:p w:rsidR="00000000" w:rsidRPr="00DD6455" w:rsidP="00DD6455">
            <w:pPr>
              <w:pStyle w:val="ListBullet2"/>
            </w:pPr>
            <w:r w:rsidRPr="00DD6455">
              <w:t>psychology</w:t>
            </w:r>
          </w:p>
          <w:p w:rsidR="00000000" w:rsidRPr="00DD6455" w:rsidP="00DD6455">
            <w:pPr>
              <w:pStyle w:val="ListBullet2"/>
            </w:pPr>
            <w:r w:rsidRPr="00DD6455">
              <w:t>occupational health</w:t>
            </w:r>
          </w:p>
          <w:p w:rsidR="00000000" w:rsidP="00DD6455">
            <w:pPr>
              <w:pStyle w:val="ListBullet"/>
              <w:rPr>
                <w:lang w:val="en-NZ"/>
              </w:rPr>
            </w:pPr>
            <w:r w:rsidRPr="00DD6455">
              <w:t>specialist staff within government agencies offering assistance in specialist or problem areas within OHS</w:t>
            </w:r>
          </w:p>
        </w:tc>
      </w:tr>
      <w:tr w:rsidTr="00A25975">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BoldandItalics"/>
              </w:rPr>
              <w:t>Benchmarks</w:t>
            </w:r>
            <w:r w:rsidRPr="00DD645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ListBullet"/>
            </w:pPr>
            <w:r w:rsidRPr="00DD6455">
              <w:t>industry specific standards</w:t>
            </w:r>
          </w:p>
          <w:p w:rsidR="00000000" w:rsidRPr="00DD6455" w:rsidP="00DD6455">
            <w:pPr>
              <w:pStyle w:val="ListBullet"/>
            </w:pPr>
            <w:r w:rsidRPr="00DD6455">
              <w:t>OHS management system standards</w:t>
            </w:r>
          </w:p>
          <w:p w:rsidR="00000000" w:rsidRPr="00DD6455" w:rsidP="00DD6455">
            <w:pPr>
              <w:pStyle w:val="ListBullet"/>
            </w:pPr>
            <w:r w:rsidRPr="00DD6455">
              <w:t>organisation's business plan</w:t>
            </w:r>
          </w:p>
          <w:p w:rsidR="00000000" w:rsidP="00DD6455">
            <w:pPr>
              <w:pStyle w:val="ListBullet"/>
              <w:rPr>
                <w:lang w:val="en-NZ"/>
              </w:rPr>
            </w:pPr>
            <w:r w:rsidRPr="00DD6455">
              <w:t>specific legislation</w:t>
            </w:r>
          </w:p>
        </w:tc>
      </w:tr>
      <w:tr w:rsidTr="00A25975">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BoldandItalics"/>
              </w:rPr>
              <w:t>Key personnel and stakeholders</w:t>
            </w:r>
            <w:r w:rsidRPr="00DD645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ListBullet"/>
            </w:pPr>
            <w:r w:rsidRPr="00DD6455">
              <w:t>boards of management and shareholders</w:t>
            </w:r>
          </w:p>
          <w:p w:rsidR="00000000" w:rsidRPr="00DD6455" w:rsidP="00DD6455">
            <w:pPr>
              <w:pStyle w:val="ListBullet"/>
            </w:pPr>
            <w:r w:rsidRPr="00DD6455">
              <w:t>customers/clients</w:t>
            </w:r>
          </w:p>
          <w:p w:rsidR="00000000" w:rsidRPr="00DD6455" w:rsidP="00DD6455">
            <w:pPr>
              <w:pStyle w:val="ListBullet"/>
            </w:pPr>
            <w:r w:rsidRPr="00DD6455">
              <w:t>employees and other parties across a range of levels and roles including health and safety representatives and OHS committee members</w:t>
            </w:r>
          </w:p>
          <w:p w:rsidR="00000000" w:rsidRPr="00DD6455" w:rsidP="00DD6455">
            <w:pPr>
              <w:pStyle w:val="ListBullet"/>
            </w:pPr>
            <w:r w:rsidRPr="00DD6455">
              <w:t>management, persons in control of the workplace, supervisors</w:t>
            </w:r>
          </w:p>
        </w:tc>
      </w:tr>
    </w:tbl>
    <w:p w:rsidR="00A25975" w:rsidP="00DD6455">
      <w:pPr>
        <w:pStyle w:val="BodyText"/>
      </w:pPr>
    </w:p>
    <w:p w:rsidR="00A25975" w:rsidP="00DD6455">
      <w:pPr>
        <w:pStyle w:val="BodyText"/>
      </w:pPr>
    </w:p>
    <w:p w:rsidR="00000000" w:rsidRPr="00DD6455" w:rsidP="00DD6455">
      <w:pPr>
        <w:pStyle w:val="Heading1"/>
      </w:pPr>
      <w:bookmarkStart w:id="12" w:name="O_66734"/>
      <w:bookmarkEnd w:id="12"/>
      <w:r w:rsidRPr="00DD6455">
        <w:t>Unit Sector(s)</w:t>
      </w:r>
    </w:p>
    <w:tbl>
      <w:tblPr>
        <w:tblW w:w="0" w:type="auto"/>
        <w:tblLayout w:type="fixed"/>
        <w:tblCellMar>
          <w:left w:w="62" w:type="dxa"/>
          <w:right w:w="62" w:type="dxa"/>
        </w:tblCellMar>
        <w:tblLook w:val="0000"/>
      </w:tblPr>
      <w:tblGrid>
        <w:gridCol w:w="2654"/>
        <w:gridCol w:w="5868"/>
      </w:tblGrid>
      <w:tr w:rsidTr="00A2597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BodyText"/>
            </w:pPr>
          </w:p>
        </w:tc>
      </w:tr>
    </w:tbl>
    <w:p w:rsidR="00000000" w:rsidRPr="00DD6455" w:rsidP="00DD6455">
      <w:pPr>
        <w:pStyle w:val="BodyText"/>
      </w:pPr>
    </w:p>
    <w:p w:rsidR="00000000" w:rsidRPr="00DD6455" w:rsidP="00DD6455">
      <w:pPr>
        <w:pStyle w:val="AllowPageBreak"/>
      </w:pPr>
    </w:p>
    <w:p w:rsidR="00000000" w:rsidRPr="00DD6455" w:rsidP="00DD6455">
      <w:pPr>
        <w:pStyle w:val="Heading1"/>
      </w:pPr>
      <w:bookmarkStart w:id="13" w:name="O_154413"/>
      <w:bookmarkEnd w:id="13"/>
      <w:r w:rsidRPr="00DD6455">
        <w:t>Competency field</w:t>
      </w:r>
    </w:p>
    <w:tbl>
      <w:tblPr>
        <w:tblW w:w="0" w:type="auto"/>
        <w:tblLayout w:type="fixed"/>
        <w:tblCellMar>
          <w:left w:w="62" w:type="dxa"/>
          <w:right w:w="62" w:type="dxa"/>
        </w:tblCellMar>
        <w:tblLook w:val="0000"/>
      </w:tblPr>
      <w:tblGrid>
        <w:gridCol w:w="2776"/>
        <w:gridCol w:w="5746"/>
      </w:tblGrid>
      <w:tr w:rsidTr="00A2597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BodyText"/>
            </w:pPr>
            <w:r w:rsidRPr="00DD6455">
              <w:t>Regulation, Licensing and Risk - Occupational Health and Safety</w:t>
            </w:r>
          </w:p>
        </w:tc>
      </w:tr>
    </w:tbl>
    <w:p w:rsidR="00000000" w:rsidRPr="00DD6455" w:rsidP="00DD6455">
      <w:pPr>
        <w:pStyle w:val="BodyText"/>
      </w:pPr>
    </w:p>
    <w:p w:rsidR="00000000" w:rsidRPr="00DD6455" w:rsidP="00DD6455">
      <w:pPr>
        <w:pStyle w:val="AllowPageBreak"/>
      </w:pPr>
    </w:p>
    <w:p w:rsidR="00000000" w:rsidRPr="00DD6455" w:rsidP="00DD6455">
      <w:pPr>
        <w:pStyle w:val="Heading1"/>
      </w:pPr>
      <w:bookmarkStart w:id="14" w:name="O_154412"/>
      <w:bookmarkEnd w:id="14"/>
      <w:r w:rsidRPr="00DD6455">
        <w:t>Co-requisite units</w:t>
      </w:r>
    </w:p>
    <w:tbl>
      <w:tblPr>
        <w:tblW w:w="0" w:type="auto"/>
        <w:tblLayout w:type="fixed"/>
        <w:tblCellMar>
          <w:left w:w="62" w:type="dxa"/>
          <w:right w:w="62" w:type="dxa"/>
        </w:tblCellMar>
        <w:tblLook w:val="0000"/>
      </w:tblPr>
      <w:tblGrid>
        <w:gridCol w:w="2641"/>
        <w:gridCol w:w="1322"/>
        <w:gridCol w:w="4559"/>
      </w:tblGrid>
      <w:tr w:rsidTr="00A2597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r w:rsidRPr="00DD645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p>
        </w:tc>
      </w:tr>
      <w:tr w:rsidTr="00A259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455">
            <w:pPr>
              <w:pStyle w:val="BodyText"/>
              <w:rPr>
                <w:lang w:val="en-NZ"/>
              </w:rPr>
            </w:pPr>
          </w:p>
        </w:tc>
      </w:tr>
      <w:tr w:rsidTr="00A259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455" w:rsidP="00DD6455">
            <w:pPr>
              <w:pStyle w:val="BodyText"/>
            </w:pPr>
          </w:p>
        </w:tc>
      </w:tr>
    </w:tbl>
    <w:p w:rsidR="00000000" w:rsidRPr="00DD6455" w:rsidP="00DD6455">
      <w:pPr>
        <w:pStyle w:val="BodyText"/>
      </w:pPr>
    </w:p>
    <w:p w:rsidR="00000000" w:rsidRPr="00DD6455" w:rsidP="00DD6455"/>
    <w:sectPr w:rsidSect="00DD64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7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75" w:rsidP="00DD64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25975" w:rsidP="00DD64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5975" w:rsidP="00DD64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5975" w:rsidP="00A259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75" w:rsidP="00DD6455">
    <w:pPr>
      <w:pStyle w:val="Header"/>
      <w:framePr w:wrap="around"/>
    </w:pPr>
    <w:r>
      <w:fldChar w:fldCharType="begin"/>
    </w:r>
    <w:r>
      <w:instrText xml:space="preserve"> TITLE   \* MERGEFORMAT </w:instrText>
    </w:r>
    <w:r>
      <w:fldChar w:fldCharType="separate"/>
    </w:r>
    <w:r>
      <w:t>BSBOHS609B Evaluate an organisation's OHS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5975" w:rsidP="00DD64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B830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5A9B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7CB9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4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6455"/>
    <w:pPr>
      <w:spacing w:before="360" w:after="60"/>
      <w:outlineLvl w:val="0"/>
    </w:pPr>
    <w:rPr>
      <w:sz w:val="32"/>
    </w:rPr>
  </w:style>
  <w:style w:type="paragraph" w:styleId="Heading2">
    <w:name w:val="heading 2"/>
    <w:basedOn w:val="HeadingBase"/>
    <w:next w:val="BodyText"/>
    <w:link w:val="Heading2Char"/>
    <w:qFormat/>
    <w:rsid w:val="00DD6455"/>
    <w:pPr>
      <w:keepLines/>
      <w:spacing w:before="240" w:after="120"/>
      <w:outlineLvl w:val="1"/>
    </w:pPr>
    <w:rPr>
      <w:sz w:val="28"/>
      <w:szCs w:val="40"/>
    </w:rPr>
  </w:style>
  <w:style w:type="paragraph" w:styleId="Heading3">
    <w:name w:val="heading 3"/>
    <w:basedOn w:val="HeadingBase"/>
    <w:next w:val="BodyText"/>
    <w:link w:val="Heading3Char"/>
    <w:qFormat/>
    <w:rsid w:val="00DD6455"/>
    <w:pPr>
      <w:spacing w:before="180" w:after="120"/>
      <w:outlineLvl w:val="2"/>
    </w:pPr>
    <w:rPr>
      <w:spacing w:val="-10"/>
      <w:kern w:val="32"/>
    </w:rPr>
  </w:style>
  <w:style w:type="paragraph" w:styleId="Heading4">
    <w:name w:val="heading 4"/>
    <w:basedOn w:val="HeadingBase"/>
    <w:next w:val="BodyText"/>
    <w:link w:val="Heading4Char"/>
    <w:qFormat/>
    <w:rsid w:val="00DD6455"/>
    <w:pPr>
      <w:spacing w:before="160" w:after="120"/>
      <w:outlineLvl w:val="3"/>
    </w:pPr>
    <w:rPr>
      <w:sz w:val="22"/>
    </w:rPr>
  </w:style>
  <w:style w:type="paragraph" w:styleId="Heading5">
    <w:name w:val="heading 5"/>
    <w:basedOn w:val="HeadingBase"/>
    <w:next w:val="Normal"/>
    <w:link w:val="Heading5Char"/>
    <w:qFormat/>
    <w:rsid w:val="00DD6455"/>
    <w:pPr>
      <w:spacing w:before="80"/>
      <w:outlineLvl w:val="4"/>
    </w:pPr>
    <w:rPr>
      <w:color w:val="918585"/>
      <w:sz w:val="20"/>
    </w:rPr>
  </w:style>
  <w:style w:type="paragraph" w:styleId="Heading6">
    <w:name w:val="heading 6"/>
    <w:basedOn w:val="HeadingBase"/>
    <w:next w:val="Normal"/>
    <w:link w:val="Heading6Char"/>
    <w:qFormat/>
    <w:rsid w:val="00DD6455"/>
    <w:pPr>
      <w:spacing w:before="60"/>
      <w:outlineLvl w:val="5"/>
    </w:pPr>
    <w:rPr>
      <w:color w:val="918585"/>
      <w:sz w:val="20"/>
    </w:rPr>
  </w:style>
  <w:style w:type="paragraph" w:styleId="Heading7">
    <w:name w:val="heading 7"/>
    <w:basedOn w:val="Normal"/>
    <w:next w:val="Normal"/>
    <w:link w:val="Heading7Char"/>
    <w:qFormat/>
    <w:rsid w:val="00DD6455"/>
    <w:pPr>
      <w:ind w:left="720"/>
      <w:outlineLvl w:val="6"/>
    </w:pPr>
    <w:rPr>
      <w:i/>
    </w:rPr>
  </w:style>
  <w:style w:type="paragraph" w:styleId="Heading8">
    <w:name w:val="heading 8"/>
    <w:basedOn w:val="Normal"/>
    <w:next w:val="Normal"/>
    <w:link w:val="Heading8Char"/>
    <w:qFormat/>
    <w:rsid w:val="00DD6455"/>
    <w:pPr>
      <w:ind w:left="720"/>
      <w:outlineLvl w:val="7"/>
    </w:pPr>
    <w:rPr>
      <w:i/>
    </w:rPr>
  </w:style>
  <w:style w:type="paragraph" w:styleId="Heading9">
    <w:name w:val="heading 9"/>
    <w:basedOn w:val="Normal"/>
    <w:next w:val="Normal"/>
    <w:link w:val="Heading9Char"/>
    <w:qFormat/>
    <w:rsid w:val="00DD6455"/>
    <w:pPr>
      <w:ind w:left="720"/>
      <w:outlineLvl w:val="8"/>
    </w:pPr>
    <w:rPr>
      <w:i/>
    </w:rPr>
  </w:style>
  <w:style w:type="character" w:default="1" w:styleId="DefaultParagraphFont">
    <w:name w:val="Default Paragraph Font"/>
    <w:uiPriority w:val="1"/>
    <w:unhideWhenUsed/>
    <w:rsid w:val="00DD64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455"/>
  </w:style>
  <w:style w:type="character" w:customStyle="1" w:styleId="Heading1Char">
    <w:name w:val="Heading 1 Char"/>
    <w:basedOn w:val="DefaultParagraphFont"/>
    <w:link w:val="Heading1"/>
    <w:rsid w:val="00DD6455"/>
    <w:rPr>
      <w:rFonts w:ascii="Times New Roman" w:eastAsia="Times New Roman" w:hAnsi="Times New Roman" w:cs="Times New Roman"/>
      <w:b/>
      <w:sz w:val="32"/>
      <w:szCs w:val="20"/>
      <w:lang w:eastAsia="en-US"/>
    </w:rPr>
  </w:style>
  <w:style w:type="paragraph" w:styleId="BodyText">
    <w:name w:val="Body Text"/>
    <w:basedOn w:val="Normal"/>
    <w:link w:val="BodyTextChar"/>
    <w:rsid w:val="00DD64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6455"/>
    <w:rPr>
      <w:rFonts w:ascii="Times New Roman" w:eastAsia="Times New Roman" w:hAnsi="Times New Roman" w:cs="Times New Roman"/>
      <w:sz w:val="24"/>
      <w:lang w:val="en-US" w:eastAsia="en-US"/>
    </w:rPr>
  </w:style>
  <w:style w:type="paragraph" w:styleId="Footer">
    <w:name w:val="footer"/>
    <w:basedOn w:val="Normal"/>
    <w:link w:val="FooterChar"/>
    <w:rsid w:val="00DD64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455"/>
    <w:rPr>
      <w:rFonts w:ascii="Times New Roman" w:eastAsia="Times New Roman" w:hAnsi="Times New Roman" w:cs="Times New Roman"/>
      <w:sz w:val="16"/>
      <w:lang w:val="en-US" w:eastAsia="en-US"/>
    </w:rPr>
  </w:style>
  <w:style w:type="paragraph" w:styleId="List">
    <w:name w:val="List"/>
    <w:basedOn w:val="BodyText"/>
    <w:next w:val="BodyText"/>
    <w:rsid w:val="00DD6455"/>
    <w:pPr>
      <w:tabs>
        <w:tab w:val="left" w:pos="340"/>
      </w:tabs>
      <w:spacing w:before="60" w:after="60"/>
      <w:ind w:left="340" w:hanging="340"/>
    </w:pPr>
  </w:style>
  <w:style w:type="paragraph" w:styleId="ListBullet">
    <w:name w:val="List Bullet"/>
    <w:basedOn w:val="List"/>
    <w:rsid w:val="00DD6455"/>
    <w:pPr>
      <w:numPr>
        <w:numId w:val="13"/>
      </w:numPr>
      <w:tabs>
        <w:tab w:val="clear" w:pos="340"/>
      </w:tabs>
      <w:spacing w:before="40" w:after="40"/>
    </w:pPr>
  </w:style>
  <w:style w:type="character" w:customStyle="1" w:styleId="SpecialBold">
    <w:name w:val="Special Bold"/>
    <w:basedOn w:val="DefaultParagraphFont"/>
    <w:rsid w:val="00DD6455"/>
    <w:rPr>
      <w:b/>
      <w:spacing w:val="0"/>
    </w:rPr>
  </w:style>
  <w:style w:type="paragraph" w:styleId="ListBullet2">
    <w:name w:val="List Bullet 2"/>
    <w:basedOn w:val="List2"/>
    <w:rsid w:val="00DD6455"/>
    <w:pPr>
      <w:numPr>
        <w:numId w:val="14"/>
      </w:numPr>
      <w:tabs>
        <w:tab w:val="clear" w:pos="680"/>
      </w:tabs>
    </w:pPr>
  </w:style>
  <w:style w:type="paragraph" w:styleId="Header">
    <w:name w:val="header"/>
    <w:basedOn w:val="Normal"/>
    <w:link w:val="HeaderChar"/>
    <w:rsid w:val="00DD64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4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6455"/>
    <w:pPr>
      <w:spacing w:before="240" w:after="120"/>
      <w:outlineLvl w:val="0"/>
    </w:pPr>
    <w:rPr>
      <w:rFonts w:ascii="Times New Roman" w:hAnsi="Times New Roman"/>
      <w:b/>
      <w:sz w:val="28"/>
    </w:rPr>
  </w:style>
  <w:style w:type="paragraph" w:customStyle="1" w:styleId="AllowPageBreak">
    <w:name w:val="AllowPageBreak"/>
    <w:rsid w:val="00DD64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6455"/>
    <w:pPr>
      <w:tabs>
        <w:tab w:val="left" w:pos="680"/>
      </w:tabs>
      <w:spacing w:before="60" w:after="60"/>
      <w:ind w:left="680" w:hanging="340"/>
    </w:pPr>
  </w:style>
  <w:style w:type="character" w:customStyle="1" w:styleId="BoldandItalics">
    <w:name w:val="Bold and Italics"/>
    <w:qFormat/>
    <w:rsid w:val="00DD6455"/>
    <w:rPr>
      <w:b/>
      <w:i/>
      <w:u w:val="none"/>
    </w:rPr>
  </w:style>
  <w:style w:type="character" w:customStyle="1" w:styleId="Heading2Char">
    <w:name w:val="Heading 2 Char"/>
    <w:basedOn w:val="DefaultParagraphFont"/>
    <w:link w:val="Heading2"/>
    <w:rsid w:val="00DD64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4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4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4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4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4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64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6455"/>
    <w:rPr>
      <w:rFonts w:ascii="Courier New" w:eastAsia="Times New Roman" w:hAnsi="Courier New" w:cs="Times New Roman"/>
      <w:i/>
      <w:szCs w:val="20"/>
      <w:lang w:val="en-US" w:eastAsia="en-US"/>
    </w:rPr>
  </w:style>
  <w:style w:type="paragraph" w:customStyle="1" w:styleId="HeadingBase">
    <w:name w:val="Heading Base"/>
    <w:rsid w:val="00DD64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455"/>
    <w:pPr>
      <w:tabs>
        <w:tab w:val="right" w:leader="dot" w:pos="9072"/>
      </w:tabs>
      <w:ind w:left="567"/>
    </w:pPr>
    <w:rPr>
      <w:szCs w:val="22"/>
    </w:rPr>
  </w:style>
  <w:style w:type="paragraph" w:customStyle="1" w:styleId="TOCBase">
    <w:name w:val="TOC Base"/>
    <w:rsid w:val="00DD64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455"/>
    <w:pPr>
      <w:tabs>
        <w:tab w:val="right" w:leader="dot" w:pos="9072"/>
      </w:tabs>
      <w:spacing w:before="40" w:after="40"/>
      <w:ind w:left="284"/>
    </w:pPr>
    <w:rPr>
      <w:rFonts w:ascii="Times New Roman" w:hAnsi="Times New Roman"/>
    </w:rPr>
  </w:style>
  <w:style w:type="paragraph" w:styleId="TOC1">
    <w:name w:val="toc 1"/>
    <w:basedOn w:val="TOCBase"/>
    <w:next w:val="Normal"/>
    <w:rsid w:val="00DD64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6455"/>
    <w:pPr>
      <w:spacing w:before="5040"/>
      <w:jc w:val="center"/>
    </w:pPr>
    <w:rPr>
      <w:sz w:val="48"/>
      <w:szCs w:val="72"/>
      <w:lang w:val="en-US"/>
    </w:rPr>
  </w:style>
  <w:style w:type="character" w:customStyle="1" w:styleId="TitleChar">
    <w:name w:val="Title Char"/>
    <w:basedOn w:val="DefaultParagraphFont"/>
    <w:link w:val="Title"/>
    <w:rsid w:val="00DD64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455"/>
    <w:pPr>
      <w:tabs>
        <w:tab w:val="left" w:pos="3600"/>
        <w:tab w:val="left" w:pos="3958"/>
      </w:tabs>
    </w:pPr>
  </w:style>
  <w:style w:type="paragraph" w:customStyle="1" w:styleId="Note">
    <w:name w:val="Note"/>
    <w:basedOn w:val="BodyText"/>
    <w:rsid w:val="00DD64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6455"/>
    <w:pPr>
      <w:framePr w:wrap="auto" w:hAnchor="text" w:y="6049"/>
    </w:pPr>
    <w:rPr>
      <w:color w:val="000000"/>
      <w:sz w:val="40"/>
    </w:rPr>
  </w:style>
  <w:style w:type="paragraph" w:customStyle="1" w:styleId="TOCTitle">
    <w:name w:val="TOCTitle"/>
    <w:basedOn w:val="Heading1"/>
    <w:rsid w:val="00DD6455"/>
    <w:pPr>
      <w:spacing w:after="240"/>
      <w:jc w:val="center"/>
      <w:outlineLvl w:val="9"/>
    </w:pPr>
    <w:rPr>
      <w:caps/>
    </w:rPr>
  </w:style>
  <w:style w:type="paragraph" w:customStyle="1" w:styleId="Version">
    <w:name w:val="Version"/>
    <w:rsid w:val="00DD64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455"/>
    <w:pPr>
      <w:keepNext w:val="0"/>
      <w:tabs>
        <w:tab w:val="right" w:pos="4176"/>
      </w:tabs>
      <w:ind w:left="198" w:hanging="198"/>
    </w:pPr>
    <w:rPr>
      <w:rFonts w:ascii="Garamond" w:hAnsi="Garamond"/>
    </w:rPr>
  </w:style>
  <w:style w:type="paragraph" w:styleId="IndexHeading">
    <w:name w:val="index heading"/>
    <w:basedOn w:val="Normal"/>
    <w:next w:val="Index1"/>
    <w:semiHidden/>
    <w:rsid w:val="00DD6455"/>
    <w:pPr>
      <w:spacing w:before="120" w:after="120"/>
    </w:pPr>
    <w:rPr>
      <w:rFonts w:ascii="Arial" w:hAnsi="Arial"/>
      <w:b/>
      <w:color w:val="918585"/>
      <w:sz w:val="24"/>
    </w:rPr>
  </w:style>
  <w:style w:type="paragraph" w:customStyle="1" w:styleId="Chapter">
    <w:name w:val="Chapter"/>
    <w:basedOn w:val="Normal"/>
    <w:rsid w:val="00DD6455"/>
    <w:pPr>
      <w:spacing w:before="240"/>
    </w:pPr>
    <w:rPr>
      <w:rFonts w:ascii="Times New Roman" w:hAnsi="Times New Roman"/>
      <w:smallCaps/>
      <w:spacing w:val="80"/>
      <w:sz w:val="28"/>
    </w:rPr>
  </w:style>
  <w:style w:type="paragraph" w:customStyle="1" w:styleId="InChapter">
    <w:name w:val="InChapter"/>
    <w:basedOn w:val="Heading3"/>
    <w:rsid w:val="00DD6455"/>
    <w:pPr>
      <w:spacing w:after="240"/>
      <w:outlineLvl w:val="9"/>
    </w:pPr>
    <w:rPr>
      <w:noProof/>
    </w:rPr>
  </w:style>
  <w:style w:type="paragraph" w:styleId="Index2">
    <w:name w:val="index 2"/>
    <w:basedOn w:val="Normal"/>
    <w:next w:val="Normal"/>
    <w:semiHidden/>
    <w:rsid w:val="00DD6455"/>
    <w:pPr>
      <w:tabs>
        <w:tab w:val="right" w:pos="4176"/>
      </w:tabs>
      <w:ind w:left="568" w:hanging="284"/>
    </w:pPr>
    <w:rPr>
      <w:rFonts w:ascii="Garamond" w:hAnsi="Garamond"/>
    </w:rPr>
  </w:style>
  <w:style w:type="paragraph" w:customStyle="1" w:styleId="Byline">
    <w:name w:val="Byline"/>
    <w:rsid w:val="00DD64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455"/>
    <w:pPr>
      <w:tabs>
        <w:tab w:val="clear" w:pos="3600"/>
        <w:tab w:val="clear" w:pos="3958"/>
      </w:tabs>
      <w:jc w:val="right"/>
    </w:pPr>
  </w:style>
  <w:style w:type="character" w:styleId="Emphasis">
    <w:name w:val="Emphasis"/>
    <w:basedOn w:val="DefaultParagraphFont"/>
    <w:qFormat/>
    <w:rsid w:val="00DD6455"/>
    <w:rPr>
      <w:i/>
    </w:rPr>
  </w:style>
  <w:style w:type="paragraph" w:styleId="Caption">
    <w:name w:val="caption"/>
    <w:basedOn w:val="BodyText"/>
    <w:next w:val="Normal"/>
    <w:qFormat/>
    <w:rsid w:val="00DD6455"/>
    <w:pPr>
      <w:framePr w:w="2268" w:hSpace="181" w:vSpace="181" w:wrap="around" w:vAnchor="text" w:hAnchor="page" w:x="1135" w:y="285" w:anchorLock="1"/>
    </w:pPr>
    <w:rPr>
      <w:i/>
    </w:rPr>
  </w:style>
  <w:style w:type="paragraph" w:customStyle="1" w:styleId="MiniTOCTitle">
    <w:name w:val="MiniTOCTitle"/>
    <w:basedOn w:val="Heading4"/>
    <w:rsid w:val="00DD6455"/>
    <w:pPr>
      <w:spacing w:before="240"/>
      <w:outlineLvl w:val="9"/>
    </w:pPr>
    <w:rPr>
      <w:noProof/>
      <w:sz w:val="24"/>
    </w:rPr>
  </w:style>
  <w:style w:type="paragraph" w:customStyle="1" w:styleId="MiniTOCItem">
    <w:name w:val="MiniTOCItem"/>
    <w:basedOn w:val="ListBullet"/>
    <w:rsid w:val="00DD6455"/>
    <w:pPr>
      <w:numPr>
        <w:numId w:val="0"/>
      </w:numPr>
      <w:tabs>
        <w:tab w:val="right" w:leader="dot" w:pos="6521"/>
      </w:tabs>
      <w:spacing w:before="0" w:after="0"/>
    </w:pPr>
  </w:style>
  <w:style w:type="paragraph" w:customStyle="1" w:styleId="TOFTitle">
    <w:name w:val="TOFTitle"/>
    <w:basedOn w:val="TOCTitle"/>
    <w:rsid w:val="00DD6455"/>
  </w:style>
  <w:style w:type="paragraph" w:styleId="TableofFigures">
    <w:name w:val="table of figures"/>
    <w:basedOn w:val="Normal"/>
    <w:next w:val="Normal"/>
    <w:semiHidden/>
    <w:rsid w:val="00DD6455"/>
    <w:pPr>
      <w:tabs>
        <w:tab w:val="right" w:leader="dot" w:pos="9072"/>
      </w:tabs>
      <w:ind w:left="970" w:hanging="403"/>
    </w:pPr>
    <w:rPr>
      <w:rFonts w:ascii="Times New Roman" w:hAnsi="Times New Roman"/>
      <w:b/>
    </w:rPr>
  </w:style>
  <w:style w:type="paragraph" w:styleId="ListNumber">
    <w:name w:val="List Number"/>
    <w:basedOn w:val="List"/>
    <w:rsid w:val="00DD6455"/>
    <w:pPr>
      <w:numPr>
        <w:numId w:val="11"/>
      </w:numPr>
    </w:pPr>
  </w:style>
  <w:style w:type="character" w:customStyle="1" w:styleId="WingdingSymbols">
    <w:name w:val="Wingding Symbols"/>
    <w:rsid w:val="00DD6455"/>
    <w:rPr>
      <w:rFonts w:ascii="Wingdings" w:hAnsi="Wingdings"/>
    </w:rPr>
  </w:style>
  <w:style w:type="paragraph" w:customStyle="1" w:styleId="TableHeading">
    <w:name w:val="Table Heading"/>
    <w:basedOn w:val="HeadingBase"/>
    <w:rsid w:val="00DD6455"/>
    <w:pPr>
      <w:keepLines/>
      <w:pBdr>
        <w:bottom w:val="single" w:sz="6" w:space="1" w:color="918585"/>
      </w:pBdr>
      <w:spacing w:before="240"/>
    </w:pPr>
  </w:style>
  <w:style w:type="character" w:customStyle="1" w:styleId="HotSpot">
    <w:name w:val="HotSpot"/>
    <w:rsid w:val="00DD6455"/>
    <w:rPr>
      <w:color w:val="0033CC"/>
      <w:u w:val="none"/>
    </w:rPr>
  </w:style>
  <w:style w:type="paragraph" w:customStyle="1" w:styleId="BodyTextRight">
    <w:name w:val="Body Text Right"/>
    <w:basedOn w:val="BodyText"/>
    <w:rsid w:val="00DD6455"/>
    <w:pPr>
      <w:spacing w:before="0" w:after="0"/>
      <w:jc w:val="right"/>
    </w:pPr>
  </w:style>
  <w:style w:type="paragraph" w:styleId="Index3">
    <w:name w:val="index 3"/>
    <w:basedOn w:val="ListNumber2"/>
    <w:next w:val="Normal"/>
    <w:semiHidden/>
    <w:rsid w:val="00DD6455"/>
    <w:pPr>
      <w:numPr>
        <w:numId w:val="0"/>
      </w:numPr>
      <w:tabs>
        <w:tab w:val="right" w:leader="dot" w:pos="4176"/>
      </w:tabs>
    </w:pPr>
  </w:style>
  <w:style w:type="paragraph" w:styleId="ListNumber2">
    <w:name w:val="List Number 2"/>
    <w:basedOn w:val="List2"/>
    <w:rsid w:val="00DD6455"/>
    <w:pPr>
      <w:numPr>
        <w:numId w:val="10"/>
      </w:numPr>
      <w:tabs>
        <w:tab w:val="clear" w:pos="1060"/>
      </w:tabs>
    </w:pPr>
  </w:style>
  <w:style w:type="paragraph" w:customStyle="1" w:styleId="MarginNote">
    <w:name w:val="Margin Note"/>
    <w:basedOn w:val="BodyText"/>
    <w:rsid w:val="00DD64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4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4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6455"/>
    <w:rPr>
      <w:sz w:val="32"/>
    </w:rPr>
  </w:style>
  <w:style w:type="paragraph" w:customStyle="1" w:styleId="HeadingProcedure">
    <w:name w:val="Heading Procedure"/>
    <w:basedOn w:val="HeadingBase"/>
    <w:next w:val="Normal"/>
    <w:rsid w:val="00DD6455"/>
    <w:pPr>
      <w:tabs>
        <w:tab w:val="left" w:pos="0"/>
      </w:tabs>
      <w:spacing w:before="120" w:after="60"/>
    </w:pPr>
    <w:rPr>
      <w:i/>
      <w:color w:val="918585"/>
      <w:sz w:val="22"/>
    </w:rPr>
  </w:style>
  <w:style w:type="paragraph" w:customStyle="1" w:styleId="TableBodyText">
    <w:name w:val="Table Body Text"/>
    <w:basedOn w:val="BodyText"/>
    <w:rsid w:val="00DD6455"/>
    <w:pPr>
      <w:spacing w:before="60" w:after="60"/>
    </w:pPr>
  </w:style>
  <w:style w:type="paragraph" w:styleId="ListContinue">
    <w:name w:val="List Continue"/>
    <w:basedOn w:val="List"/>
    <w:rsid w:val="00DD6455"/>
    <w:pPr>
      <w:ind w:firstLine="0"/>
    </w:pPr>
  </w:style>
  <w:style w:type="paragraph" w:customStyle="1" w:styleId="ListNote">
    <w:name w:val="List Note"/>
    <w:basedOn w:val="List"/>
    <w:rsid w:val="00DD6455"/>
    <w:pPr>
      <w:pBdr>
        <w:top w:val="single" w:sz="6" w:space="2" w:color="918585"/>
        <w:bottom w:val="single" w:sz="6" w:space="2" w:color="918585"/>
      </w:pBdr>
      <w:tabs>
        <w:tab w:val="left" w:pos="1021"/>
      </w:tabs>
      <w:ind w:firstLine="0"/>
    </w:pPr>
  </w:style>
  <w:style w:type="paragraph" w:customStyle="1" w:styleId="Warning">
    <w:name w:val="Warning"/>
    <w:basedOn w:val="BodyText"/>
    <w:rsid w:val="00DD6455"/>
    <w:pPr>
      <w:shd w:val="clear" w:color="auto" w:fill="D9D9D9"/>
      <w:tabs>
        <w:tab w:val="left" w:pos="992"/>
      </w:tabs>
      <w:ind w:left="119" w:right="119"/>
    </w:pPr>
    <w:rPr>
      <w:sz w:val="20"/>
    </w:rPr>
  </w:style>
  <w:style w:type="paragraph" w:customStyle="1" w:styleId="MarginIcons">
    <w:name w:val="Margin Icons"/>
    <w:basedOn w:val="BodyText"/>
    <w:rsid w:val="00DD64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455"/>
    <w:rPr>
      <w:rFonts w:ascii="Courier New" w:hAnsi="Courier New"/>
    </w:rPr>
  </w:style>
  <w:style w:type="paragraph" w:customStyle="1" w:styleId="NoteBullet">
    <w:name w:val="Note Bullet"/>
    <w:basedOn w:val="Note"/>
    <w:rsid w:val="00DD6455"/>
    <w:pPr>
      <w:tabs>
        <w:tab w:val="clear" w:pos="680"/>
      </w:tabs>
      <w:spacing w:before="60" w:after="60"/>
    </w:pPr>
  </w:style>
  <w:style w:type="paragraph" w:customStyle="1" w:styleId="SubHeading2">
    <w:name w:val="SubHeading2"/>
    <w:basedOn w:val="HeadingBase"/>
    <w:rsid w:val="00DD6455"/>
    <w:pPr>
      <w:spacing w:before="240" w:after="60"/>
    </w:pPr>
    <w:rPr>
      <w:sz w:val="20"/>
    </w:rPr>
  </w:style>
  <w:style w:type="paragraph" w:customStyle="1" w:styleId="SubHeading1">
    <w:name w:val="SubHeading1"/>
    <w:basedOn w:val="HeadingBase"/>
    <w:rsid w:val="00DD6455"/>
    <w:pPr>
      <w:spacing w:before="240" w:after="60"/>
    </w:pPr>
    <w:rPr>
      <w:color w:val="918585"/>
      <w:sz w:val="22"/>
    </w:rPr>
  </w:style>
  <w:style w:type="paragraph" w:customStyle="1" w:styleId="SideHeading">
    <w:name w:val="Side Heading"/>
    <w:basedOn w:val="HeadingBase"/>
    <w:rsid w:val="00DD64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455"/>
    <w:pPr>
      <w:numPr>
        <w:numId w:val="12"/>
      </w:numPr>
    </w:pPr>
  </w:style>
  <w:style w:type="paragraph" w:styleId="PlainText">
    <w:name w:val="Plain Text"/>
    <w:basedOn w:val="Normal"/>
    <w:link w:val="PlainTextChar"/>
    <w:rsid w:val="00DD6455"/>
    <w:rPr>
      <w:sz w:val="20"/>
    </w:rPr>
  </w:style>
  <w:style w:type="character" w:customStyle="1" w:styleId="PlainTextChar">
    <w:name w:val="Plain Text Char"/>
    <w:basedOn w:val="DefaultParagraphFont"/>
    <w:link w:val="PlainText"/>
    <w:rsid w:val="00DD64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6455"/>
    <w:rPr>
      <w:b/>
      <w:smallCaps/>
    </w:rPr>
  </w:style>
  <w:style w:type="paragraph" w:customStyle="1" w:styleId="TableListNumber">
    <w:name w:val="Table List Number"/>
    <w:basedOn w:val="ListNumber"/>
    <w:rsid w:val="00DD6455"/>
    <w:pPr>
      <w:numPr>
        <w:numId w:val="0"/>
      </w:numPr>
    </w:pPr>
  </w:style>
  <w:style w:type="paragraph" w:styleId="TOC4">
    <w:name w:val="toc 4"/>
    <w:basedOn w:val="TOCBase"/>
    <w:next w:val="Normal"/>
    <w:semiHidden/>
    <w:rsid w:val="00DD6455"/>
    <w:pPr>
      <w:tabs>
        <w:tab w:val="right" w:leader="dot" w:pos="9071"/>
      </w:tabs>
      <w:ind w:left="1701"/>
    </w:pPr>
  </w:style>
  <w:style w:type="paragraph" w:customStyle="1" w:styleId="ListAlpha">
    <w:name w:val="List Alpha"/>
    <w:basedOn w:val="List"/>
    <w:rsid w:val="00DD6455"/>
    <w:pPr>
      <w:numPr>
        <w:numId w:val="9"/>
      </w:numPr>
    </w:pPr>
  </w:style>
  <w:style w:type="paragraph" w:customStyle="1" w:styleId="ListAlpha2">
    <w:name w:val="List Alpha 2"/>
    <w:basedOn w:val="List2"/>
    <w:rsid w:val="00DD6455"/>
    <w:pPr>
      <w:numPr>
        <w:numId w:val="8"/>
      </w:numPr>
    </w:pPr>
  </w:style>
  <w:style w:type="paragraph" w:styleId="List3">
    <w:name w:val="List 3"/>
    <w:basedOn w:val="BodyText"/>
    <w:rsid w:val="00DD6455"/>
    <w:pPr>
      <w:tabs>
        <w:tab w:val="left" w:pos="1021"/>
      </w:tabs>
      <w:spacing w:before="60" w:after="60"/>
      <w:ind w:left="1020" w:hanging="340"/>
    </w:pPr>
  </w:style>
  <w:style w:type="paragraph" w:styleId="List4">
    <w:name w:val="List 4"/>
    <w:basedOn w:val="BodyText"/>
    <w:rsid w:val="00DD6455"/>
    <w:pPr>
      <w:tabs>
        <w:tab w:val="left" w:pos="1361"/>
      </w:tabs>
      <w:spacing w:before="60" w:after="60"/>
      <w:ind w:left="1361" w:hanging="340"/>
    </w:pPr>
  </w:style>
  <w:style w:type="paragraph" w:styleId="List5">
    <w:name w:val="List 5"/>
    <w:basedOn w:val="BodyText"/>
    <w:rsid w:val="00DD6455"/>
    <w:pPr>
      <w:tabs>
        <w:tab w:val="left" w:pos="1701"/>
      </w:tabs>
      <w:spacing w:before="60" w:after="60"/>
      <w:ind w:left="1701" w:hanging="340"/>
    </w:pPr>
  </w:style>
  <w:style w:type="paragraph" w:styleId="ListBullet3">
    <w:name w:val="List Bullet 3"/>
    <w:basedOn w:val="List3"/>
    <w:rsid w:val="00DD6455"/>
    <w:pPr>
      <w:numPr>
        <w:numId w:val="15"/>
      </w:numPr>
      <w:tabs>
        <w:tab w:val="clear" w:pos="1021"/>
      </w:tabs>
      <w:ind w:left="1037" w:hanging="357"/>
    </w:pPr>
  </w:style>
  <w:style w:type="paragraph" w:styleId="ListBullet4">
    <w:name w:val="List Bullet 4"/>
    <w:basedOn w:val="List4"/>
    <w:rsid w:val="00DD6455"/>
    <w:pPr>
      <w:numPr>
        <w:numId w:val="3"/>
      </w:numPr>
    </w:pPr>
  </w:style>
  <w:style w:type="paragraph" w:styleId="ListBullet5">
    <w:name w:val="List Bullet 5"/>
    <w:basedOn w:val="List5"/>
    <w:rsid w:val="00DD6455"/>
    <w:pPr>
      <w:numPr>
        <w:numId w:val="4"/>
      </w:numPr>
    </w:pPr>
  </w:style>
  <w:style w:type="paragraph" w:styleId="ListContinue2">
    <w:name w:val="List Continue 2"/>
    <w:basedOn w:val="List2"/>
    <w:rsid w:val="00DD6455"/>
    <w:pPr>
      <w:ind w:firstLine="0"/>
    </w:pPr>
  </w:style>
  <w:style w:type="paragraph" w:styleId="ListContinue3">
    <w:name w:val="List Continue 3"/>
    <w:basedOn w:val="List3"/>
    <w:rsid w:val="00DD6455"/>
    <w:pPr>
      <w:ind w:left="1021" w:firstLine="0"/>
    </w:pPr>
  </w:style>
  <w:style w:type="paragraph" w:styleId="ListContinue4">
    <w:name w:val="List Continue 4"/>
    <w:basedOn w:val="List4"/>
    <w:rsid w:val="00DD6455"/>
    <w:pPr>
      <w:ind w:firstLine="0"/>
    </w:pPr>
  </w:style>
  <w:style w:type="paragraph" w:styleId="ListContinue5">
    <w:name w:val="List Continue 5"/>
    <w:basedOn w:val="List5"/>
    <w:rsid w:val="00DD6455"/>
    <w:pPr>
      <w:ind w:firstLine="0"/>
    </w:pPr>
  </w:style>
  <w:style w:type="paragraph" w:styleId="ListNumber3">
    <w:name w:val="List Number 3"/>
    <w:basedOn w:val="List3"/>
    <w:rsid w:val="00DD6455"/>
    <w:pPr>
      <w:numPr>
        <w:numId w:val="5"/>
      </w:numPr>
    </w:pPr>
  </w:style>
  <w:style w:type="paragraph" w:styleId="ListNumber4">
    <w:name w:val="List Number 4"/>
    <w:basedOn w:val="List4"/>
    <w:rsid w:val="00DD6455"/>
    <w:pPr>
      <w:numPr>
        <w:numId w:val="6"/>
      </w:numPr>
    </w:pPr>
  </w:style>
  <w:style w:type="paragraph" w:styleId="ListNumber5">
    <w:name w:val="List Number 5"/>
    <w:basedOn w:val="List5"/>
    <w:rsid w:val="00DD6455"/>
    <w:pPr>
      <w:numPr>
        <w:numId w:val="7"/>
      </w:numPr>
    </w:pPr>
  </w:style>
  <w:style w:type="paragraph" w:styleId="BlockText">
    <w:name w:val="Block Text"/>
    <w:basedOn w:val="Normal"/>
    <w:rsid w:val="00DD6455"/>
    <w:pPr>
      <w:spacing w:after="120"/>
      <w:ind w:left="1440" w:right="1440"/>
    </w:pPr>
  </w:style>
  <w:style w:type="character" w:customStyle="1" w:styleId="Subscript">
    <w:name w:val="Subscript"/>
    <w:basedOn w:val="DefaultParagraphFont"/>
    <w:rsid w:val="00DD6455"/>
    <w:rPr>
      <w:sz w:val="16"/>
      <w:vertAlign w:val="subscript"/>
    </w:rPr>
  </w:style>
  <w:style w:type="character" w:customStyle="1" w:styleId="Superscript">
    <w:name w:val="Superscript"/>
    <w:basedOn w:val="DefaultParagraphFont"/>
    <w:rsid w:val="00DD6455"/>
    <w:rPr>
      <w:sz w:val="16"/>
      <w:vertAlign w:val="superscript"/>
    </w:rPr>
  </w:style>
  <w:style w:type="character" w:customStyle="1" w:styleId="Symbols">
    <w:name w:val="Symbols"/>
    <w:basedOn w:val="DefaultParagraphFont"/>
    <w:rsid w:val="00DD6455"/>
    <w:rPr>
      <w:rFonts w:ascii="Symbol" w:hAnsi="Symbol"/>
    </w:rPr>
  </w:style>
  <w:style w:type="character" w:customStyle="1" w:styleId="MenuOptions">
    <w:name w:val="Menu Options"/>
    <w:basedOn w:val="DefaultParagraphFont"/>
    <w:rsid w:val="00DD6455"/>
    <w:rPr>
      <w:rFonts w:ascii="Arial Narrow" w:hAnsi="Arial Narrow"/>
      <w:smallCaps/>
    </w:rPr>
  </w:style>
  <w:style w:type="character" w:customStyle="1" w:styleId="Buttons">
    <w:name w:val="Buttons"/>
    <w:basedOn w:val="DefaultParagraphFont"/>
    <w:rsid w:val="00DD6455"/>
    <w:rPr>
      <w:b/>
    </w:rPr>
  </w:style>
  <w:style w:type="character" w:customStyle="1" w:styleId="Underlined">
    <w:name w:val="Underlined"/>
    <w:basedOn w:val="DefaultParagraphFont"/>
    <w:rsid w:val="00DD6455"/>
    <w:rPr>
      <w:u w:val="single"/>
    </w:rPr>
  </w:style>
  <w:style w:type="paragraph" w:customStyle="1" w:styleId="TableBodyTextRight">
    <w:name w:val="Table Body Text Right"/>
    <w:basedOn w:val="TableBodyText"/>
    <w:rsid w:val="00DD6455"/>
    <w:pPr>
      <w:widowControl w:val="0"/>
      <w:autoSpaceDE w:val="0"/>
      <w:autoSpaceDN w:val="0"/>
      <w:adjustRightInd w:val="0"/>
      <w:jc w:val="right"/>
    </w:pPr>
    <w:rPr>
      <w:rFonts w:cs="Arial"/>
      <w:szCs w:val="18"/>
    </w:rPr>
  </w:style>
  <w:style w:type="paragraph" w:customStyle="1" w:styleId="CopyrightText">
    <w:name w:val="Copyright Text"/>
    <w:basedOn w:val="BodyText"/>
    <w:rsid w:val="00DD6455"/>
    <w:rPr>
      <w:sz w:val="18"/>
    </w:rPr>
  </w:style>
  <w:style w:type="paragraph" w:customStyle="1" w:styleId="BodySmallRight">
    <w:name w:val="Body Small Right"/>
    <w:basedOn w:val="BodyTextRight"/>
    <w:rsid w:val="00DD6455"/>
    <w:rPr>
      <w:sz w:val="18"/>
      <w:szCs w:val="18"/>
    </w:rPr>
  </w:style>
  <w:style w:type="paragraph" w:customStyle="1" w:styleId="MarginEdition">
    <w:name w:val="Margin Edition"/>
    <w:basedOn w:val="MarginNote"/>
    <w:rsid w:val="00DD6455"/>
    <w:pPr>
      <w:spacing w:before="0" w:after="0"/>
    </w:pPr>
    <w:rPr>
      <w:rFonts w:ascii="Times New Roman" w:hAnsi="Times New Roman"/>
      <w:color w:val="999999"/>
    </w:rPr>
  </w:style>
  <w:style w:type="paragraph" w:customStyle="1" w:styleId="Spacer">
    <w:name w:val="Spacer"/>
    <w:basedOn w:val="Normal"/>
    <w:rsid w:val="00DD6455"/>
    <w:rPr>
      <w:sz w:val="2"/>
      <w:szCs w:val="2"/>
    </w:rPr>
  </w:style>
  <w:style w:type="character" w:customStyle="1" w:styleId="Small">
    <w:name w:val="Small"/>
    <w:basedOn w:val="DefaultParagraphFont"/>
    <w:rsid w:val="00DD6455"/>
    <w:rPr>
      <w:sz w:val="16"/>
    </w:rPr>
  </w:style>
  <w:style w:type="paragraph" w:customStyle="1" w:styleId="WideTable">
    <w:name w:val="Wide Table"/>
    <w:basedOn w:val="Normal"/>
    <w:rsid w:val="00DD6455"/>
    <w:pPr>
      <w:ind w:left="-1418"/>
    </w:pPr>
    <w:rPr>
      <w:sz w:val="2"/>
      <w:szCs w:val="2"/>
    </w:rPr>
  </w:style>
  <w:style w:type="character" w:styleId="PageNumber">
    <w:name w:val="page number"/>
    <w:basedOn w:val="DefaultParagraphFont"/>
    <w:rsid w:val="00DD6455"/>
  </w:style>
  <w:style w:type="paragraph" w:styleId="Quote">
    <w:name w:val="Quote"/>
    <w:basedOn w:val="Heading1"/>
    <w:link w:val="QuoteChar"/>
    <w:qFormat/>
    <w:rsid w:val="00DD6455"/>
    <w:rPr>
      <w:b w:val="0"/>
      <w:sz w:val="72"/>
      <w:szCs w:val="72"/>
      <w:lang w:val="en-NZ"/>
    </w:rPr>
  </w:style>
  <w:style w:type="character" w:customStyle="1" w:styleId="QuoteChar">
    <w:name w:val="Quote Char"/>
    <w:basedOn w:val="DefaultParagraphFont"/>
    <w:link w:val="Quote"/>
    <w:rsid w:val="00DD64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455"/>
    <w:pPr>
      <w:pageBreakBefore/>
    </w:pPr>
  </w:style>
  <w:style w:type="paragraph" w:customStyle="1" w:styleId="Border">
    <w:name w:val="Border"/>
    <w:basedOn w:val="Normal"/>
    <w:qFormat/>
    <w:rsid w:val="00DD64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455"/>
    <w:rPr>
      <w:b/>
      <w:bCs/>
      <w:i/>
      <w:iCs/>
      <w:color w:val="auto"/>
    </w:rPr>
  </w:style>
  <w:style w:type="paragraph" w:styleId="IntenseQuote">
    <w:name w:val="Intense Quote"/>
    <w:basedOn w:val="Normal"/>
    <w:next w:val="Normal"/>
    <w:link w:val="IntenseQuoteChar"/>
    <w:uiPriority w:val="30"/>
    <w:qFormat/>
    <w:rsid w:val="00DD64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4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6455"/>
    <w:rPr>
      <w:smallCaps/>
      <w:color w:val="auto"/>
      <w:u w:val="single"/>
    </w:rPr>
  </w:style>
  <w:style w:type="character" w:styleId="IntenseReference">
    <w:name w:val="Intense Reference"/>
    <w:basedOn w:val="DefaultParagraphFont"/>
    <w:uiPriority w:val="32"/>
    <w:qFormat/>
    <w:rsid w:val="00DD6455"/>
    <w:rPr>
      <w:b/>
      <w:bCs/>
      <w:smallCaps/>
      <w:color w:val="auto"/>
      <w:spacing w:val="5"/>
      <w:u w:val="single"/>
    </w:rPr>
  </w:style>
  <w:style w:type="paragraph" w:customStyle="1" w:styleId="2ColumnHeading">
    <w:name w:val="2Column Heading"/>
    <w:basedOn w:val="BodyText"/>
    <w:qFormat/>
    <w:rsid w:val="00DD6455"/>
    <w:pPr>
      <w:spacing w:after="60"/>
      <w:ind w:left="-2268"/>
    </w:pPr>
    <w:rPr>
      <w:b/>
    </w:rPr>
  </w:style>
  <w:style w:type="paragraph" w:customStyle="1" w:styleId="Heading1TOC">
    <w:name w:val="Heading1 TOC"/>
    <w:basedOn w:val="Normal"/>
    <w:qFormat/>
    <w:rsid w:val="00DD6455"/>
    <w:pPr>
      <w:spacing w:before="240" w:after="120"/>
    </w:pPr>
    <w:rPr>
      <w:rFonts w:ascii="Times New Roman" w:hAnsi="Times New Roman"/>
      <w:b/>
      <w:sz w:val="32"/>
    </w:rPr>
  </w:style>
  <w:style w:type="paragraph" w:customStyle="1" w:styleId="Heading2TOC">
    <w:name w:val="Heading2 TOC"/>
    <w:basedOn w:val="Normal"/>
    <w:qFormat/>
    <w:rsid w:val="00DD6455"/>
    <w:pPr>
      <w:spacing w:before="240" w:after="60"/>
    </w:pPr>
    <w:rPr>
      <w:rFonts w:ascii="Times New Roman" w:hAnsi="Times New Roman"/>
      <w:b/>
      <w:sz w:val="28"/>
    </w:rPr>
  </w:style>
  <w:style w:type="character" w:customStyle="1" w:styleId="Underline">
    <w:name w:val="Underline"/>
    <w:basedOn w:val="DefaultParagraphFont"/>
    <w:qFormat/>
    <w:rsid w:val="00DD6455"/>
    <w:rPr>
      <w:u w:val="single"/>
    </w:rPr>
  </w:style>
  <w:style w:type="paragraph" w:styleId="BalloonText">
    <w:name w:val="Balloon Text"/>
    <w:basedOn w:val="Normal"/>
    <w:link w:val="BalloonTextChar"/>
    <w:rsid w:val="00DD6455"/>
    <w:rPr>
      <w:rFonts w:ascii="Tahoma" w:hAnsi="Tahoma" w:cs="Tahoma"/>
      <w:sz w:val="16"/>
      <w:szCs w:val="16"/>
    </w:rPr>
  </w:style>
  <w:style w:type="character" w:customStyle="1" w:styleId="BalloonTextChar">
    <w:name w:val="Balloon Text Char"/>
    <w:basedOn w:val="DefaultParagraphFont"/>
    <w:link w:val="BalloonText"/>
    <w:rsid w:val="00DD64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64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64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2231</Words>
  <Characters>14082</Characters>
  <Application>Microsoft Office Word</Application>
  <DocSecurity>0</DocSecurity>
  <Lines>439</Lines>
  <Paragraphs>221</Paragraphs>
  <ScaleCrop>false</ScaleCrop>
  <Company>Author-it Software Corporation Ltd.</Company>
  <LinksUpToDate>false</LinksUpToDate>
  <CharactersWithSpaces>16280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BSBOHS609B Evaluate an organisation's OHS performance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2012-05-26T14:08:00Z</dcterms:created>
  <dcterms:modified xsi:type="dcterms:W3CDTF">2012-05-26T14:08:00Z</dcterms:modified>
</cp:coreProperties>
</file>