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152B2" w:rsidP="00A152B2">
      <w:pPr>
        <w:pStyle w:val="Title"/>
      </w:pPr>
      <w:bookmarkStart w:id="0" w:name="_GoBack"/>
      <w:bookmarkEnd w:id="0"/>
      <w:r>
        <w:fldChar w:fldCharType="begin"/>
      </w:r>
      <w:r>
        <w:instrText xml:space="preserve"> TITLE   \* MERGEFORMAT </w:instrText>
      </w:r>
      <w:r>
        <w:fldChar w:fldCharType="separate"/>
      </w:r>
      <w:r>
        <w:t>BSBMKG520A Manage compliance within the marketing legislative framework</w:t>
      </w:r>
      <w:r>
        <w:fldChar w:fldCharType="end"/>
      </w:r>
    </w:p>
    <w:p w:rsidR="00A152B2" w:rsidP="00A152B2">
      <w:pPr>
        <w:pStyle w:val="Version"/>
        <w:sectPr w:rsidSect="006C7B2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6C7B27" w:rsidP="006C7B27">
      <w:pPr>
        <w:pStyle w:val="SuperHeading"/>
      </w:pPr>
      <w:r w:rsidRPr="006C7B27">
        <w:t>BSBMKG520A Manage compliance within the marketing legislative framework</w:t>
      </w:r>
    </w:p>
    <w:p w:rsidR="00000000" w:rsidRPr="006C7B27" w:rsidP="006C7B27">
      <w:pPr>
        <w:pStyle w:val="SuperHeading"/>
      </w:pPr>
    </w:p>
    <w:p w:rsidR="00000000" w:rsidRPr="006C7B27" w:rsidP="006C7B27">
      <w:pPr>
        <w:pStyle w:val="Heading1"/>
      </w:pPr>
      <w:bookmarkStart w:id="1" w:name="O_66183"/>
      <w:bookmarkEnd w:id="1"/>
      <w:r w:rsidRPr="006C7B27">
        <w:t>Modification History</w:t>
      </w:r>
    </w:p>
    <w:p w:rsidR="00000000" w:rsidRPr="006C7B27" w:rsidP="006C7B27">
      <w:pPr>
        <w:pStyle w:val="BodyText"/>
      </w:pPr>
      <w:r w:rsidRPr="006C7B27">
        <w:t>Not applicable.</w:t>
      </w:r>
    </w:p>
    <w:p w:rsidR="00000000" w:rsidRPr="006C7B27" w:rsidP="006C7B27">
      <w:pPr>
        <w:pStyle w:val="AllowPageBreak"/>
      </w:pPr>
    </w:p>
    <w:p w:rsidR="00000000" w:rsidRPr="006C7B27" w:rsidP="006C7B27">
      <w:pPr>
        <w:pStyle w:val="Heading1"/>
      </w:pPr>
      <w:bookmarkStart w:id="2" w:name="O_66184"/>
      <w:bookmarkEnd w:id="2"/>
      <w:r w:rsidRPr="006C7B27">
        <w:t>Unit Descriptor</w:t>
      </w:r>
    </w:p>
    <w:tbl>
      <w:tblPr>
        <w:tblW w:w="0" w:type="auto"/>
        <w:tblLayout w:type="fixed"/>
        <w:tblCellMar>
          <w:left w:w="62" w:type="dxa"/>
          <w:right w:w="62" w:type="dxa"/>
        </w:tblCellMar>
        <w:tblLook w:val="0000"/>
      </w:tblPr>
      <w:tblGrid>
        <w:gridCol w:w="2663"/>
        <w:gridCol w:w="5859"/>
      </w:tblGrid>
      <w:tr w:rsidTr="00A152B2">
        <w:tblPrEx>
          <w:tblW w:w="0" w:type="auto"/>
          <w:tblLayout w:type="fixed"/>
          <w:tblCellMar>
            <w:left w:w="62" w:type="dxa"/>
            <w:right w:w="62" w:type="dxa"/>
          </w:tblCellMar>
          <w:tblLook w:val="0000"/>
        </w:tblPrEx>
        <w:tc>
          <w:tcPr>
            <w:tcW w:w="26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7B27">
            <w:pPr>
              <w:pStyle w:val="BodyText"/>
              <w:rPr>
                <w:lang w:val="en-NZ"/>
              </w:rPr>
            </w:pPr>
            <w:r w:rsidRPr="006C7B27">
              <w:rPr>
                <w:rStyle w:val="SpecialBold"/>
              </w:rPr>
              <w:t>Unit descri</w:t>
            </w:r>
            <w:r w:rsidRPr="006C7B27">
              <w:rPr>
                <w:rStyle w:val="SpecialBold"/>
              </w:rPr>
              <w:t>ptor</w:t>
            </w:r>
          </w:p>
        </w:tc>
        <w:tc>
          <w:tcPr>
            <w:tcW w:w="58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7B27" w:rsidP="006C7B27">
            <w:pPr>
              <w:pStyle w:val="BodyText"/>
            </w:pPr>
            <w:r w:rsidRPr="006C7B27">
              <w:t>This unit describes the performance outcomes, skills and knowledge required to comply with the marketing legislative framework, and use this framework for competitive advantage.</w:t>
            </w:r>
          </w:p>
          <w:p w:rsidR="00000000" w:rsidRPr="006C7B27" w:rsidP="006C7B27">
            <w:pPr>
              <w:pStyle w:val="BodyText"/>
            </w:pPr>
            <w:r w:rsidRPr="006C7B27">
              <w:t>No licensing, legislative, regulatory or certification requirements apply</w:t>
            </w:r>
            <w:r w:rsidRPr="006C7B27">
              <w:t xml:space="preserve"> to this unit at the time of endorsement.</w:t>
            </w:r>
          </w:p>
        </w:tc>
      </w:tr>
    </w:tbl>
    <w:p w:rsidR="00000000" w:rsidRPr="006C7B27" w:rsidP="006C7B27">
      <w:pPr>
        <w:pStyle w:val="BodyText"/>
      </w:pPr>
    </w:p>
    <w:p w:rsidR="00000000" w:rsidRPr="006C7B27" w:rsidP="006C7B27">
      <w:pPr>
        <w:pStyle w:val="AllowPageBreak"/>
      </w:pPr>
    </w:p>
    <w:p w:rsidR="00000000" w:rsidRPr="006C7B27" w:rsidP="006C7B27">
      <w:pPr>
        <w:pStyle w:val="Heading1"/>
      </w:pPr>
      <w:bookmarkStart w:id="3" w:name="O_66185"/>
      <w:bookmarkEnd w:id="3"/>
      <w:r w:rsidRPr="006C7B27">
        <w:t>Application of the Unit</w:t>
      </w:r>
    </w:p>
    <w:tbl>
      <w:tblPr>
        <w:tblW w:w="0" w:type="auto"/>
        <w:tblLayout w:type="fixed"/>
        <w:tblCellMar>
          <w:left w:w="62" w:type="dxa"/>
          <w:right w:w="62" w:type="dxa"/>
        </w:tblCellMar>
        <w:tblLook w:val="0000"/>
      </w:tblPr>
      <w:tblGrid>
        <w:gridCol w:w="2753"/>
        <w:gridCol w:w="5769"/>
      </w:tblGrid>
      <w:tr w:rsidTr="00A152B2">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7B27">
            <w:pPr>
              <w:pStyle w:val="BodyText"/>
              <w:rPr>
                <w:lang w:val="en-NZ"/>
              </w:rPr>
            </w:pPr>
            <w:r w:rsidRPr="006C7B27">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7B27" w:rsidP="006C7B27">
            <w:pPr>
              <w:pStyle w:val="BodyText"/>
            </w:pPr>
            <w:r w:rsidRPr="006C7B27">
              <w:t xml:space="preserve">This unit applies to individuals working in a marketing supervisory or management role within a marketing team. They may work in small, medium </w:t>
            </w:r>
            <w:r w:rsidRPr="006C7B27">
              <w:t>or large enterprises and in a variety of industries. Within their role they will be required to understand the legal environment in which marketing decisions are made in the organisation so that the organisation can avoid litigation, as well as use the leg</w:t>
            </w:r>
            <w:r w:rsidRPr="006C7B27">
              <w:t>islative framework to assist marketing strategies. Individuals in these roles will need to competently discuss legal issues with specialists, but will not be making legal decisions independently.</w:t>
            </w:r>
          </w:p>
        </w:tc>
      </w:tr>
    </w:tbl>
    <w:p w:rsidR="00000000" w:rsidRPr="006C7B27" w:rsidP="006C7B27">
      <w:pPr>
        <w:pStyle w:val="BodyText"/>
      </w:pPr>
    </w:p>
    <w:p w:rsidR="00000000" w:rsidRPr="006C7B27" w:rsidP="006C7B27">
      <w:pPr>
        <w:pStyle w:val="AllowPageBreak"/>
      </w:pPr>
    </w:p>
    <w:p w:rsidR="00000000" w:rsidRPr="006C7B27" w:rsidP="006C7B27">
      <w:pPr>
        <w:pStyle w:val="Heading1"/>
      </w:pPr>
      <w:bookmarkStart w:id="4" w:name="O_66186"/>
      <w:bookmarkEnd w:id="4"/>
      <w:r w:rsidRPr="006C7B27">
        <w:t>Licensing/Regulatory Information</w:t>
      </w:r>
    </w:p>
    <w:p w:rsidR="00000000" w:rsidRPr="006C7B27" w:rsidP="006C7B27">
      <w:pPr>
        <w:pStyle w:val="BodyText"/>
      </w:pPr>
      <w:r w:rsidRPr="006C7B27">
        <w:t>Not applic</w:t>
      </w:r>
      <w:r w:rsidRPr="006C7B27">
        <w:t>able.</w:t>
      </w:r>
    </w:p>
    <w:p w:rsidR="00000000" w:rsidRPr="006C7B27" w:rsidP="006C7B27">
      <w:pPr>
        <w:pStyle w:val="AllowPageBreak"/>
      </w:pPr>
    </w:p>
    <w:p w:rsidR="00000000" w:rsidRPr="006C7B27" w:rsidP="006C7B27">
      <w:pPr>
        <w:pStyle w:val="Heading1"/>
      </w:pPr>
      <w:bookmarkStart w:id="5" w:name="O_66188"/>
      <w:bookmarkEnd w:id="5"/>
      <w:r w:rsidRPr="006C7B27">
        <w:t>Pre-Requisites</w:t>
      </w:r>
    </w:p>
    <w:tbl>
      <w:tblPr>
        <w:tblW w:w="0" w:type="auto"/>
        <w:tblLayout w:type="fixed"/>
        <w:tblCellMar>
          <w:left w:w="62" w:type="dxa"/>
          <w:right w:w="62" w:type="dxa"/>
        </w:tblCellMar>
        <w:tblLook w:val="0000"/>
      </w:tblPr>
      <w:tblGrid>
        <w:gridCol w:w="2775"/>
        <w:gridCol w:w="1295"/>
        <w:gridCol w:w="4452"/>
      </w:tblGrid>
      <w:tr w:rsidTr="00A152B2">
        <w:tblPrEx>
          <w:tblW w:w="0" w:type="auto"/>
          <w:tblLayout w:type="fixed"/>
          <w:tblCellMar>
            <w:left w:w="62" w:type="dxa"/>
            <w:right w:w="62" w:type="dxa"/>
          </w:tblCellMar>
          <w:tblLook w:val="0000"/>
        </w:tblPrEx>
        <w:trPr>
          <w:tblHeader/>
        </w:trPr>
        <w:tc>
          <w:tcPr>
            <w:tcW w:w="2775"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7B27">
            <w:pPr>
              <w:pStyle w:val="BodyText"/>
              <w:rPr>
                <w:lang w:val="en-NZ"/>
              </w:rPr>
            </w:pPr>
            <w:r w:rsidRPr="006C7B27">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7B27">
            <w:pPr>
              <w:pStyle w:val="BodyText"/>
              <w:rPr>
                <w:lang w:val="en-NZ"/>
              </w:rPr>
            </w:pPr>
          </w:p>
        </w:tc>
      </w:tr>
      <w:tr w:rsidTr="00A152B2">
        <w:tblPrEx>
          <w:tblW w:w="0" w:type="auto"/>
          <w:tblLayout w:type="fixed"/>
          <w:tblCellMar>
            <w:left w:w="62" w:type="dxa"/>
            <w:right w:w="62" w:type="dxa"/>
          </w:tblCellMar>
          <w:tblLook w:val="0000"/>
        </w:tblPrEx>
        <w:tc>
          <w:tcPr>
            <w:tcW w:w="2775"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7B27">
            <w:pPr>
              <w:pStyle w:val="BodyText"/>
              <w:rPr>
                <w:lang w:val="en-NZ"/>
              </w:rPr>
            </w:pPr>
          </w:p>
        </w:tc>
      </w:tr>
      <w:tr w:rsidTr="00A152B2">
        <w:tblPrEx>
          <w:tblW w:w="0" w:type="auto"/>
          <w:tblLayout w:type="fixed"/>
          <w:tblCellMar>
            <w:left w:w="62" w:type="dxa"/>
            <w:right w:w="62" w:type="dxa"/>
          </w:tblCellMar>
          <w:tblLook w:val="0000"/>
        </w:tblPrEx>
        <w:tc>
          <w:tcPr>
            <w:tcW w:w="2775"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7B27" w:rsidP="006C7B27">
            <w:pPr>
              <w:pStyle w:val="BodyText"/>
            </w:pPr>
          </w:p>
        </w:tc>
      </w:tr>
    </w:tbl>
    <w:p w:rsidR="00000000" w:rsidRPr="006C7B27" w:rsidP="006C7B27">
      <w:pPr>
        <w:pStyle w:val="BodyText"/>
      </w:pPr>
    </w:p>
    <w:p w:rsidR="00000000" w:rsidRPr="006C7B27" w:rsidP="006C7B27">
      <w:pPr>
        <w:pStyle w:val="AllowPageBreak"/>
      </w:pPr>
    </w:p>
    <w:p w:rsidR="00000000" w:rsidRPr="006C7B27" w:rsidP="006C7B27">
      <w:pPr>
        <w:pStyle w:val="Heading1"/>
      </w:pPr>
      <w:bookmarkStart w:id="6" w:name="O_66187"/>
      <w:bookmarkEnd w:id="6"/>
      <w:r w:rsidRPr="006C7B27">
        <w:t>Employability Skills Information</w:t>
      </w:r>
    </w:p>
    <w:tbl>
      <w:tblPr>
        <w:tblW w:w="0" w:type="auto"/>
        <w:tblLayout w:type="fixed"/>
        <w:tblCellMar>
          <w:left w:w="62" w:type="dxa"/>
          <w:right w:w="62" w:type="dxa"/>
        </w:tblCellMar>
        <w:tblLook w:val="0000"/>
      </w:tblPr>
      <w:tblGrid>
        <w:gridCol w:w="2802"/>
        <w:gridCol w:w="5720"/>
      </w:tblGrid>
      <w:tr w:rsidTr="00A152B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7B27">
            <w:pPr>
              <w:pStyle w:val="BodyText"/>
              <w:rPr>
                <w:lang w:val="en-NZ"/>
              </w:rPr>
            </w:pPr>
            <w:r w:rsidRPr="006C7B2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7B27" w:rsidP="006C7B27">
            <w:pPr>
              <w:pStyle w:val="BodyText"/>
            </w:pPr>
            <w:r w:rsidRPr="006C7B27">
              <w:t>This unit contains employability skills.</w:t>
            </w:r>
          </w:p>
        </w:tc>
      </w:tr>
    </w:tbl>
    <w:p w:rsidR="00000000" w:rsidRPr="006C7B27" w:rsidP="006C7B27">
      <w:pPr>
        <w:pStyle w:val="BodyText"/>
      </w:pPr>
    </w:p>
    <w:p w:rsidR="00000000" w:rsidRPr="006C7B27" w:rsidP="006C7B27">
      <w:pPr>
        <w:pStyle w:val="AllowPageBreak"/>
      </w:pPr>
    </w:p>
    <w:p w:rsidR="00000000" w:rsidRPr="006C7B27" w:rsidP="006C7B27">
      <w:pPr>
        <w:pStyle w:val="Heading1"/>
      </w:pPr>
      <w:bookmarkStart w:id="7" w:name="O_66189"/>
      <w:bookmarkEnd w:id="7"/>
      <w:r w:rsidRPr="006C7B27">
        <w:t>Elements and Performance Criteria Pre-Content</w:t>
      </w:r>
    </w:p>
    <w:tbl>
      <w:tblPr>
        <w:tblW w:w="0" w:type="auto"/>
        <w:tblLayout w:type="fixed"/>
        <w:tblCellMar>
          <w:left w:w="62" w:type="dxa"/>
          <w:right w:w="62" w:type="dxa"/>
        </w:tblCellMar>
        <w:tblLook w:val="0000"/>
      </w:tblPr>
      <w:tblGrid>
        <w:gridCol w:w="2625"/>
        <w:gridCol w:w="5897"/>
      </w:tblGrid>
      <w:tr w:rsidTr="00A152B2">
        <w:tblPrEx>
          <w:tblW w:w="0" w:type="auto"/>
          <w:tblLayout w:type="fixed"/>
          <w:tblCellMar>
            <w:left w:w="62" w:type="dxa"/>
            <w:right w:w="62" w:type="dxa"/>
          </w:tblCellMar>
          <w:tblLook w:val="0000"/>
        </w:tblPrEx>
        <w:tc>
          <w:tcPr>
            <w:tcW w:w="26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7B27">
            <w:pPr>
              <w:pStyle w:val="BodyText"/>
              <w:rPr>
                <w:lang w:val="en-NZ"/>
              </w:rPr>
            </w:pPr>
            <w:r w:rsidRPr="006C7B27">
              <w:t>Elements describe the essential outcomes of a unit of competency.</w:t>
            </w:r>
          </w:p>
        </w:tc>
        <w:tc>
          <w:tcPr>
            <w:tcW w:w="58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7B27" w:rsidP="006C7B27">
            <w:pPr>
              <w:pStyle w:val="BodyText"/>
            </w:pPr>
            <w:r w:rsidRPr="006C7B27">
              <w:t>Performance criteria describe the performance needed to demonstrate achievement of the element. Where bold italicised text is used, further information is detailed in the required skills and</w:t>
            </w:r>
            <w:r w:rsidRPr="006C7B27">
              <w:t xml:space="preserve"> knowledge section and the range statement. Assessment of performance is to be consistent with the evidence guide.</w:t>
            </w:r>
          </w:p>
        </w:tc>
      </w:tr>
    </w:tbl>
    <w:p w:rsidR="00000000" w:rsidRPr="006C7B27" w:rsidP="006C7B27">
      <w:pPr>
        <w:pStyle w:val="BodyText"/>
      </w:pPr>
    </w:p>
    <w:p w:rsidR="00000000" w:rsidRPr="006C7B27" w:rsidP="006C7B27">
      <w:pPr>
        <w:pStyle w:val="AllowPageBreak"/>
      </w:pPr>
    </w:p>
    <w:p w:rsidR="00000000" w:rsidRPr="006C7B27" w:rsidP="006C7B27">
      <w:pPr>
        <w:pStyle w:val="Heading1"/>
      </w:pPr>
      <w:bookmarkStart w:id="8" w:name="O_66190"/>
      <w:bookmarkEnd w:id="8"/>
      <w:r w:rsidRPr="006C7B27">
        <w:t>Elements and Performance Criteria</w:t>
      </w:r>
    </w:p>
    <w:tbl>
      <w:tblPr>
        <w:tblW w:w="0" w:type="auto"/>
        <w:tblLayout w:type="fixed"/>
        <w:tblCellMar>
          <w:left w:w="62" w:type="dxa"/>
          <w:right w:w="62" w:type="dxa"/>
        </w:tblCellMar>
        <w:tblLook w:val="0000"/>
      </w:tblPr>
      <w:tblGrid>
        <w:gridCol w:w="2625"/>
        <w:gridCol w:w="5897"/>
      </w:tblGrid>
      <w:tr w:rsidTr="00A152B2">
        <w:tblPrEx>
          <w:tblW w:w="0" w:type="auto"/>
          <w:tblLayout w:type="fixed"/>
          <w:tblCellMar>
            <w:left w:w="62" w:type="dxa"/>
            <w:right w:w="62" w:type="dxa"/>
          </w:tblCellMar>
          <w:tblLook w:val="0000"/>
        </w:tblPrEx>
        <w:trPr>
          <w:tblHeader/>
        </w:trPr>
        <w:tc>
          <w:tcPr>
            <w:tcW w:w="26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7B27" w:rsidP="006C7B27">
            <w:pPr>
              <w:pStyle w:val="BodyText"/>
            </w:pPr>
            <w:r w:rsidRPr="006C7B27">
              <w:rPr>
                <w:rStyle w:val="SpecialBold"/>
              </w:rPr>
              <w:t>ELEMENT</w:t>
            </w:r>
          </w:p>
        </w:tc>
        <w:tc>
          <w:tcPr>
            <w:tcW w:w="58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7B27">
            <w:pPr>
              <w:pStyle w:val="BodyText"/>
              <w:rPr>
                <w:lang w:val="en-NZ"/>
              </w:rPr>
            </w:pPr>
            <w:r w:rsidRPr="006C7B27">
              <w:rPr>
                <w:rStyle w:val="SpecialBold"/>
              </w:rPr>
              <w:t>PERFORMANCE CRITERIA</w:t>
            </w:r>
          </w:p>
        </w:tc>
      </w:tr>
      <w:tr w:rsidTr="00A152B2">
        <w:tblPrEx>
          <w:tblW w:w="0" w:type="auto"/>
          <w:tblLayout w:type="fixed"/>
          <w:tblCellMar>
            <w:left w:w="62" w:type="dxa"/>
            <w:right w:w="62" w:type="dxa"/>
          </w:tblCellMar>
          <w:tblLook w:val="0000"/>
        </w:tblPrEx>
        <w:tc>
          <w:tcPr>
            <w:tcW w:w="26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7B27">
            <w:pPr>
              <w:pStyle w:val="List"/>
              <w:rPr>
                <w:lang w:val="en-NZ"/>
              </w:rPr>
            </w:pPr>
            <w:r w:rsidRPr="006C7B27">
              <w:t>1.</w:t>
            </w:r>
            <w:r w:rsidRPr="006C7B27">
              <w:tab/>
            </w:r>
            <w:r w:rsidRPr="006C7B27">
              <w:t>Identify and interpret the legislative framework relating to marketing</w:t>
            </w:r>
          </w:p>
        </w:tc>
        <w:tc>
          <w:tcPr>
            <w:tcW w:w="58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7B27" w:rsidP="006C7B27">
            <w:pPr>
              <w:pStyle w:val="List2"/>
            </w:pPr>
            <w:r w:rsidRPr="006C7B27">
              <w:t>1.1.</w:t>
            </w:r>
            <w:r w:rsidRPr="006C7B27">
              <w:tab/>
              <w:t xml:space="preserve">Identify and locate current information about </w:t>
            </w:r>
            <w:r w:rsidRPr="006C7B27">
              <w:rPr>
                <w:rStyle w:val="BoldandItalics"/>
              </w:rPr>
              <w:t>legislation</w:t>
            </w:r>
            <w:r w:rsidRPr="006C7B27">
              <w:t xml:space="preserve"> as it relates to marketing decision making in the industry context</w:t>
            </w:r>
          </w:p>
          <w:p w:rsidR="00000000" w:rsidRPr="006C7B27" w:rsidP="006C7B27">
            <w:pPr>
              <w:pStyle w:val="List2"/>
            </w:pPr>
            <w:r w:rsidRPr="006C7B27">
              <w:t>1.2.</w:t>
            </w:r>
            <w:r w:rsidRPr="006C7B27">
              <w:tab/>
              <w:t xml:space="preserve">Identify </w:t>
            </w:r>
            <w:r w:rsidRPr="006C7B27">
              <w:rPr>
                <w:rStyle w:val="BoldandItalics"/>
              </w:rPr>
              <w:t>codes of practice</w:t>
            </w:r>
            <w:r w:rsidRPr="006C7B27">
              <w:t xml:space="preserve"> as they relate to marke</w:t>
            </w:r>
            <w:r w:rsidRPr="006C7B27">
              <w:t>ting, and analyse their implications for the industry context</w:t>
            </w:r>
          </w:p>
          <w:p w:rsidR="00000000" w:rsidRPr="006C7B27" w:rsidP="006C7B27">
            <w:pPr>
              <w:pStyle w:val="List2"/>
            </w:pPr>
            <w:r w:rsidRPr="006C7B27">
              <w:t>1.3.</w:t>
            </w:r>
            <w:r w:rsidRPr="006C7B27">
              <w:tab/>
              <w:t>Analyse how legislation relating to marketing can protect and assist the trader, consumer and competitive process</w:t>
            </w:r>
          </w:p>
          <w:p w:rsidR="00000000" w:rsidP="006C7B27">
            <w:pPr>
              <w:pStyle w:val="List2"/>
              <w:rPr>
                <w:lang w:val="en-NZ"/>
              </w:rPr>
            </w:pPr>
            <w:r w:rsidRPr="006C7B27">
              <w:t>1.4.</w:t>
            </w:r>
            <w:r w:rsidRPr="006C7B27">
              <w:tab/>
              <w:t xml:space="preserve">Identify </w:t>
            </w:r>
            <w:r w:rsidRPr="006C7B27">
              <w:rPr>
                <w:rStyle w:val="BoldandItalics"/>
              </w:rPr>
              <w:t>sources of information and advice</w:t>
            </w:r>
            <w:r w:rsidRPr="006C7B27">
              <w:t xml:space="preserve"> about the legislative frame</w:t>
            </w:r>
            <w:r w:rsidRPr="006C7B27">
              <w:t>work relating to marketing, and analyse them for usefulness in the industry context</w:t>
            </w:r>
          </w:p>
        </w:tc>
      </w:tr>
      <w:tr w:rsidTr="00A152B2">
        <w:tblPrEx>
          <w:tblW w:w="0" w:type="auto"/>
          <w:tblLayout w:type="fixed"/>
          <w:tblCellMar>
            <w:left w:w="62" w:type="dxa"/>
            <w:right w:w="62" w:type="dxa"/>
          </w:tblCellMar>
          <w:tblLook w:val="0000"/>
        </w:tblPrEx>
        <w:tc>
          <w:tcPr>
            <w:tcW w:w="26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7B27">
            <w:pPr>
              <w:pStyle w:val="List"/>
              <w:rPr>
                <w:lang w:val="en-NZ"/>
              </w:rPr>
            </w:pPr>
            <w:r w:rsidRPr="006C7B27">
              <w:t>2.</w:t>
            </w:r>
            <w:r w:rsidRPr="006C7B27">
              <w:tab/>
              <w:t>Promote a culture of compliance with the legislative framework relating to marketing</w:t>
            </w:r>
          </w:p>
        </w:tc>
        <w:tc>
          <w:tcPr>
            <w:tcW w:w="58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7B27" w:rsidP="006C7B27">
            <w:pPr>
              <w:pStyle w:val="List2"/>
            </w:pPr>
            <w:r w:rsidRPr="006C7B27">
              <w:t>2.1.</w:t>
            </w:r>
            <w:r w:rsidRPr="006C7B27">
              <w:tab/>
              <w:t xml:space="preserve">Identify </w:t>
            </w:r>
            <w:r w:rsidRPr="006C7B27">
              <w:rPr>
                <w:rStyle w:val="BoldandItalics"/>
              </w:rPr>
              <w:t>benefits</w:t>
            </w:r>
            <w:r w:rsidRPr="006C7B27">
              <w:t xml:space="preserve"> and essential components of the legal compliance program rel</w:t>
            </w:r>
            <w:r w:rsidRPr="006C7B27">
              <w:t>ating to marketing, and how they fit with the whole of organisation compliance program</w:t>
            </w:r>
          </w:p>
          <w:p w:rsidR="00000000" w:rsidRPr="006C7B27" w:rsidP="006C7B27">
            <w:pPr>
              <w:pStyle w:val="List2"/>
            </w:pPr>
            <w:r w:rsidRPr="006C7B27">
              <w:t>2.2.</w:t>
            </w:r>
            <w:r w:rsidRPr="006C7B27">
              <w:tab/>
              <w:t>Participate in a marketing compliance audit and make recommendations to address identified gaps</w:t>
            </w:r>
          </w:p>
          <w:p w:rsidR="00000000" w:rsidRPr="006C7B27" w:rsidP="006C7B27">
            <w:pPr>
              <w:pStyle w:val="List2"/>
            </w:pPr>
            <w:r w:rsidRPr="006C7B27">
              <w:t>2.3.</w:t>
            </w:r>
            <w:r w:rsidRPr="006C7B27">
              <w:tab/>
              <w:t xml:space="preserve">Identify possible </w:t>
            </w:r>
            <w:r w:rsidRPr="006C7B27">
              <w:rPr>
                <w:rStyle w:val="BoldandItalics"/>
              </w:rPr>
              <w:t>implications of non</w:t>
            </w:r>
            <w:r w:rsidRPr="006C7B27">
              <w:t>-</w:t>
            </w:r>
            <w:r w:rsidRPr="006C7B27">
              <w:rPr>
                <w:rStyle w:val="BoldandItalics"/>
              </w:rPr>
              <w:t>compliance</w:t>
            </w:r>
            <w:r w:rsidRPr="006C7B27">
              <w:t xml:space="preserve"> and use them t</w:t>
            </w:r>
            <w:r w:rsidRPr="006C7B27">
              <w:t>o recommend changes to practice</w:t>
            </w:r>
          </w:p>
          <w:p w:rsidR="00000000" w:rsidP="006C7B27">
            <w:pPr>
              <w:pStyle w:val="List2"/>
              <w:rPr>
                <w:lang w:val="en-NZ"/>
              </w:rPr>
            </w:pPr>
            <w:r w:rsidRPr="006C7B27">
              <w:t>2.4.</w:t>
            </w:r>
            <w:r w:rsidRPr="006C7B27">
              <w:tab/>
              <w:t>Design a training program to educate staff on compliance as it relates to marketing</w:t>
            </w:r>
          </w:p>
        </w:tc>
      </w:tr>
      <w:tr w:rsidTr="00A152B2">
        <w:tblPrEx>
          <w:tblW w:w="0" w:type="auto"/>
          <w:tblLayout w:type="fixed"/>
          <w:tblCellMar>
            <w:left w:w="62" w:type="dxa"/>
            <w:right w:w="62" w:type="dxa"/>
          </w:tblCellMar>
          <w:tblLook w:val="0000"/>
        </w:tblPrEx>
        <w:tc>
          <w:tcPr>
            <w:tcW w:w="26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7B27">
            <w:pPr>
              <w:pStyle w:val="List"/>
              <w:rPr>
                <w:lang w:val="en-NZ"/>
              </w:rPr>
            </w:pPr>
            <w:r w:rsidRPr="006C7B27">
              <w:t>3.</w:t>
            </w:r>
            <w:r w:rsidRPr="006C7B27">
              <w:tab/>
              <w:t xml:space="preserve">Recommend strategies to use the legislative framework relating to marketing for competitive advantage </w:t>
            </w:r>
          </w:p>
        </w:tc>
        <w:tc>
          <w:tcPr>
            <w:tcW w:w="58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7B27" w:rsidP="006C7B27">
            <w:pPr>
              <w:pStyle w:val="List2"/>
            </w:pPr>
            <w:r w:rsidRPr="006C7B27">
              <w:t>3.1.</w:t>
            </w:r>
            <w:r w:rsidRPr="006C7B27">
              <w:tab/>
              <w:t xml:space="preserve">Identify and analyse a </w:t>
            </w:r>
            <w:r w:rsidRPr="006C7B27">
              <w:t xml:space="preserve">range of </w:t>
            </w:r>
            <w:r w:rsidRPr="006C7B27">
              <w:rPr>
                <w:rStyle w:val="BoldandItalics"/>
              </w:rPr>
              <w:t>methods to protect</w:t>
            </w:r>
            <w:r w:rsidRPr="006C7B27">
              <w:t xml:space="preserve"> the organisation's products and services being marketed against intellectual property breaches</w:t>
            </w:r>
          </w:p>
          <w:p w:rsidR="00000000" w:rsidRPr="006C7B27" w:rsidP="006C7B27">
            <w:pPr>
              <w:pStyle w:val="List2"/>
            </w:pPr>
            <w:r w:rsidRPr="006C7B27">
              <w:t>3.2.</w:t>
            </w:r>
            <w:r w:rsidRPr="006C7B27">
              <w:tab/>
              <w:t>Make recommendations on strategies for protection of intellectual property rights and present to key stakeholders</w:t>
            </w:r>
          </w:p>
          <w:p w:rsidR="00000000" w:rsidRPr="006C7B27" w:rsidP="006C7B27">
            <w:pPr>
              <w:pStyle w:val="List2"/>
            </w:pPr>
            <w:r w:rsidRPr="006C7B27">
              <w:t>3.3.</w:t>
            </w:r>
            <w:r w:rsidRPr="006C7B27">
              <w:tab/>
            </w:r>
            <w:r w:rsidRPr="006C7B27">
              <w:t xml:space="preserve">Make recommendations to implement systems to identify intellectual property infringement by </w:t>
            </w:r>
            <w:r w:rsidRPr="006C7B27">
              <w:rPr>
                <w:rStyle w:val="BoldandItalics"/>
              </w:rPr>
              <w:t>third parties</w:t>
            </w:r>
          </w:p>
          <w:p w:rsidR="00000000" w:rsidRPr="006C7B27" w:rsidP="006C7B27">
            <w:pPr>
              <w:pStyle w:val="List2"/>
            </w:pPr>
            <w:r w:rsidRPr="006C7B27">
              <w:t>3.4.</w:t>
            </w:r>
            <w:r w:rsidRPr="006C7B27">
              <w:tab/>
              <w:t>Identify remedies for own and other organisations' breaches of marketing legislation which could have an impact on the organisation</w:t>
            </w:r>
          </w:p>
          <w:p w:rsidR="00000000" w:rsidRPr="006C7B27" w:rsidP="006C7B27">
            <w:pPr>
              <w:pStyle w:val="List2"/>
            </w:pPr>
            <w:r w:rsidRPr="006C7B27">
              <w:t>3.5.</w:t>
            </w:r>
            <w:r w:rsidRPr="006C7B27">
              <w:tab/>
              <w:t>Access a</w:t>
            </w:r>
            <w:r w:rsidRPr="006C7B27">
              <w:t>nd effectively use others' intellectual property within legal guidelines for business advantage</w:t>
            </w:r>
          </w:p>
        </w:tc>
      </w:tr>
    </w:tbl>
    <w:p w:rsidR="00000000" w:rsidRPr="006C7B27" w:rsidP="006C7B27">
      <w:pPr>
        <w:pStyle w:val="BodyText"/>
      </w:pPr>
    </w:p>
    <w:p w:rsidR="00000000" w:rsidRPr="006C7B27" w:rsidP="006C7B27">
      <w:pPr>
        <w:pStyle w:val="AllowPageBreak"/>
      </w:pPr>
    </w:p>
    <w:p w:rsidR="00000000" w:rsidRPr="006C7B27" w:rsidP="006C7B27">
      <w:pPr>
        <w:pStyle w:val="Heading1"/>
      </w:pPr>
      <w:bookmarkStart w:id="9" w:name="O_66191"/>
      <w:bookmarkEnd w:id="9"/>
      <w:r w:rsidRPr="006C7B27">
        <w:t>Required Skills and Knowledge</w:t>
      </w:r>
    </w:p>
    <w:tbl>
      <w:tblPr>
        <w:tblW w:w="0" w:type="auto"/>
        <w:tblLayout w:type="fixed"/>
        <w:tblCellMar>
          <w:left w:w="62" w:type="dxa"/>
          <w:right w:w="62" w:type="dxa"/>
        </w:tblCellMar>
        <w:tblLook w:val="0000"/>
      </w:tblPr>
      <w:tblGrid>
        <w:gridCol w:w="8522"/>
      </w:tblGrid>
      <w:tr w:rsidTr="00A152B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C7B27">
            <w:pPr>
              <w:pStyle w:val="BodyText"/>
              <w:rPr>
                <w:lang w:val="en-NZ"/>
              </w:rPr>
            </w:pPr>
            <w:r w:rsidRPr="006C7B27">
              <w:rPr>
                <w:rStyle w:val="SpecialBold"/>
              </w:rPr>
              <w:t>REQUIRED SKILLS AND KNOWLEDGE</w:t>
            </w:r>
          </w:p>
        </w:tc>
      </w:tr>
      <w:tr w:rsidTr="00A152B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C7B27">
            <w:pPr>
              <w:pStyle w:val="BodyText"/>
              <w:rPr>
                <w:lang w:val="en-NZ"/>
              </w:rPr>
            </w:pPr>
            <w:r w:rsidRPr="006C7B27">
              <w:t>This section describes the skills and knowledge required for this unit.</w:t>
            </w:r>
          </w:p>
        </w:tc>
      </w:tr>
      <w:tr w:rsidTr="00A152B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7B27">
            <w:pPr>
              <w:pStyle w:val="BodyText"/>
              <w:rPr>
                <w:lang w:val="en-NZ"/>
              </w:rPr>
            </w:pPr>
            <w:r w:rsidRPr="006C7B27">
              <w:rPr>
                <w:rStyle w:val="SpecialBold"/>
              </w:rPr>
              <w:t>Re</w:t>
            </w:r>
            <w:r w:rsidRPr="006C7B27">
              <w:rPr>
                <w:rStyle w:val="SpecialBold"/>
              </w:rPr>
              <w:t>quired skills</w:t>
            </w:r>
          </w:p>
        </w:tc>
      </w:tr>
      <w:tr w:rsidTr="00A152B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7B27" w:rsidP="006C7B27">
            <w:pPr>
              <w:pStyle w:val="ListBullet"/>
            </w:pPr>
            <w:r w:rsidRPr="006C7B27">
              <w:t>analytical skills to interpret how legislation around marketing could impact on the business</w:t>
            </w:r>
          </w:p>
          <w:p w:rsidR="00000000" w:rsidRPr="006C7B27" w:rsidP="006C7B27">
            <w:pPr>
              <w:pStyle w:val="ListBullet"/>
            </w:pPr>
            <w:r w:rsidRPr="006C7B27">
              <w:t>initiative and enterprise skills to identify opportunities to use the legislative framework for competitive advantage</w:t>
            </w:r>
          </w:p>
          <w:p w:rsidR="00000000" w:rsidRPr="006C7B27" w:rsidP="006C7B27">
            <w:pPr>
              <w:pStyle w:val="ListBullet"/>
            </w:pPr>
            <w:r w:rsidRPr="006C7B27">
              <w:t>learning skills to design trai</w:t>
            </w:r>
            <w:r w:rsidRPr="006C7B27">
              <w:t>ning programs that are suitable for a range of people with different learning styles</w:t>
            </w:r>
          </w:p>
          <w:p w:rsidR="00000000" w:rsidRPr="006C7B27" w:rsidP="006C7B27">
            <w:pPr>
              <w:pStyle w:val="ListBullet"/>
            </w:pPr>
            <w:r w:rsidRPr="006C7B27">
              <w:t>literacy skills to produce complex reports and recommendations around compliance</w:t>
            </w:r>
          </w:p>
          <w:p w:rsidR="00000000" w:rsidRPr="006C7B27" w:rsidP="006C7B27">
            <w:pPr>
              <w:pStyle w:val="ListBullet"/>
            </w:pPr>
            <w:r w:rsidRPr="006C7B27">
              <w:t>research skills to:</w:t>
            </w:r>
          </w:p>
          <w:p w:rsidR="00000000" w:rsidRPr="006C7B27" w:rsidP="006C7B27">
            <w:pPr>
              <w:pStyle w:val="ListBullet2"/>
            </w:pPr>
            <w:r w:rsidRPr="006C7B27">
              <w:t>locate legislation and codes of practice relating to marketing</w:t>
            </w:r>
          </w:p>
          <w:p w:rsidR="00000000" w:rsidRPr="006C7B27" w:rsidP="006C7B27">
            <w:pPr>
              <w:pStyle w:val="ListBullet2"/>
            </w:pPr>
            <w:r w:rsidRPr="006C7B27">
              <w:t>participate in a compliance audit</w:t>
            </w:r>
          </w:p>
          <w:p w:rsidR="00000000" w:rsidRPr="006C7B27" w:rsidP="006C7B27">
            <w:pPr>
              <w:pStyle w:val="ListBullet"/>
            </w:pPr>
            <w:r w:rsidRPr="006C7B27">
              <w:t>technology skills to research the legislative framework</w:t>
            </w:r>
          </w:p>
          <w:p w:rsidR="00000000" w:rsidRPr="006C7B27" w:rsidP="006C7B27">
            <w:pPr>
              <w:pStyle w:val="ListBullet"/>
            </w:pPr>
            <w:r w:rsidRPr="006C7B27">
              <w:t>verbal communication skills to:</w:t>
            </w:r>
          </w:p>
          <w:p w:rsidR="00000000" w:rsidRPr="006C7B27" w:rsidP="006C7B27">
            <w:pPr>
              <w:pStyle w:val="ListBullet2"/>
            </w:pPr>
            <w:r w:rsidRPr="006C7B27">
              <w:t>negotiate with legal advisers</w:t>
            </w:r>
          </w:p>
          <w:p w:rsidR="00000000" w:rsidP="006C7B27">
            <w:pPr>
              <w:pStyle w:val="ListBullet2"/>
              <w:rPr>
                <w:lang w:val="en-NZ"/>
              </w:rPr>
            </w:pPr>
            <w:r w:rsidRPr="006C7B27">
              <w:t>train staff on compliance</w:t>
            </w:r>
          </w:p>
        </w:tc>
      </w:tr>
      <w:tr w:rsidTr="00A152B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7B27">
            <w:pPr>
              <w:pStyle w:val="BodyText"/>
              <w:rPr>
                <w:lang w:val="en-NZ"/>
              </w:rPr>
            </w:pPr>
            <w:r w:rsidRPr="006C7B27">
              <w:rPr>
                <w:rStyle w:val="SpecialBold"/>
              </w:rPr>
              <w:t>Required knowledge</w:t>
            </w:r>
          </w:p>
        </w:tc>
      </w:tr>
      <w:tr w:rsidTr="00A152B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7B27" w:rsidP="006C7B27">
            <w:pPr>
              <w:pStyle w:val="ListBullet"/>
            </w:pPr>
            <w:r w:rsidRPr="006C7B27">
              <w:t>components of a compliance program and compliance audit</w:t>
            </w:r>
          </w:p>
          <w:p w:rsidR="00000000" w:rsidRPr="006C7B27" w:rsidP="006C7B27">
            <w:pPr>
              <w:pStyle w:val="ListBullet"/>
            </w:pPr>
            <w:r w:rsidRPr="006C7B27">
              <w:t>different methods to protect intellectual property</w:t>
            </w:r>
          </w:p>
          <w:p w:rsidR="00000000" w:rsidRPr="006C7B27" w:rsidP="006C7B27">
            <w:pPr>
              <w:pStyle w:val="ListBullet"/>
            </w:pPr>
            <w:r w:rsidRPr="006C7B27">
              <w:t>key provisions of legislation as it relates to marketing, including:</w:t>
            </w:r>
          </w:p>
          <w:p w:rsidR="00000000" w:rsidRPr="006C7B27" w:rsidP="006C7B27">
            <w:pPr>
              <w:pStyle w:val="ListBullet2"/>
            </w:pPr>
            <w:r w:rsidRPr="006C7B27">
              <w:t>door-to-door sales legislation</w:t>
            </w:r>
          </w:p>
          <w:p w:rsidR="00000000" w:rsidRPr="006C7B27" w:rsidP="006C7B27">
            <w:pPr>
              <w:pStyle w:val="ListBullet2"/>
            </w:pPr>
            <w:r w:rsidRPr="006C7B27">
              <w:t>legislation around intellectual property, including:</w:t>
            </w:r>
          </w:p>
          <w:p w:rsidR="00000000" w:rsidRPr="006C7B27" w:rsidP="006C7B27">
            <w:pPr>
              <w:pStyle w:val="ListBullet3"/>
            </w:pPr>
            <w:r w:rsidRPr="006C7B27">
              <w:t>Copyright Act</w:t>
            </w:r>
          </w:p>
          <w:p w:rsidR="00000000" w:rsidRPr="006C7B27" w:rsidP="006C7B27">
            <w:pPr>
              <w:pStyle w:val="ListBullet3"/>
            </w:pPr>
            <w:r w:rsidRPr="006C7B27">
              <w:t>Designs Act</w:t>
            </w:r>
          </w:p>
          <w:p w:rsidR="00000000" w:rsidRPr="006C7B27" w:rsidP="006C7B27">
            <w:pPr>
              <w:pStyle w:val="ListBullet3"/>
            </w:pPr>
            <w:r w:rsidRPr="006C7B27">
              <w:t>passing off</w:t>
            </w:r>
          </w:p>
          <w:p w:rsidR="00000000" w:rsidRPr="006C7B27" w:rsidP="006C7B27">
            <w:pPr>
              <w:pStyle w:val="ListBullet3"/>
            </w:pPr>
            <w:r w:rsidRPr="006C7B27">
              <w:t>Patents Act</w:t>
            </w:r>
          </w:p>
          <w:p w:rsidR="00000000" w:rsidRPr="006C7B27" w:rsidP="006C7B27">
            <w:pPr>
              <w:pStyle w:val="ListBullet3"/>
            </w:pPr>
            <w:r w:rsidRPr="006C7B27">
              <w:t>state or territory Business Names Acts</w:t>
            </w:r>
          </w:p>
          <w:p w:rsidR="00000000" w:rsidRPr="006C7B27" w:rsidP="006C7B27">
            <w:pPr>
              <w:pStyle w:val="ListBullet3"/>
            </w:pPr>
            <w:r w:rsidRPr="006C7B27">
              <w:t>Trade Marks Act</w:t>
            </w:r>
          </w:p>
          <w:p w:rsidR="00000000" w:rsidRPr="006C7B27" w:rsidP="006C7B27">
            <w:pPr>
              <w:pStyle w:val="ListBullet2"/>
            </w:pPr>
            <w:r w:rsidRPr="006C7B27">
              <w:t>lotteries and gaming legislation</w:t>
            </w:r>
          </w:p>
          <w:p w:rsidR="00000000" w:rsidRPr="006C7B27" w:rsidP="006C7B27">
            <w:pPr>
              <w:pStyle w:val="ListBullet2"/>
            </w:pPr>
            <w:r w:rsidRPr="006C7B27">
              <w:t>packaging and labelling legislation</w:t>
            </w:r>
          </w:p>
          <w:p w:rsidR="00000000" w:rsidRPr="006C7B27" w:rsidP="006C7B27">
            <w:pPr>
              <w:pStyle w:val="ListBullet2"/>
            </w:pPr>
            <w:r w:rsidRPr="006C7B27">
              <w:t>sale of goods legislation</w:t>
            </w:r>
          </w:p>
          <w:p w:rsidR="00000000" w:rsidRPr="006C7B27" w:rsidP="006C7B27">
            <w:pPr>
              <w:pStyle w:val="ListBullet2"/>
            </w:pPr>
            <w:r w:rsidRPr="006C7B27">
              <w:t>state or territory competition codes</w:t>
            </w:r>
          </w:p>
          <w:p w:rsidR="00000000" w:rsidRPr="006C7B27" w:rsidP="006C7B27">
            <w:pPr>
              <w:pStyle w:val="ListBullet2"/>
            </w:pPr>
            <w:r w:rsidRPr="006C7B27">
              <w:t>state or territory Fair Trading Acts</w:t>
            </w:r>
          </w:p>
          <w:p w:rsidR="00000000" w:rsidRPr="006C7B27" w:rsidP="006C7B27">
            <w:pPr>
              <w:pStyle w:val="ListBullet2"/>
            </w:pPr>
            <w:r w:rsidRPr="006C7B27">
              <w:t>Therapeutic Goods Act</w:t>
            </w:r>
          </w:p>
          <w:p w:rsidR="00000000" w:rsidRPr="006C7B27" w:rsidP="006C7B27">
            <w:pPr>
              <w:pStyle w:val="ListBullet2"/>
            </w:pPr>
            <w:r w:rsidRPr="006C7B27">
              <w:t>trade measures legislation</w:t>
            </w:r>
          </w:p>
          <w:p w:rsidR="00000000" w:rsidRPr="006C7B27" w:rsidP="006C7B27">
            <w:pPr>
              <w:pStyle w:val="ListBullet"/>
            </w:pPr>
            <w:r w:rsidRPr="006C7B27">
              <w:t>key provisions of codes of practice relating to marketing, including:</w:t>
            </w:r>
          </w:p>
          <w:p w:rsidR="00000000" w:rsidRPr="006C7B27" w:rsidP="006C7B27">
            <w:pPr>
              <w:pStyle w:val="ListBullet2"/>
            </w:pPr>
            <w:r w:rsidRPr="006C7B27">
              <w:t>Australian Association of National Advertisers Code of Ethics</w:t>
            </w:r>
          </w:p>
          <w:p w:rsidR="00000000" w:rsidRPr="006C7B27" w:rsidP="006C7B27">
            <w:pPr>
              <w:pStyle w:val="ListBullet2"/>
            </w:pPr>
            <w:r w:rsidRPr="006C7B27">
              <w:t>Australian Direct Marketing Code of Practice</w:t>
            </w:r>
          </w:p>
          <w:p w:rsidR="00000000" w:rsidRPr="006C7B27" w:rsidP="006C7B27">
            <w:pPr>
              <w:pStyle w:val="ListBullet2"/>
            </w:pPr>
            <w:r w:rsidRPr="006C7B27">
              <w:t>Australian Communications and Media Authority (ACMA</w:t>
            </w:r>
            <w:r w:rsidRPr="006C7B27">
              <w:t>) Australian eMarketing Code of Practice</w:t>
            </w:r>
          </w:p>
          <w:p w:rsidR="00000000" w:rsidRPr="006C7B27" w:rsidP="006C7B27">
            <w:pPr>
              <w:pStyle w:val="ListBullet2"/>
            </w:pPr>
            <w:r w:rsidRPr="006C7B27">
              <w:t>Therapeutic Goods Advertising Code</w:t>
            </w:r>
          </w:p>
          <w:p w:rsidR="00000000" w:rsidRPr="006C7B27" w:rsidP="006C7B27">
            <w:pPr>
              <w:pStyle w:val="ListBullet2"/>
            </w:pPr>
            <w:r w:rsidRPr="006C7B27">
              <w:t>individual organisation's marketing codes of practice</w:t>
            </w:r>
          </w:p>
          <w:p w:rsidR="00000000" w:rsidRPr="006C7B27" w:rsidP="006C7B27">
            <w:pPr>
              <w:pStyle w:val="ListBullet"/>
            </w:pPr>
            <w:r w:rsidRPr="006C7B27">
              <w:t>sources of information and advice about marketing law</w:t>
            </w:r>
          </w:p>
        </w:tc>
      </w:tr>
    </w:tbl>
    <w:p w:rsidR="00000000" w:rsidRPr="006C7B27" w:rsidP="006C7B27">
      <w:pPr>
        <w:pStyle w:val="BodyText"/>
      </w:pPr>
    </w:p>
    <w:p w:rsidR="00000000" w:rsidRPr="006C7B27" w:rsidP="006C7B27">
      <w:pPr>
        <w:pStyle w:val="AllowPageBreak"/>
      </w:pPr>
    </w:p>
    <w:p w:rsidR="00000000" w:rsidRPr="006C7B27" w:rsidP="006C7B27">
      <w:pPr>
        <w:pStyle w:val="Heading1"/>
      </w:pPr>
      <w:bookmarkStart w:id="10" w:name="O_66192"/>
      <w:bookmarkEnd w:id="10"/>
      <w:r w:rsidRPr="006C7B27">
        <w:t>Evidence Guide</w:t>
      </w:r>
    </w:p>
    <w:tbl>
      <w:tblPr>
        <w:tblW w:w="9570" w:type="dxa"/>
        <w:tblLayout w:type="fixed"/>
        <w:tblCellMar>
          <w:left w:w="62" w:type="dxa"/>
          <w:right w:w="62" w:type="dxa"/>
        </w:tblCellMar>
        <w:tblLook w:val="0000"/>
      </w:tblPr>
      <w:tblGrid>
        <w:gridCol w:w="2808"/>
        <w:gridCol w:w="6762"/>
      </w:tblGrid>
      <w:tr w:rsidTr="00A152B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7B27">
            <w:pPr>
              <w:pStyle w:val="BodyText"/>
              <w:rPr>
                <w:lang w:val="en-NZ"/>
              </w:rPr>
            </w:pPr>
            <w:r w:rsidRPr="006C7B27">
              <w:rPr>
                <w:rStyle w:val="SpecialBold"/>
              </w:rPr>
              <w:t>EVIDENCE GUIDE</w:t>
            </w:r>
          </w:p>
        </w:tc>
      </w:tr>
      <w:tr w:rsidTr="00A152B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7B27">
            <w:pPr>
              <w:pStyle w:val="BodyText"/>
              <w:rPr>
                <w:lang w:val="en-NZ"/>
              </w:rPr>
            </w:pPr>
            <w:r w:rsidRPr="006C7B27">
              <w:t>The Evidence Guide provides advice on assessment and must be read in conjunction with the performance criteria, required skills and knowledge, range statement and the Assessment Guidelines for the Training Package.</w:t>
            </w:r>
          </w:p>
        </w:tc>
      </w:tr>
      <w:tr w:rsidTr="00A152B2">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7B27">
            <w:pPr>
              <w:pStyle w:val="BodyText"/>
              <w:rPr>
                <w:lang w:val="en-NZ"/>
              </w:rPr>
            </w:pPr>
            <w:r w:rsidRPr="006C7B27">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7B27">
            <w:pPr>
              <w:pStyle w:val="BodyText"/>
              <w:rPr>
                <w:lang w:val="en-NZ"/>
              </w:rPr>
            </w:pPr>
          </w:p>
        </w:tc>
      </w:tr>
      <w:tr w:rsidTr="00A152B2">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7B27">
            <w:pPr>
              <w:pStyle w:val="BodyText"/>
              <w:rPr>
                <w:lang w:val="en-NZ"/>
              </w:rPr>
            </w:pPr>
            <w:r w:rsidRPr="006C7B27">
              <w:rPr>
                <w:rStyle w:val="SpecialBold"/>
              </w:rPr>
              <w:t>Critical aspects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7B27" w:rsidP="006C7B27">
            <w:pPr>
              <w:pStyle w:val="BodyText"/>
            </w:pPr>
            <w:r w:rsidRPr="006C7B27">
              <w:t>Evidence of the following is essential:</w:t>
            </w:r>
          </w:p>
          <w:p w:rsidR="00000000" w:rsidRPr="006C7B27" w:rsidP="006C7B27">
            <w:pPr>
              <w:pStyle w:val="ListBullet"/>
            </w:pPr>
            <w:r w:rsidRPr="006C7B27">
              <w:t>identification and application of legislation and codes of practice as they relate to marketing</w:t>
            </w:r>
          </w:p>
          <w:p w:rsidR="00000000" w:rsidRPr="006C7B27" w:rsidP="006C7B27">
            <w:pPr>
              <w:pStyle w:val="ListBullet"/>
            </w:pPr>
            <w:r w:rsidRPr="006C7B27">
              <w:t>promotion of a culture of c</w:t>
            </w:r>
            <w:r w:rsidRPr="006C7B27">
              <w:t>ompliance with the legislative framework relating to marketing</w:t>
            </w:r>
          </w:p>
          <w:p w:rsidR="00000000" w:rsidP="006C7B27">
            <w:pPr>
              <w:pStyle w:val="ListBullet"/>
              <w:rPr>
                <w:lang w:val="en-NZ"/>
              </w:rPr>
            </w:pPr>
            <w:r w:rsidRPr="006C7B27">
              <w:t>development of strategies to use the legislative framework for competitive advantage.</w:t>
            </w:r>
          </w:p>
        </w:tc>
      </w:tr>
      <w:tr w:rsidTr="00A152B2">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7B27">
            <w:pPr>
              <w:pStyle w:val="BodyText"/>
              <w:rPr>
                <w:lang w:val="en-NZ"/>
              </w:rPr>
            </w:pPr>
            <w:r w:rsidRPr="006C7B27">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7B27" w:rsidP="006C7B27">
            <w:pPr>
              <w:pStyle w:val="BodyText"/>
            </w:pPr>
            <w:r w:rsidRPr="006C7B27">
              <w:t>Assessment must ensure access to:</w:t>
            </w:r>
          </w:p>
          <w:p w:rsidR="00000000" w:rsidRPr="006C7B27" w:rsidP="006C7B27">
            <w:pPr>
              <w:pStyle w:val="ListBullet"/>
            </w:pPr>
            <w:r w:rsidRPr="006C7B27">
              <w:t>a workplace or simulate</w:t>
            </w:r>
            <w:r w:rsidRPr="006C7B27">
              <w:t>d work environment</w:t>
            </w:r>
          </w:p>
          <w:p w:rsidR="00000000" w:rsidRPr="006C7B27" w:rsidP="006C7B27">
            <w:pPr>
              <w:pStyle w:val="ListBullet"/>
            </w:pPr>
            <w:r w:rsidRPr="006C7B27">
              <w:t>relevant workplace documents</w:t>
            </w:r>
          </w:p>
          <w:p w:rsidR="00000000" w:rsidP="006C7B27">
            <w:pPr>
              <w:pStyle w:val="ListBullet"/>
              <w:rPr>
                <w:lang w:val="en-NZ"/>
              </w:rPr>
            </w:pPr>
            <w:r w:rsidRPr="006C7B27">
              <w:t>research facilities.</w:t>
            </w:r>
          </w:p>
        </w:tc>
      </w:tr>
      <w:tr w:rsidTr="00A152B2">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7B27">
            <w:pPr>
              <w:pStyle w:val="BodyText"/>
              <w:rPr>
                <w:lang w:val="en-NZ"/>
              </w:rPr>
            </w:pPr>
            <w:r w:rsidRPr="006C7B27">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7B27" w:rsidP="006C7B27">
            <w:pPr>
              <w:pStyle w:val="BodyText"/>
            </w:pPr>
            <w:r w:rsidRPr="006C7B27">
              <w:t xml:space="preserve">The following assessment methodsare appropriate for this unit: </w:t>
            </w:r>
          </w:p>
          <w:p w:rsidR="00000000" w:rsidRPr="006C7B27" w:rsidP="006C7B27">
            <w:pPr>
              <w:pStyle w:val="ListBullet"/>
            </w:pPr>
            <w:r w:rsidRPr="006C7B27">
              <w:t>review of portfolio of evidence of actions taken to promote a culture of compliance with the legislat</w:t>
            </w:r>
            <w:r w:rsidRPr="006C7B27">
              <w:t>ive framework relating to marketing</w:t>
            </w:r>
          </w:p>
          <w:p w:rsidR="00000000" w:rsidRPr="006C7B27" w:rsidP="006C7B27">
            <w:pPr>
              <w:pStyle w:val="ListBullet"/>
            </w:pPr>
            <w:r w:rsidRPr="006C7B27">
              <w:t>oral or written questioning to assess understanding and application of the marketing legislative framework</w:t>
            </w:r>
          </w:p>
          <w:p w:rsidR="00000000" w:rsidRPr="006C7B27" w:rsidP="006C7B27">
            <w:pPr>
              <w:pStyle w:val="ListBullet"/>
            </w:pPr>
            <w:r w:rsidRPr="006C7B27">
              <w:t>analysis of responses to case studies and scenarios around issues relating to marketing law</w:t>
            </w:r>
          </w:p>
          <w:p w:rsidR="00000000" w:rsidRPr="006C7B27" w:rsidP="006C7B27">
            <w:pPr>
              <w:pStyle w:val="ListBullet"/>
            </w:pPr>
            <w:r w:rsidRPr="006C7B27">
              <w:t>demonstration of training for staff around marketing compliance issues</w:t>
            </w:r>
          </w:p>
          <w:p w:rsidR="00000000" w:rsidP="006C7B27">
            <w:pPr>
              <w:pStyle w:val="ListBullet"/>
              <w:rPr>
                <w:lang w:val="en-NZ"/>
              </w:rPr>
            </w:pPr>
            <w:r w:rsidRPr="006C7B27">
              <w:t>review of report with recommendations for action for an organisation to ensure compliance with the marketing legislative framework.</w:t>
            </w:r>
          </w:p>
        </w:tc>
      </w:tr>
      <w:tr w:rsidTr="00A152B2">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7B27">
            <w:pPr>
              <w:pStyle w:val="BodyText"/>
              <w:rPr>
                <w:lang w:val="en-NZ"/>
              </w:rPr>
            </w:pPr>
            <w:r w:rsidRPr="006C7B27">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7B27" w:rsidP="006C7B27">
            <w:pPr>
              <w:pStyle w:val="BodyText"/>
            </w:pPr>
            <w:r w:rsidRPr="006C7B27">
              <w:t>Holistic assessm</w:t>
            </w:r>
            <w:r w:rsidRPr="006C7B27">
              <w:t xml:space="preserve">ent with other units relevant to the industry sector, workplace and job role is recommended. </w:t>
            </w:r>
          </w:p>
        </w:tc>
      </w:tr>
    </w:tbl>
    <w:p w:rsidR="00000000" w:rsidRPr="006C7B27" w:rsidP="006C7B27">
      <w:pPr>
        <w:pStyle w:val="BodyText"/>
      </w:pPr>
    </w:p>
    <w:p w:rsidR="00000000" w:rsidRPr="006C7B27" w:rsidP="006C7B27">
      <w:pPr>
        <w:pStyle w:val="AllowPageBreak"/>
      </w:pPr>
    </w:p>
    <w:p w:rsidR="00000000" w:rsidRPr="006C7B27" w:rsidP="006C7B27">
      <w:pPr>
        <w:pStyle w:val="Heading1"/>
      </w:pPr>
      <w:bookmarkStart w:id="11" w:name="O_66193"/>
      <w:bookmarkEnd w:id="11"/>
      <w:r w:rsidRPr="006C7B27">
        <w:t>Range Statement</w:t>
      </w:r>
    </w:p>
    <w:tbl>
      <w:tblPr>
        <w:tblW w:w="0" w:type="auto"/>
        <w:tblLayout w:type="fixed"/>
        <w:tblCellMar>
          <w:left w:w="62" w:type="dxa"/>
          <w:right w:w="62" w:type="dxa"/>
        </w:tblCellMar>
        <w:tblLook w:val="0000"/>
      </w:tblPr>
      <w:tblGrid>
        <w:gridCol w:w="2578"/>
        <w:gridCol w:w="5944"/>
      </w:tblGrid>
      <w:tr w:rsidTr="00A152B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7B27">
            <w:pPr>
              <w:pStyle w:val="BodyText"/>
              <w:rPr>
                <w:lang w:val="en-NZ"/>
              </w:rPr>
            </w:pPr>
            <w:r w:rsidRPr="006C7B27">
              <w:rPr>
                <w:rStyle w:val="SpecialBold"/>
              </w:rPr>
              <w:t>RANGE STATEMENT</w:t>
            </w:r>
          </w:p>
        </w:tc>
      </w:tr>
      <w:tr w:rsidTr="00A152B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7B27">
            <w:pPr>
              <w:pStyle w:val="BodyText"/>
              <w:rPr>
                <w:lang w:val="en-NZ"/>
              </w:rPr>
            </w:pPr>
            <w:r w:rsidRPr="006C7B27">
              <w:t>The range statement relates to the unit of competency as a whole. It allows for different work environments and situations that may affect performance. Bold italicised wording, if used in the performance criteria, is detailed below. Essential operating con</w:t>
            </w:r>
            <w:r w:rsidRPr="006C7B27">
              <w:t>ditions that may be present with training and assessment (depending on the work situation, needs of the candidate, accessibility of the item, and local industry and regional contexts) may also be included.</w:t>
            </w:r>
          </w:p>
        </w:tc>
      </w:tr>
      <w:tr w:rsidTr="00A152B2">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7B27">
            <w:pPr>
              <w:pStyle w:val="BodyText"/>
              <w:rPr>
                <w:lang w:val="en-NZ"/>
              </w:rPr>
            </w:pPr>
            <w:r w:rsidRPr="006C7B27">
              <w:rPr>
                <w:rStyle w:val="BoldandItalics"/>
              </w:rPr>
              <w:t>Legislation</w:t>
            </w:r>
            <w:r w:rsidRPr="006C7B27">
              <w:t xml:space="preserve"> may include:</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7B27" w:rsidP="006C7B27">
            <w:pPr>
              <w:pStyle w:val="ListBullet"/>
            </w:pPr>
            <w:r w:rsidRPr="006C7B27">
              <w:t>door-to-door sales legi</w:t>
            </w:r>
            <w:r w:rsidRPr="006C7B27">
              <w:t>slation</w:t>
            </w:r>
          </w:p>
          <w:p w:rsidR="00000000" w:rsidRPr="006C7B27" w:rsidP="006C7B27">
            <w:pPr>
              <w:pStyle w:val="ListBullet"/>
            </w:pPr>
            <w:r w:rsidRPr="006C7B27">
              <w:t>legislation around intellectual property, including:</w:t>
            </w:r>
          </w:p>
          <w:p w:rsidR="00000000" w:rsidRPr="006C7B27" w:rsidP="006C7B27">
            <w:pPr>
              <w:pStyle w:val="ListBullet2"/>
            </w:pPr>
            <w:r w:rsidRPr="006C7B27">
              <w:t>Copyright Act</w:t>
            </w:r>
          </w:p>
          <w:p w:rsidR="00000000" w:rsidRPr="006C7B27" w:rsidP="006C7B27">
            <w:pPr>
              <w:pStyle w:val="ListBullet2"/>
            </w:pPr>
            <w:r w:rsidRPr="006C7B27">
              <w:t>Designs Act</w:t>
            </w:r>
          </w:p>
          <w:p w:rsidR="00000000" w:rsidRPr="006C7B27" w:rsidP="006C7B27">
            <w:pPr>
              <w:pStyle w:val="ListBullet2"/>
            </w:pPr>
            <w:r w:rsidRPr="006C7B27">
              <w:t>passing off</w:t>
            </w:r>
          </w:p>
          <w:p w:rsidR="00000000" w:rsidRPr="006C7B27" w:rsidP="006C7B27">
            <w:pPr>
              <w:pStyle w:val="ListBullet2"/>
            </w:pPr>
            <w:r w:rsidRPr="006C7B27">
              <w:t>Patents Act</w:t>
            </w:r>
          </w:p>
          <w:p w:rsidR="00000000" w:rsidRPr="006C7B27" w:rsidP="006C7B27">
            <w:pPr>
              <w:pStyle w:val="ListBullet2"/>
            </w:pPr>
            <w:r w:rsidRPr="006C7B27">
              <w:t>state or territory Business Names Acts</w:t>
            </w:r>
          </w:p>
          <w:p w:rsidR="00000000" w:rsidRPr="006C7B27" w:rsidP="006C7B27">
            <w:pPr>
              <w:pStyle w:val="ListBullet2"/>
            </w:pPr>
            <w:r w:rsidRPr="006C7B27">
              <w:t>Trade Marks Act</w:t>
            </w:r>
          </w:p>
          <w:p w:rsidR="00000000" w:rsidRPr="006C7B27" w:rsidP="006C7B27">
            <w:pPr>
              <w:pStyle w:val="ListBullet"/>
            </w:pPr>
            <w:r w:rsidRPr="006C7B27">
              <w:t>lotteries and gaming legislation</w:t>
            </w:r>
          </w:p>
          <w:p w:rsidR="00000000" w:rsidRPr="006C7B27" w:rsidP="006C7B27">
            <w:pPr>
              <w:pStyle w:val="ListBullet"/>
            </w:pPr>
            <w:r w:rsidRPr="006C7B27">
              <w:t>packaging and labelling legislation</w:t>
            </w:r>
          </w:p>
          <w:p w:rsidR="00000000" w:rsidRPr="006C7B27" w:rsidP="006C7B27">
            <w:pPr>
              <w:pStyle w:val="ListBullet"/>
            </w:pPr>
            <w:r w:rsidRPr="006C7B27">
              <w:t>sale of goods legislation</w:t>
            </w:r>
          </w:p>
          <w:p w:rsidR="00000000" w:rsidRPr="006C7B27" w:rsidP="006C7B27">
            <w:pPr>
              <w:pStyle w:val="ListBullet"/>
            </w:pPr>
            <w:r w:rsidRPr="006C7B27">
              <w:t>state or territory competition codes</w:t>
            </w:r>
          </w:p>
          <w:p w:rsidR="00000000" w:rsidRPr="006C7B27" w:rsidP="006C7B27">
            <w:pPr>
              <w:pStyle w:val="ListBullet"/>
            </w:pPr>
            <w:r w:rsidRPr="006C7B27">
              <w:t>state or territory Fair Trading Acts</w:t>
            </w:r>
          </w:p>
          <w:p w:rsidR="00000000" w:rsidP="006C7B27">
            <w:pPr>
              <w:pStyle w:val="ListBullet"/>
              <w:rPr>
                <w:lang w:val="en-NZ"/>
              </w:rPr>
            </w:pPr>
            <w:r w:rsidRPr="006C7B27">
              <w:t>trade measures legislation.</w:t>
            </w:r>
          </w:p>
        </w:tc>
      </w:tr>
      <w:tr w:rsidTr="00A152B2">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7B27">
            <w:pPr>
              <w:pStyle w:val="BodyText"/>
              <w:rPr>
                <w:lang w:val="en-NZ"/>
              </w:rPr>
            </w:pPr>
            <w:r w:rsidRPr="006C7B27">
              <w:rPr>
                <w:rStyle w:val="BoldandItalics"/>
              </w:rPr>
              <w:t>Codes of practice</w:t>
            </w:r>
            <w:r w:rsidRPr="006C7B27">
              <w:t xml:space="preserve"> could include:</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7B27" w:rsidP="006C7B27">
            <w:pPr>
              <w:pStyle w:val="ListBullet"/>
            </w:pPr>
            <w:r w:rsidRPr="006C7B27">
              <w:t>Australian Association of National Advertisers Code of Ethics</w:t>
            </w:r>
          </w:p>
          <w:p w:rsidR="00000000" w:rsidRPr="006C7B27" w:rsidP="006C7B27">
            <w:pPr>
              <w:pStyle w:val="ListBullet"/>
            </w:pPr>
            <w:r w:rsidRPr="006C7B27">
              <w:t>Australian Direct Marketing Code of Practice</w:t>
            </w:r>
          </w:p>
          <w:p w:rsidR="00000000" w:rsidRPr="006C7B27" w:rsidP="006C7B27">
            <w:pPr>
              <w:pStyle w:val="ListBullet"/>
            </w:pPr>
            <w:r w:rsidRPr="006C7B27">
              <w:t>Australian eMarketing Code of Practice</w:t>
            </w:r>
          </w:p>
          <w:p w:rsidR="00000000" w:rsidRPr="006C7B27" w:rsidP="006C7B27">
            <w:pPr>
              <w:pStyle w:val="ListBullet"/>
            </w:pPr>
            <w:r w:rsidRPr="006C7B27">
              <w:t>Therapeutic Goods Advertising Code</w:t>
            </w:r>
          </w:p>
          <w:p w:rsidR="00000000" w:rsidP="006C7B27">
            <w:pPr>
              <w:pStyle w:val="ListBullet"/>
              <w:rPr>
                <w:lang w:val="en-NZ"/>
              </w:rPr>
            </w:pPr>
            <w:r w:rsidRPr="006C7B27">
              <w:t>individual organisation's marketing codes of practice.</w:t>
            </w:r>
          </w:p>
        </w:tc>
      </w:tr>
      <w:tr w:rsidTr="00A152B2">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7B27">
            <w:pPr>
              <w:pStyle w:val="BodyText"/>
              <w:rPr>
                <w:lang w:val="en-NZ"/>
              </w:rPr>
            </w:pPr>
            <w:r w:rsidRPr="006C7B27">
              <w:rPr>
                <w:rStyle w:val="BoldandItalics"/>
              </w:rPr>
              <w:t>Sources of information and advice</w:t>
            </w:r>
            <w:r w:rsidRPr="006C7B27">
              <w:t xml:space="preserve"> could include:</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7B27" w:rsidP="006C7B27">
            <w:pPr>
              <w:pStyle w:val="ListBullet"/>
            </w:pPr>
            <w:r w:rsidRPr="006C7B27">
              <w:t>Attorney-General's Department</w:t>
            </w:r>
          </w:p>
          <w:p w:rsidR="00000000" w:rsidRPr="006C7B27" w:rsidP="006C7B27">
            <w:pPr>
              <w:pStyle w:val="ListBullet"/>
            </w:pPr>
            <w:r w:rsidRPr="006C7B27">
              <w:t>Au</w:t>
            </w:r>
            <w:r w:rsidRPr="006C7B27">
              <w:t>stralian Communication and Media Authority</w:t>
            </w:r>
          </w:p>
          <w:p w:rsidR="00000000" w:rsidRPr="006C7B27" w:rsidP="006C7B27">
            <w:pPr>
              <w:pStyle w:val="ListBullet"/>
            </w:pPr>
            <w:r w:rsidRPr="006C7B27">
              <w:t>Australian Competition and Consumer Commission (ACCC)</w:t>
            </w:r>
          </w:p>
          <w:p w:rsidR="00000000" w:rsidRPr="006C7B27" w:rsidP="006C7B27">
            <w:pPr>
              <w:pStyle w:val="ListBullet"/>
            </w:pPr>
            <w:r w:rsidRPr="006C7B27">
              <w:t>Australian Legal Information Institute (AustLII)</w:t>
            </w:r>
          </w:p>
          <w:p w:rsidR="00000000" w:rsidRPr="006C7B27" w:rsidP="006C7B27">
            <w:pPr>
              <w:pStyle w:val="ListBullet"/>
            </w:pPr>
            <w:r w:rsidRPr="006C7B27">
              <w:t>Australian Marketing Institute (AMI)</w:t>
            </w:r>
          </w:p>
          <w:p w:rsidR="00000000" w:rsidRPr="006C7B27" w:rsidP="006C7B27">
            <w:pPr>
              <w:pStyle w:val="ListBullet"/>
            </w:pPr>
            <w:r w:rsidRPr="006C7B27">
              <w:t>Commonwealth of Australia Law (ComLaw)</w:t>
            </w:r>
          </w:p>
          <w:p w:rsidR="00000000" w:rsidRPr="006C7B27" w:rsidP="006C7B27">
            <w:pPr>
              <w:pStyle w:val="ListBullet"/>
            </w:pPr>
            <w:r w:rsidRPr="006C7B27">
              <w:t>IP Australia</w:t>
            </w:r>
          </w:p>
          <w:p w:rsidR="00000000" w:rsidRPr="006C7B27" w:rsidP="006C7B27">
            <w:pPr>
              <w:pStyle w:val="ListBullet"/>
            </w:pPr>
            <w:r w:rsidRPr="006C7B27">
              <w:t xml:space="preserve">lawyers specialising </w:t>
            </w:r>
            <w:r w:rsidRPr="006C7B27">
              <w:t>in intellectual property and marketing</w:t>
            </w:r>
          </w:p>
          <w:p w:rsidR="00000000" w:rsidP="006C7B27">
            <w:pPr>
              <w:pStyle w:val="ListBullet"/>
              <w:rPr>
                <w:lang w:val="en-NZ"/>
              </w:rPr>
            </w:pPr>
            <w:r w:rsidRPr="006C7B27">
              <w:t>the Marketing Association of Australia and New Zealand (MAANZ).</w:t>
            </w:r>
          </w:p>
        </w:tc>
      </w:tr>
      <w:tr w:rsidTr="00A152B2">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7B27">
            <w:pPr>
              <w:pStyle w:val="BodyText"/>
              <w:rPr>
                <w:lang w:val="en-NZ"/>
              </w:rPr>
            </w:pPr>
            <w:r w:rsidRPr="006C7B27">
              <w:rPr>
                <w:rStyle w:val="BoldandItalics"/>
              </w:rPr>
              <w:t>Benefits</w:t>
            </w:r>
            <w:r w:rsidRPr="006C7B27">
              <w:t xml:space="preserve"> may include:</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7B27" w:rsidP="006C7B27">
            <w:pPr>
              <w:pStyle w:val="ListBullet"/>
            </w:pPr>
            <w:r w:rsidRPr="006C7B27">
              <w:t>opportunity to improve marketing performance and competitive advantage</w:t>
            </w:r>
          </w:p>
          <w:p w:rsidR="00000000" w:rsidRPr="006C7B27" w:rsidP="006C7B27">
            <w:pPr>
              <w:pStyle w:val="ListBullet"/>
            </w:pPr>
            <w:r w:rsidRPr="006C7B27">
              <w:t>incentive to make positive marketing decisions rather than reactive and risky decisions</w:t>
            </w:r>
          </w:p>
          <w:p w:rsidR="00000000" w:rsidRPr="006C7B27" w:rsidP="006C7B27">
            <w:pPr>
              <w:pStyle w:val="ListBullet"/>
            </w:pPr>
            <w:r w:rsidRPr="006C7B27">
              <w:t>assisting organisation to become a good corporate citizen</w:t>
            </w:r>
          </w:p>
          <w:p w:rsidR="00000000" w:rsidRPr="006C7B27" w:rsidP="006C7B27">
            <w:pPr>
              <w:pStyle w:val="ListBullet"/>
            </w:pPr>
            <w:r w:rsidRPr="006C7B27">
              <w:t>preventing damage to reputation</w:t>
            </w:r>
          </w:p>
          <w:p w:rsidR="00000000" w:rsidP="006C7B27">
            <w:pPr>
              <w:pStyle w:val="ListBullet"/>
              <w:rPr>
                <w:lang w:val="en-NZ"/>
              </w:rPr>
            </w:pPr>
            <w:r w:rsidRPr="006C7B27">
              <w:t>preventing consequences of breaking the law, such as penalties and costs.</w:t>
            </w:r>
          </w:p>
        </w:tc>
      </w:tr>
      <w:tr w:rsidTr="00A152B2">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7B27">
            <w:pPr>
              <w:pStyle w:val="BodyText"/>
              <w:rPr>
                <w:lang w:val="en-NZ"/>
              </w:rPr>
            </w:pPr>
            <w:r w:rsidRPr="006C7B27">
              <w:rPr>
                <w:rStyle w:val="BoldandItalics"/>
              </w:rPr>
              <w:t>Imp</w:t>
            </w:r>
            <w:r w:rsidRPr="006C7B27">
              <w:rPr>
                <w:rStyle w:val="BoldandItalics"/>
              </w:rPr>
              <w:t>lications of non</w:t>
            </w:r>
            <w:r w:rsidRPr="006C7B27">
              <w:t>-</w:t>
            </w:r>
            <w:r w:rsidRPr="006C7B27">
              <w:rPr>
                <w:rStyle w:val="BoldandItalics"/>
              </w:rPr>
              <w:t>compliance</w:t>
            </w:r>
            <w:r w:rsidRPr="006C7B27">
              <w:t xml:space="preserve"> may include:</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7B27" w:rsidP="006C7B27">
            <w:pPr>
              <w:pStyle w:val="ListBullet"/>
            </w:pPr>
            <w:r w:rsidRPr="006C7B27">
              <w:t>loss of reputation</w:t>
            </w:r>
          </w:p>
          <w:p w:rsidR="00000000" w:rsidRPr="006C7B27" w:rsidP="006C7B27">
            <w:pPr>
              <w:pStyle w:val="ListBullet"/>
            </w:pPr>
            <w:r w:rsidRPr="006C7B27">
              <w:t>monetary and criminal penalties</w:t>
            </w:r>
          </w:p>
          <w:p w:rsidR="00000000" w:rsidRPr="006C7B27" w:rsidP="006C7B27">
            <w:pPr>
              <w:pStyle w:val="ListBullet"/>
            </w:pPr>
            <w:r w:rsidRPr="006C7B27">
              <w:t>cost of legal advice</w:t>
            </w:r>
          </w:p>
          <w:p w:rsidR="00000000" w:rsidRPr="006C7B27" w:rsidP="006C7B27">
            <w:pPr>
              <w:pStyle w:val="ListBullet"/>
            </w:pPr>
            <w:r w:rsidRPr="006C7B27">
              <w:t>liability for damages</w:t>
            </w:r>
          </w:p>
          <w:p w:rsidR="00000000" w:rsidRPr="006C7B27" w:rsidP="006C7B27">
            <w:pPr>
              <w:pStyle w:val="ListBullet"/>
            </w:pPr>
            <w:r w:rsidRPr="006C7B27">
              <w:t>diversion of resources away from core business activities</w:t>
            </w:r>
          </w:p>
          <w:p w:rsidR="00000000" w:rsidP="006C7B27">
            <w:pPr>
              <w:pStyle w:val="ListBullet"/>
              <w:rPr>
                <w:lang w:val="en-NZ"/>
              </w:rPr>
            </w:pPr>
            <w:r w:rsidRPr="006C7B27">
              <w:t>negative effect on staffing.</w:t>
            </w:r>
          </w:p>
        </w:tc>
      </w:tr>
      <w:tr w:rsidTr="00A152B2">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7B27">
            <w:pPr>
              <w:pStyle w:val="BodyText"/>
              <w:rPr>
                <w:lang w:val="en-NZ"/>
              </w:rPr>
            </w:pPr>
            <w:r w:rsidRPr="006C7B27">
              <w:rPr>
                <w:rStyle w:val="BoldandItalics"/>
              </w:rPr>
              <w:t>Methods to protect</w:t>
            </w:r>
            <w:r w:rsidRPr="006C7B27">
              <w:t xml:space="preserve"> could include:</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7B27" w:rsidP="006C7B27">
            <w:pPr>
              <w:pStyle w:val="ListBullet"/>
            </w:pPr>
            <w:r w:rsidRPr="006C7B27">
              <w:t>copyright</w:t>
            </w:r>
          </w:p>
          <w:p w:rsidR="00000000" w:rsidRPr="006C7B27" w:rsidP="006C7B27">
            <w:pPr>
              <w:pStyle w:val="ListBullet"/>
            </w:pPr>
            <w:r w:rsidRPr="006C7B27">
              <w:t>patents</w:t>
            </w:r>
          </w:p>
          <w:p w:rsidR="00000000" w:rsidRPr="006C7B27" w:rsidP="006C7B27">
            <w:pPr>
              <w:pStyle w:val="ListBullet"/>
            </w:pPr>
            <w:r w:rsidRPr="006C7B27">
              <w:t>registration of designs</w:t>
            </w:r>
          </w:p>
          <w:p w:rsidR="00000000" w:rsidP="006C7B27">
            <w:pPr>
              <w:pStyle w:val="ListBullet"/>
              <w:rPr>
                <w:lang w:val="en-NZ"/>
              </w:rPr>
            </w:pPr>
            <w:r w:rsidRPr="006C7B27">
              <w:t>trade marks.</w:t>
            </w:r>
          </w:p>
        </w:tc>
      </w:tr>
      <w:tr w:rsidTr="00A152B2">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7B27">
            <w:pPr>
              <w:pStyle w:val="BodyText"/>
              <w:rPr>
                <w:lang w:val="en-NZ"/>
              </w:rPr>
            </w:pPr>
            <w:r w:rsidRPr="006C7B27">
              <w:rPr>
                <w:rStyle w:val="BoldandItalics"/>
              </w:rPr>
              <w:t>Third parties</w:t>
            </w:r>
            <w:r w:rsidRPr="006C7B27">
              <w:t xml:space="preserve"> could include:</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7B27" w:rsidP="006C7B27">
            <w:pPr>
              <w:pStyle w:val="ListBullet"/>
            </w:pPr>
            <w:r w:rsidRPr="006C7B27">
              <w:t>competitors</w:t>
            </w:r>
          </w:p>
          <w:p w:rsidR="00000000" w:rsidRPr="006C7B27" w:rsidP="006C7B27">
            <w:pPr>
              <w:pStyle w:val="ListBullet"/>
            </w:pPr>
            <w:r w:rsidRPr="006C7B27">
              <w:t>suppliers.</w:t>
            </w:r>
          </w:p>
        </w:tc>
      </w:tr>
    </w:tbl>
    <w:p w:rsidR="00A152B2" w:rsidP="006C7B27">
      <w:pPr>
        <w:pStyle w:val="BodyText"/>
      </w:pPr>
    </w:p>
    <w:p w:rsidR="00A152B2" w:rsidP="006C7B27">
      <w:pPr>
        <w:pStyle w:val="BodyText"/>
      </w:pPr>
    </w:p>
    <w:p w:rsidR="00000000" w:rsidRPr="006C7B27" w:rsidP="006C7B27">
      <w:pPr>
        <w:pStyle w:val="Heading1"/>
      </w:pPr>
      <w:bookmarkStart w:id="12" w:name="O_66194"/>
      <w:bookmarkEnd w:id="12"/>
      <w:r w:rsidRPr="006C7B27">
        <w:t>Unit Sector(s)</w:t>
      </w:r>
    </w:p>
    <w:tbl>
      <w:tblPr>
        <w:tblW w:w="0" w:type="auto"/>
        <w:tblLayout w:type="fixed"/>
        <w:tblCellMar>
          <w:left w:w="62" w:type="dxa"/>
          <w:right w:w="62" w:type="dxa"/>
        </w:tblCellMar>
        <w:tblLook w:val="0000"/>
      </w:tblPr>
      <w:tblGrid>
        <w:gridCol w:w="2654"/>
        <w:gridCol w:w="5868"/>
      </w:tblGrid>
      <w:tr w:rsidTr="00A152B2">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7B27">
            <w:pPr>
              <w:pStyle w:val="BodyText"/>
              <w:rPr>
                <w:lang w:val="en-NZ"/>
              </w:rPr>
            </w:pPr>
            <w:r w:rsidRPr="006C7B27">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7B27" w:rsidP="006C7B27">
            <w:pPr>
              <w:pStyle w:val="BodyText"/>
            </w:pPr>
          </w:p>
        </w:tc>
      </w:tr>
    </w:tbl>
    <w:p w:rsidR="00000000" w:rsidRPr="006C7B27" w:rsidP="006C7B27">
      <w:pPr>
        <w:pStyle w:val="BodyText"/>
      </w:pPr>
    </w:p>
    <w:p w:rsidR="00000000" w:rsidRPr="006C7B27" w:rsidP="006C7B27">
      <w:pPr>
        <w:pStyle w:val="AllowPageBreak"/>
      </w:pPr>
    </w:p>
    <w:p w:rsidR="00000000" w:rsidRPr="006C7B27" w:rsidP="006C7B27">
      <w:pPr>
        <w:pStyle w:val="Heading1"/>
      </w:pPr>
      <w:bookmarkStart w:id="13" w:name="O_154323"/>
      <w:bookmarkEnd w:id="13"/>
      <w:r w:rsidRPr="006C7B27">
        <w:t>Competency field</w:t>
      </w:r>
    </w:p>
    <w:tbl>
      <w:tblPr>
        <w:tblW w:w="0" w:type="auto"/>
        <w:tblLayout w:type="fixed"/>
        <w:tblCellMar>
          <w:left w:w="62" w:type="dxa"/>
          <w:right w:w="62" w:type="dxa"/>
        </w:tblCellMar>
        <w:tblLook w:val="0000"/>
      </w:tblPr>
      <w:tblGrid>
        <w:gridCol w:w="2777"/>
        <w:gridCol w:w="5745"/>
      </w:tblGrid>
      <w:tr w:rsidTr="00A152B2">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7B27">
            <w:pPr>
              <w:pStyle w:val="BodyText"/>
              <w:rPr>
                <w:lang w:val="en-NZ"/>
              </w:rPr>
            </w:pPr>
            <w:r w:rsidRPr="006C7B27">
              <w:rPr>
                <w:rStyle w:val="SpecialBold"/>
              </w:rPr>
              <w:t>Competency field</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7B27" w:rsidP="006C7B27">
            <w:pPr>
              <w:pStyle w:val="BodyText"/>
            </w:pPr>
            <w:r w:rsidRPr="006C7B27">
              <w:t>Business development - marketing</w:t>
            </w:r>
          </w:p>
        </w:tc>
      </w:tr>
    </w:tbl>
    <w:p w:rsidR="00000000" w:rsidRPr="006C7B27" w:rsidP="006C7B27">
      <w:pPr>
        <w:pStyle w:val="BodyText"/>
      </w:pPr>
    </w:p>
    <w:p w:rsidR="00000000" w:rsidRPr="006C7B27" w:rsidP="006C7B27">
      <w:pPr>
        <w:pStyle w:val="AllowPageBreak"/>
      </w:pPr>
    </w:p>
    <w:p w:rsidR="00000000" w:rsidRPr="006C7B27" w:rsidP="006C7B27">
      <w:pPr>
        <w:pStyle w:val="Heading1"/>
      </w:pPr>
      <w:bookmarkStart w:id="14" w:name="O_154322"/>
      <w:bookmarkEnd w:id="14"/>
      <w:r w:rsidRPr="006C7B27">
        <w:t>Co-requisite units</w:t>
      </w:r>
    </w:p>
    <w:tbl>
      <w:tblPr>
        <w:tblW w:w="0" w:type="auto"/>
        <w:tblLayout w:type="fixed"/>
        <w:tblCellMar>
          <w:left w:w="62" w:type="dxa"/>
          <w:right w:w="62" w:type="dxa"/>
        </w:tblCellMar>
        <w:tblLook w:val="0000"/>
      </w:tblPr>
      <w:tblGrid>
        <w:gridCol w:w="2641"/>
        <w:gridCol w:w="1322"/>
        <w:gridCol w:w="4559"/>
      </w:tblGrid>
      <w:tr w:rsidTr="00A152B2">
        <w:tblPrEx>
          <w:tblW w:w="0" w:type="auto"/>
          <w:tblLayout w:type="fixed"/>
          <w:tblCellMar>
            <w:left w:w="62" w:type="dxa"/>
            <w:right w:w="62" w:type="dxa"/>
          </w:tblCellMar>
          <w:tblLook w:val="0000"/>
        </w:tblPrEx>
        <w:trPr>
          <w:tblHeader/>
        </w:trPr>
        <w:tc>
          <w:tcPr>
            <w:tcW w:w="2641"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7B27">
            <w:pPr>
              <w:pStyle w:val="BodyText"/>
              <w:rPr>
                <w:lang w:val="en-NZ"/>
              </w:rPr>
            </w:pPr>
            <w:r w:rsidRPr="006C7B2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7B27">
            <w:pPr>
              <w:pStyle w:val="BodyText"/>
              <w:rPr>
                <w:lang w:val="en-NZ"/>
              </w:rPr>
            </w:pPr>
          </w:p>
        </w:tc>
      </w:tr>
      <w:tr w:rsidTr="00A152B2">
        <w:tblPrEx>
          <w:tblW w:w="0" w:type="auto"/>
          <w:tblLayout w:type="fixed"/>
          <w:tblCellMar>
            <w:left w:w="62" w:type="dxa"/>
            <w:right w:w="62" w:type="dxa"/>
          </w:tblCellMar>
          <w:tblLook w:val="0000"/>
        </w:tblPrEx>
        <w:tc>
          <w:tcPr>
            <w:tcW w:w="2641"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7B27">
            <w:pPr>
              <w:pStyle w:val="BodyText"/>
              <w:rPr>
                <w:lang w:val="en-NZ"/>
              </w:rPr>
            </w:pPr>
          </w:p>
        </w:tc>
      </w:tr>
      <w:tr w:rsidTr="00A152B2">
        <w:tblPrEx>
          <w:tblW w:w="0" w:type="auto"/>
          <w:tblLayout w:type="fixed"/>
          <w:tblCellMar>
            <w:left w:w="62" w:type="dxa"/>
            <w:right w:w="62" w:type="dxa"/>
          </w:tblCellMar>
          <w:tblLook w:val="0000"/>
        </w:tblPrEx>
        <w:tc>
          <w:tcPr>
            <w:tcW w:w="2641"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7B27" w:rsidP="006C7B27">
            <w:pPr>
              <w:pStyle w:val="BodyText"/>
            </w:pPr>
          </w:p>
        </w:tc>
      </w:tr>
    </w:tbl>
    <w:p w:rsidR="00000000" w:rsidRPr="006C7B27" w:rsidP="006C7B27">
      <w:pPr>
        <w:pStyle w:val="BodyText"/>
      </w:pPr>
    </w:p>
    <w:p w:rsidR="00000000" w:rsidRPr="006C7B27" w:rsidP="006C7B27"/>
    <w:sectPr w:rsidSect="006C7B2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B2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152B2" w:rsidP="00A152B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B2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52B2" w:rsidP="006C7B2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A152B2" w:rsidP="006C7B2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152B2" w:rsidP="006C7B2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B2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B27" w:rsidRPr="00A152B2" w:rsidP="00A152B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B2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52B2" w:rsidRPr="002D2AF8" w:rsidP="006C7B27">
    <w:pPr>
      <w:pStyle w:val="Header"/>
      <w:framePr w:wrap="around"/>
    </w:pPr>
    <w:r>
      <w:fldChar w:fldCharType="begin"/>
    </w:r>
    <w:r>
      <w:instrText xml:space="preserve"> TITLE   \* MERGEFORMAT </w:instrText>
    </w:r>
    <w:r>
      <w:fldChar w:fldCharType="separate"/>
    </w:r>
    <w:r>
      <w:t>BSBMKG520A Manage compliance within the marketing legislative framework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A152B2" w:rsidP="006C7B2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A46B4C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58AFC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83C88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7B2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C7B27"/>
    <w:pPr>
      <w:spacing w:before="360" w:after="60"/>
      <w:outlineLvl w:val="0"/>
    </w:pPr>
    <w:rPr>
      <w:sz w:val="32"/>
    </w:rPr>
  </w:style>
  <w:style w:type="paragraph" w:styleId="Heading2">
    <w:name w:val="heading 2"/>
    <w:basedOn w:val="HeadingBase"/>
    <w:next w:val="BodyText"/>
    <w:link w:val="Heading2Char"/>
    <w:qFormat/>
    <w:rsid w:val="006C7B27"/>
    <w:pPr>
      <w:keepLines/>
      <w:spacing w:before="240" w:after="120"/>
      <w:outlineLvl w:val="1"/>
    </w:pPr>
    <w:rPr>
      <w:sz w:val="28"/>
      <w:szCs w:val="40"/>
    </w:rPr>
  </w:style>
  <w:style w:type="paragraph" w:styleId="Heading3">
    <w:name w:val="heading 3"/>
    <w:basedOn w:val="HeadingBase"/>
    <w:next w:val="BodyText"/>
    <w:link w:val="Heading3Char"/>
    <w:qFormat/>
    <w:rsid w:val="006C7B27"/>
    <w:pPr>
      <w:spacing w:before="180" w:after="120"/>
      <w:outlineLvl w:val="2"/>
    </w:pPr>
    <w:rPr>
      <w:spacing w:val="-10"/>
      <w:kern w:val="32"/>
    </w:rPr>
  </w:style>
  <w:style w:type="paragraph" w:styleId="Heading4">
    <w:name w:val="heading 4"/>
    <w:basedOn w:val="HeadingBase"/>
    <w:next w:val="BodyText"/>
    <w:link w:val="Heading4Char"/>
    <w:qFormat/>
    <w:rsid w:val="006C7B27"/>
    <w:pPr>
      <w:spacing w:before="160" w:after="120"/>
      <w:outlineLvl w:val="3"/>
    </w:pPr>
    <w:rPr>
      <w:sz w:val="22"/>
    </w:rPr>
  </w:style>
  <w:style w:type="paragraph" w:styleId="Heading5">
    <w:name w:val="heading 5"/>
    <w:basedOn w:val="HeadingBase"/>
    <w:next w:val="Normal"/>
    <w:link w:val="Heading5Char"/>
    <w:qFormat/>
    <w:rsid w:val="006C7B27"/>
    <w:pPr>
      <w:spacing w:before="80"/>
      <w:outlineLvl w:val="4"/>
    </w:pPr>
    <w:rPr>
      <w:color w:val="918585"/>
      <w:sz w:val="20"/>
    </w:rPr>
  </w:style>
  <w:style w:type="paragraph" w:styleId="Heading6">
    <w:name w:val="heading 6"/>
    <w:basedOn w:val="HeadingBase"/>
    <w:next w:val="Normal"/>
    <w:link w:val="Heading6Char"/>
    <w:qFormat/>
    <w:rsid w:val="006C7B27"/>
    <w:pPr>
      <w:spacing w:before="60"/>
      <w:outlineLvl w:val="5"/>
    </w:pPr>
    <w:rPr>
      <w:color w:val="918585"/>
      <w:sz w:val="20"/>
    </w:rPr>
  </w:style>
  <w:style w:type="paragraph" w:styleId="Heading7">
    <w:name w:val="heading 7"/>
    <w:basedOn w:val="Normal"/>
    <w:next w:val="Normal"/>
    <w:link w:val="Heading7Char"/>
    <w:qFormat/>
    <w:rsid w:val="006C7B27"/>
    <w:pPr>
      <w:ind w:left="720"/>
      <w:outlineLvl w:val="6"/>
    </w:pPr>
    <w:rPr>
      <w:i/>
    </w:rPr>
  </w:style>
  <w:style w:type="paragraph" w:styleId="Heading8">
    <w:name w:val="heading 8"/>
    <w:basedOn w:val="Normal"/>
    <w:next w:val="Normal"/>
    <w:link w:val="Heading8Char"/>
    <w:qFormat/>
    <w:rsid w:val="006C7B27"/>
    <w:pPr>
      <w:ind w:left="720"/>
      <w:outlineLvl w:val="7"/>
    </w:pPr>
    <w:rPr>
      <w:i/>
    </w:rPr>
  </w:style>
  <w:style w:type="paragraph" w:styleId="Heading9">
    <w:name w:val="heading 9"/>
    <w:basedOn w:val="Normal"/>
    <w:next w:val="Normal"/>
    <w:link w:val="Heading9Char"/>
    <w:qFormat/>
    <w:rsid w:val="006C7B27"/>
    <w:pPr>
      <w:ind w:left="720"/>
      <w:outlineLvl w:val="8"/>
    </w:pPr>
    <w:rPr>
      <w:i/>
    </w:rPr>
  </w:style>
  <w:style w:type="character" w:default="1" w:styleId="DefaultParagraphFont">
    <w:name w:val="Default Paragraph Font"/>
    <w:uiPriority w:val="1"/>
    <w:unhideWhenUsed/>
    <w:rsid w:val="006C7B2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C7B27"/>
  </w:style>
  <w:style w:type="character" w:customStyle="1" w:styleId="Heading1Char">
    <w:name w:val="Heading 1 Char"/>
    <w:basedOn w:val="DefaultParagraphFont"/>
    <w:link w:val="Heading1"/>
    <w:rsid w:val="006C7B27"/>
    <w:rPr>
      <w:rFonts w:ascii="Times New Roman" w:eastAsia="Times New Roman" w:hAnsi="Times New Roman" w:cs="Times New Roman"/>
      <w:b/>
      <w:sz w:val="32"/>
      <w:szCs w:val="20"/>
      <w:lang w:eastAsia="en-US"/>
    </w:rPr>
  </w:style>
  <w:style w:type="paragraph" w:styleId="BodyText">
    <w:name w:val="Body Text"/>
    <w:basedOn w:val="Normal"/>
    <w:link w:val="BodyTextChar"/>
    <w:rsid w:val="006C7B2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C7B27"/>
    <w:rPr>
      <w:rFonts w:ascii="Times New Roman" w:eastAsia="Times New Roman" w:hAnsi="Times New Roman" w:cs="Times New Roman"/>
      <w:sz w:val="24"/>
      <w:lang w:eastAsia="en-US"/>
    </w:rPr>
  </w:style>
  <w:style w:type="paragraph" w:styleId="Footer">
    <w:name w:val="footer"/>
    <w:basedOn w:val="Normal"/>
    <w:link w:val="FooterChar"/>
    <w:rsid w:val="006C7B2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C7B27"/>
    <w:rPr>
      <w:rFonts w:ascii="Times New Roman" w:eastAsia="Times New Roman" w:hAnsi="Times New Roman" w:cs="Times New Roman"/>
      <w:sz w:val="16"/>
      <w:lang w:eastAsia="en-US"/>
    </w:rPr>
  </w:style>
  <w:style w:type="paragraph" w:styleId="List">
    <w:name w:val="List"/>
    <w:basedOn w:val="BodyText"/>
    <w:next w:val="BodyText"/>
    <w:rsid w:val="006C7B27"/>
    <w:pPr>
      <w:tabs>
        <w:tab w:val="left" w:pos="340"/>
      </w:tabs>
      <w:spacing w:before="60" w:after="60"/>
      <w:ind w:left="340" w:hanging="340"/>
    </w:pPr>
  </w:style>
  <w:style w:type="paragraph" w:styleId="ListBullet">
    <w:name w:val="List Bullet"/>
    <w:basedOn w:val="List"/>
    <w:rsid w:val="006C7B27"/>
    <w:pPr>
      <w:numPr>
        <w:numId w:val="14"/>
      </w:numPr>
      <w:tabs>
        <w:tab w:val="clear" w:pos="340"/>
      </w:tabs>
      <w:spacing w:before="40" w:after="40"/>
    </w:pPr>
  </w:style>
  <w:style w:type="character" w:customStyle="1" w:styleId="SpecialBold">
    <w:name w:val="Special Bold"/>
    <w:basedOn w:val="DefaultParagraphFont"/>
    <w:rsid w:val="006C7B27"/>
    <w:rPr>
      <w:b/>
      <w:spacing w:val="0"/>
    </w:rPr>
  </w:style>
  <w:style w:type="paragraph" w:styleId="ListBullet2">
    <w:name w:val="List Bullet 2"/>
    <w:basedOn w:val="List2"/>
    <w:rsid w:val="006C7B27"/>
    <w:pPr>
      <w:numPr>
        <w:numId w:val="15"/>
      </w:numPr>
      <w:tabs>
        <w:tab w:val="clear" w:pos="680"/>
      </w:tabs>
    </w:pPr>
  </w:style>
  <w:style w:type="paragraph" w:customStyle="1" w:styleId="SuperHeading">
    <w:name w:val="SuperHeading"/>
    <w:basedOn w:val="Normal"/>
    <w:rsid w:val="006C7B27"/>
    <w:pPr>
      <w:spacing w:before="240" w:after="120"/>
      <w:outlineLvl w:val="0"/>
    </w:pPr>
    <w:rPr>
      <w:rFonts w:ascii="Times New Roman" w:hAnsi="Times New Roman"/>
      <w:b/>
      <w:sz w:val="28"/>
    </w:rPr>
  </w:style>
  <w:style w:type="paragraph" w:customStyle="1" w:styleId="AllowPageBreak">
    <w:name w:val="AllowPageBreak"/>
    <w:rsid w:val="006C7B2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C7B27"/>
    <w:pPr>
      <w:tabs>
        <w:tab w:val="left" w:pos="680"/>
      </w:tabs>
      <w:spacing w:before="60" w:after="60"/>
      <w:ind w:left="680" w:hanging="340"/>
    </w:pPr>
  </w:style>
  <w:style w:type="paragraph" w:styleId="ListBullet3">
    <w:name w:val="List Bullet 3"/>
    <w:basedOn w:val="List3"/>
    <w:rsid w:val="006C7B27"/>
    <w:pPr>
      <w:numPr>
        <w:numId w:val="3"/>
      </w:numPr>
      <w:tabs>
        <w:tab w:val="clear" w:pos="1021"/>
      </w:tabs>
      <w:ind w:left="1037" w:hanging="357"/>
    </w:pPr>
  </w:style>
  <w:style w:type="character" w:customStyle="1" w:styleId="BoldandItalics">
    <w:name w:val="Bold and Italics"/>
    <w:qFormat/>
    <w:rsid w:val="006C7B27"/>
    <w:rPr>
      <w:b/>
      <w:i/>
      <w:u w:val="none"/>
    </w:rPr>
  </w:style>
  <w:style w:type="character" w:customStyle="1" w:styleId="Heading2Char">
    <w:name w:val="Heading 2 Char"/>
    <w:basedOn w:val="DefaultParagraphFont"/>
    <w:link w:val="Heading2"/>
    <w:rsid w:val="006C7B2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C7B2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C7B2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C7B2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C7B2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C7B2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C7B2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C7B27"/>
    <w:rPr>
      <w:rFonts w:ascii="Courier New" w:eastAsia="Times New Roman" w:hAnsi="Courier New" w:cs="Times New Roman"/>
      <w:i/>
      <w:szCs w:val="20"/>
      <w:lang w:eastAsia="en-US"/>
    </w:rPr>
  </w:style>
  <w:style w:type="paragraph" w:customStyle="1" w:styleId="HeadingBase">
    <w:name w:val="Heading Base"/>
    <w:rsid w:val="006C7B2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C7B27"/>
    <w:pPr>
      <w:tabs>
        <w:tab w:val="right" w:leader="dot" w:pos="9072"/>
      </w:tabs>
      <w:ind w:left="567"/>
    </w:pPr>
    <w:rPr>
      <w:szCs w:val="22"/>
    </w:rPr>
  </w:style>
  <w:style w:type="paragraph" w:customStyle="1" w:styleId="TOCBase">
    <w:name w:val="TOC Base"/>
    <w:rsid w:val="006C7B2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C7B27"/>
    <w:pPr>
      <w:tabs>
        <w:tab w:val="right" w:leader="dot" w:pos="9072"/>
      </w:tabs>
      <w:spacing w:before="40" w:after="40"/>
      <w:ind w:left="284"/>
    </w:pPr>
    <w:rPr>
      <w:rFonts w:ascii="Times New Roman" w:hAnsi="Times New Roman"/>
    </w:rPr>
  </w:style>
  <w:style w:type="paragraph" w:styleId="TOC1">
    <w:name w:val="toc 1"/>
    <w:basedOn w:val="TOCBase"/>
    <w:next w:val="Normal"/>
    <w:rsid w:val="006C7B2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C7B27"/>
    <w:pPr>
      <w:spacing w:before="5040"/>
      <w:jc w:val="center"/>
    </w:pPr>
    <w:rPr>
      <w:sz w:val="48"/>
      <w:szCs w:val="72"/>
      <w:lang w:val="en-US"/>
    </w:rPr>
  </w:style>
  <w:style w:type="character" w:customStyle="1" w:styleId="TitleChar">
    <w:name w:val="Title Char"/>
    <w:basedOn w:val="DefaultParagraphFont"/>
    <w:link w:val="Title"/>
    <w:rsid w:val="006C7B2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C7B27"/>
    <w:pPr>
      <w:tabs>
        <w:tab w:val="left" w:pos="3600"/>
        <w:tab w:val="left" w:pos="3958"/>
      </w:tabs>
    </w:pPr>
  </w:style>
  <w:style w:type="paragraph" w:customStyle="1" w:styleId="Note">
    <w:name w:val="Note"/>
    <w:basedOn w:val="BodyText"/>
    <w:rsid w:val="006C7B2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C7B27"/>
    <w:pPr>
      <w:framePr w:wrap="auto" w:hAnchor="text" w:y="6049"/>
    </w:pPr>
    <w:rPr>
      <w:color w:val="000000"/>
      <w:sz w:val="40"/>
    </w:rPr>
  </w:style>
  <w:style w:type="paragraph" w:customStyle="1" w:styleId="TOCTitle">
    <w:name w:val="TOCTitle"/>
    <w:basedOn w:val="Heading1"/>
    <w:rsid w:val="006C7B27"/>
    <w:pPr>
      <w:spacing w:after="240"/>
      <w:jc w:val="center"/>
      <w:outlineLvl w:val="9"/>
    </w:pPr>
    <w:rPr>
      <w:caps/>
    </w:rPr>
  </w:style>
  <w:style w:type="paragraph" w:customStyle="1" w:styleId="Version">
    <w:name w:val="Version"/>
    <w:rsid w:val="006C7B2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C7B27"/>
    <w:pPr>
      <w:keepNext w:val="0"/>
      <w:tabs>
        <w:tab w:val="right" w:pos="4176"/>
      </w:tabs>
      <w:ind w:left="198" w:hanging="198"/>
    </w:pPr>
    <w:rPr>
      <w:rFonts w:ascii="Garamond" w:hAnsi="Garamond"/>
    </w:rPr>
  </w:style>
  <w:style w:type="paragraph" w:styleId="IndexHeading">
    <w:name w:val="index heading"/>
    <w:basedOn w:val="Normal"/>
    <w:next w:val="Index1"/>
    <w:semiHidden/>
    <w:rsid w:val="006C7B27"/>
    <w:pPr>
      <w:spacing w:before="120" w:after="120"/>
    </w:pPr>
    <w:rPr>
      <w:rFonts w:ascii="Arial" w:hAnsi="Arial"/>
      <w:b/>
      <w:color w:val="918585"/>
      <w:sz w:val="24"/>
    </w:rPr>
  </w:style>
  <w:style w:type="paragraph" w:styleId="Header">
    <w:name w:val="header"/>
    <w:basedOn w:val="Normal"/>
    <w:link w:val="HeaderChar"/>
    <w:rsid w:val="006C7B2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C7B27"/>
    <w:rPr>
      <w:rFonts w:ascii="Times New Roman" w:eastAsia="Times New Roman" w:hAnsi="Times New Roman" w:cs="Times New Roman"/>
      <w:sz w:val="16"/>
      <w:szCs w:val="20"/>
      <w:lang w:val="en-GB" w:eastAsia="en-US"/>
    </w:rPr>
  </w:style>
  <w:style w:type="paragraph" w:customStyle="1" w:styleId="Chapter">
    <w:name w:val="Chapter"/>
    <w:basedOn w:val="Normal"/>
    <w:rsid w:val="006C7B27"/>
    <w:pPr>
      <w:spacing w:before="240"/>
    </w:pPr>
    <w:rPr>
      <w:rFonts w:ascii="Times New Roman" w:hAnsi="Times New Roman"/>
      <w:smallCaps/>
      <w:spacing w:val="80"/>
      <w:sz w:val="28"/>
    </w:rPr>
  </w:style>
  <w:style w:type="paragraph" w:customStyle="1" w:styleId="InChapter">
    <w:name w:val="InChapter"/>
    <w:basedOn w:val="Heading3"/>
    <w:rsid w:val="006C7B27"/>
    <w:pPr>
      <w:spacing w:after="240"/>
      <w:outlineLvl w:val="9"/>
    </w:pPr>
    <w:rPr>
      <w:noProof/>
    </w:rPr>
  </w:style>
  <w:style w:type="paragraph" w:styleId="Index2">
    <w:name w:val="index 2"/>
    <w:basedOn w:val="Normal"/>
    <w:next w:val="Normal"/>
    <w:semiHidden/>
    <w:rsid w:val="006C7B27"/>
    <w:pPr>
      <w:tabs>
        <w:tab w:val="right" w:pos="4176"/>
      </w:tabs>
      <w:ind w:left="568" w:hanging="284"/>
    </w:pPr>
    <w:rPr>
      <w:rFonts w:ascii="Garamond" w:hAnsi="Garamond"/>
    </w:rPr>
  </w:style>
  <w:style w:type="paragraph" w:customStyle="1" w:styleId="Byline">
    <w:name w:val="Byline"/>
    <w:rsid w:val="006C7B2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C7B27"/>
    <w:pPr>
      <w:tabs>
        <w:tab w:val="clear" w:pos="3600"/>
        <w:tab w:val="clear" w:pos="3958"/>
      </w:tabs>
      <w:jc w:val="right"/>
    </w:pPr>
  </w:style>
  <w:style w:type="character" w:styleId="Emphasis">
    <w:name w:val="Emphasis"/>
    <w:basedOn w:val="DefaultParagraphFont"/>
    <w:qFormat/>
    <w:rsid w:val="006C7B27"/>
    <w:rPr>
      <w:i/>
    </w:rPr>
  </w:style>
  <w:style w:type="paragraph" w:styleId="Caption">
    <w:name w:val="caption"/>
    <w:basedOn w:val="BodyText"/>
    <w:next w:val="Normal"/>
    <w:qFormat/>
    <w:rsid w:val="006C7B27"/>
    <w:pPr>
      <w:framePr w:w="2268" w:hSpace="181" w:vSpace="181" w:wrap="around" w:vAnchor="text" w:hAnchor="page" w:x="1135" w:y="285" w:anchorLock="1"/>
    </w:pPr>
    <w:rPr>
      <w:i/>
    </w:rPr>
  </w:style>
  <w:style w:type="paragraph" w:customStyle="1" w:styleId="MiniTOCTitle">
    <w:name w:val="MiniTOCTitle"/>
    <w:basedOn w:val="Heading4"/>
    <w:rsid w:val="006C7B27"/>
    <w:pPr>
      <w:spacing w:before="240"/>
      <w:outlineLvl w:val="9"/>
    </w:pPr>
    <w:rPr>
      <w:noProof/>
      <w:sz w:val="24"/>
    </w:rPr>
  </w:style>
  <w:style w:type="paragraph" w:customStyle="1" w:styleId="MiniTOCItem">
    <w:name w:val="MiniTOCItem"/>
    <w:basedOn w:val="ListBullet"/>
    <w:rsid w:val="006C7B27"/>
    <w:pPr>
      <w:numPr>
        <w:numId w:val="0"/>
      </w:numPr>
      <w:tabs>
        <w:tab w:val="right" w:leader="dot" w:pos="6521"/>
      </w:tabs>
      <w:spacing w:before="0" w:after="0"/>
    </w:pPr>
  </w:style>
  <w:style w:type="paragraph" w:customStyle="1" w:styleId="TOFTitle">
    <w:name w:val="TOFTitle"/>
    <w:basedOn w:val="TOCTitle"/>
    <w:rsid w:val="006C7B27"/>
  </w:style>
  <w:style w:type="paragraph" w:styleId="TableofFigures">
    <w:name w:val="table of figures"/>
    <w:basedOn w:val="Normal"/>
    <w:next w:val="Normal"/>
    <w:semiHidden/>
    <w:rsid w:val="006C7B27"/>
    <w:pPr>
      <w:tabs>
        <w:tab w:val="right" w:leader="dot" w:pos="9072"/>
      </w:tabs>
      <w:ind w:left="970" w:hanging="403"/>
    </w:pPr>
    <w:rPr>
      <w:rFonts w:ascii="Times New Roman" w:hAnsi="Times New Roman"/>
      <w:b/>
    </w:rPr>
  </w:style>
  <w:style w:type="paragraph" w:styleId="ListNumber">
    <w:name w:val="List Number"/>
    <w:basedOn w:val="List"/>
    <w:rsid w:val="006C7B27"/>
    <w:pPr>
      <w:numPr>
        <w:numId w:val="12"/>
      </w:numPr>
    </w:pPr>
  </w:style>
  <w:style w:type="character" w:customStyle="1" w:styleId="WingdingSymbols">
    <w:name w:val="Wingding Symbols"/>
    <w:rsid w:val="006C7B27"/>
    <w:rPr>
      <w:rFonts w:ascii="Wingdings" w:hAnsi="Wingdings"/>
    </w:rPr>
  </w:style>
  <w:style w:type="paragraph" w:customStyle="1" w:styleId="TableHeading">
    <w:name w:val="Table Heading"/>
    <w:basedOn w:val="HeadingBase"/>
    <w:rsid w:val="006C7B27"/>
    <w:pPr>
      <w:keepLines/>
      <w:pBdr>
        <w:bottom w:val="single" w:sz="6" w:space="1" w:color="918585"/>
      </w:pBdr>
      <w:spacing w:before="240"/>
    </w:pPr>
  </w:style>
  <w:style w:type="character" w:customStyle="1" w:styleId="HotSpot">
    <w:name w:val="HotSpot"/>
    <w:rsid w:val="006C7B27"/>
    <w:rPr>
      <w:color w:val="0033CC"/>
      <w:u w:val="none"/>
    </w:rPr>
  </w:style>
  <w:style w:type="paragraph" w:customStyle="1" w:styleId="BodyTextRight">
    <w:name w:val="Body Text Right"/>
    <w:basedOn w:val="BodyText"/>
    <w:rsid w:val="006C7B27"/>
    <w:pPr>
      <w:spacing w:before="0" w:after="0"/>
      <w:jc w:val="right"/>
    </w:pPr>
  </w:style>
  <w:style w:type="paragraph" w:styleId="Index3">
    <w:name w:val="index 3"/>
    <w:basedOn w:val="ListNumber2"/>
    <w:next w:val="Normal"/>
    <w:semiHidden/>
    <w:rsid w:val="006C7B27"/>
    <w:pPr>
      <w:numPr>
        <w:numId w:val="0"/>
      </w:numPr>
      <w:tabs>
        <w:tab w:val="right" w:leader="dot" w:pos="4176"/>
      </w:tabs>
    </w:pPr>
  </w:style>
  <w:style w:type="paragraph" w:styleId="ListNumber2">
    <w:name w:val="List Number 2"/>
    <w:basedOn w:val="List2"/>
    <w:rsid w:val="006C7B27"/>
    <w:pPr>
      <w:numPr>
        <w:numId w:val="11"/>
      </w:numPr>
      <w:tabs>
        <w:tab w:val="clear" w:pos="1060"/>
      </w:tabs>
    </w:pPr>
  </w:style>
  <w:style w:type="paragraph" w:customStyle="1" w:styleId="MarginNote">
    <w:name w:val="Margin Note"/>
    <w:basedOn w:val="BodyText"/>
    <w:rsid w:val="006C7B2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C7B2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C7B2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C7B27"/>
    <w:rPr>
      <w:sz w:val="32"/>
    </w:rPr>
  </w:style>
  <w:style w:type="paragraph" w:customStyle="1" w:styleId="HeadingProcedure">
    <w:name w:val="Heading Procedure"/>
    <w:basedOn w:val="HeadingBase"/>
    <w:next w:val="Normal"/>
    <w:rsid w:val="006C7B27"/>
    <w:pPr>
      <w:tabs>
        <w:tab w:val="left" w:pos="0"/>
      </w:tabs>
      <w:spacing w:before="120" w:after="60"/>
    </w:pPr>
    <w:rPr>
      <w:i/>
      <w:color w:val="918585"/>
      <w:sz w:val="22"/>
    </w:rPr>
  </w:style>
  <w:style w:type="paragraph" w:customStyle="1" w:styleId="TableBodyText">
    <w:name w:val="Table Body Text"/>
    <w:basedOn w:val="BodyText"/>
    <w:rsid w:val="006C7B27"/>
    <w:pPr>
      <w:spacing w:before="60" w:after="60"/>
    </w:pPr>
  </w:style>
  <w:style w:type="paragraph" w:styleId="ListContinue">
    <w:name w:val="List Continue"/>
    <w:basedOn w:val="List"/>
    <w:rsid w:val="006C7B27"/>
    <w:pPr>
      <w:ind w:firstLine="0"/>
    </w:pPr>
  </w:style>
  <w:style w:type="paragraph" w:customStyle="1" w:styleId="ListNote">
    <w:name w:val="List Note"/>
    <w:basedOn w:val="List"/>
    <w:rsid w:val="006C7B27"/>
    <w:pPr>
      <w:pBdr>
        <w:top w:val="single" w:sz="6" w:space="2" w:color="918585"/>
        <w:bottom w:val="single" w:sz="6" w:space="2" w:color="918585"/>
      </w:pBdr>
      <w:tabs>
        <w:tab w:val="left" w:pos="1021"/>
      </w:tabs>
      <w:ind w:firstLine="0"/>
    </w:pPr>
  </w:style>
  <w:style w:type="paragraph" w:customStyle="1" w:styleId="Warning">
    <w:name w:val="Warning"/>
    <w:basedOn w:val="BodyText"/>
    <w:rsid w:val="006C7B27"/>
    <w:pPr>
      <w:shd w:val="clear" w:color="auto" w:fill="D9D9D9"/>
      <w:tabs>
        <w:tab w:val="left" w:pos="992"/>
      </w:tabs>
      <w:ind w:left="119" w:right="119"/>
    </w:pPr>
    <w:rPr>
      <w:sz w:val="20"/>
    </w:rPr>
  </w:style>
  <w:style w:type="paragraph" w:customStyle="1" w:styleId="MarginIcons">
    <w:name w:val="Margin Icons"/>
    <w:basedOn w:val="BodyText"/>
    <w:rsid w:val="006C7B2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C7B27"/>
    <w:rPr>
      <w:rFonts w:ascii="Courier New" w:hAnsi="Courier New"/>
    </w:rPr>
  </w:style>
  <w:style w:type="paragraph" w:customStyle="1" w:styleId="NoteBullet">
    <w:name w:val="Note Bullet"/>
    <w:basedOn w:val="Note"/>
    <w:rsid w:val="006C7B27"/>
    <w:pPr>
      <w:tabs>
        <w:tab w:val="clear" w:pos="680"/>
      </w:tabs>
      <w:spacing w:before="60" w:after="60"/>
    </w:pPr>
  </w:style>
  <w:style w:type="paragraph" w:customStyle="1" w:styleId="SubHeading2">
    <w:name w:val="SubHeading2"/>
    <w:basedOn w:val="HeadingBase"/>
    <w:rsid w:val="006C7B27"/>
    <w:pPr>
      <w:spacing w:before="240" w:after="60"/>
    </w:pPr>
    <w:rPr>
      <w:sz w:val="20"/>
    </w:rPr>
  </w:style>
  <w:style w:type="paragraph" w:customStyle="1" w:styleId="SubHeading1">
    <w:name w:val="SubHeading1"/>
    <w:basedOn w:val="HeadingBase"/>
    <w:rsid w:val="006C7B27"/>
    <w:pPr>
      <w:spacing w:before="240" w:after="60"/>
    </w:pPr>
    <w:rPr>
      <w:color w:val="918585"/>
      <w:sz w:val="22"/>
    </w:rPr>
  </w:style>
  <w:style w:type="paragraph" w:customStyle="1" w:styleId="SideHeading">
    <w:name w:val="Side Heading"/>
    <w:basedOn w:val="HeadingBase"/>
    <w:rsid w:val="006C7B2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C7B27"/>
    <w:pPr>
      <w:numPr>
        <w:numId w:val="13"/>
      </w:numPr>
    </w:pPr>
  </w:style>
  <w:style w:type="paragraph" w:styleId="PlainText">
    <w:name w:val="Plain Text"/>
    <w:basedOn w:val="Normal"/>
    <w:link w:val="PlainTextChar"/>
    <w:rsid w:val="006C7B27"/>
    <w:rPr>
      <w:sz w:val="20"/>
    </w:rPr>
  </w:style>
  <w:style w:type="character" w:customStyle="1" w:styleId="PlainTextChar">
    <w:name w:val="Plain Text Char"/>
    <w:basedOn w:val="DefaultParagraphFont"/>
    <w:link w:val="PlainText"/>
    <w:rsid w:val="006C7B27"/>
    <w:rPr>
      <w:rFonts w:ascii="Courier New" w:eastAsia="Times New Roman" w:hAnsi="Courier New" w:cs="Times New Roman"/>
      <w:sz w:val="20"/>
      <w:szCs w:val="20"/>
      <w:lang w:eastAsia="en-US"/>
    </w:rPr>
  </w:style>
  <w:style w:type="character" w:customStyle="1" w:styleId="MenuOption">
    <w:name w:val="Menu Option"/>
    <w:basedOn w:val="DefaultParagraphFont"/>
    <w:rsid w:val="006C7B27"/>
    <w:rPr>
      <w:b/>
      <w:smallCaps/>
    </w:rPr>
  </w:style>
  <w:style w:type="paragraph" w:customStyle="1" w:styleId="TableListNumber">
    <w:name w:val="Table List Number"/>
    <w:basedOn w:val="ListNumber"/>
    <w:rsid w:val="006C7B27"/>
    <w:pPr>
      <w:numPr>
        <w:numId w:val="0"/>
      </w:numPr>
    </w:pPr>
  </w:style>
  <w:style w:type="paragraph" w:styleId="TOC4">
    <w:name w:val="toc 4"/>
    <w:basedOn w:val="TOCBase"/>
    <w:next w:val="Normal"/>
    <w:semiHidden/>
    <w:rsid w:val="006C7B27"/>
    <w:pPr>
      <w:tabs>
        <w:tab w:val="right" w:leader="dot" w:pos="9071"/>
      </w:tabs>
      <w:ind w:left="1701"/>
    </w:pPr>
  </w:style>
  <w:style w:type="paragraph" w:customStyle="1" w:styleId="ListAlpha">
    <w:name w:val="List Alpha"/>
    <w:basedOn w:val="List"/>
    <w:rsid w:val="006C7B27"/>
    <w:pPr>
      <w:numPr>
        <w:numId w:val="10"/>
      </w:numPr>
    </w:pPr>
  </w:style>
  <w:style w:type="paragraph" w:customStyle="1" w:styleId="ListAlpha2">
    <w:name w:val="List Alpha 2"/>
    <w:basedOn w:val="List2"/>
    <w:rsid w:val="006C7B27"/>
    <w:pPr>
      <w:numPr>
        <w:numId w:val="9"/>
      </w:numPr>
    </w:pPr>
  </w:style>
  <w:style w:type="paragraph" w:styleId="List3">
    <w:name w:val="List 3"/>
    <w:basedOn w:val="BodyText"/>
    <w:rsid w:val="006C7B27"/>
    <w:pPr>
      <w:tabs>
        <w:tab w:val="left" w:pos="1021"/>
      </w:tabs>
      <w:spacing w:before="60" w:after="60"/>
      <w:ind w:left="1020" w:hanging="340"/>
    </w:pPr>
  </w:style>
  <w:style w:type="paragraph" w:styleId="List4">
    <w:name w:val="List 4"/>
    <w:basedOn w:val="BodyText"/>
    <w:rsid w:val="006C7B27"/>
    <w:pPr>
      <w:tabs>
        <w:tab w:val="left" w:pos="1361"/>
      </w:tabs>
      <w:spacing w:before="60" w:after="60"/>
      <w:ind w:left="1361" w:hanging="340"/>
    </w:pPr>
  </w:style>
  <w:style w:type="paragraph" w:styleId="List5">
    <w:name w:val="List 5"/>
    <w:basedOn w:val="BodyText"/>
    <w:rsid w:val="006C7B27"/>
    <w:pPr>
      <w:tabs>
        <w:tab w:val="left" w:pos="1701"/>
      </w:tabs>
      <w:spacing w:before="60" w:after="60"/>
      <w:ind w:left="1701" w:hanging="340"/>
    </w:pPr>
  </w:style>
  <w:style w:type="paragraph" w:styleId="ListBullet4">
    <w:name w:val="List Bullet 4"/>
    <w:basedOn w:val="List4"/>
    <w:rsid w:val="006C7B27"/>
    <w:pPr>
      <w:numPr>
        <w:numId w:val="4"/>
      </w:numPr>
    </w:pPr>
  </w:style>
  <w:style w:type="paragraph" w:styleId="ListBullet5">
    <w:name w:val="List Bullet 5"/>
    <w:basedOn w:val="List5"/>
    <w:rsid w:val="006C7B27"/>
    <w:pPr>
      <w:numPr>
        <w:numId w:val="5"/>
      </w:numPr>
    </w:pPr>
  </w:style>
  <w:style w:type="paragraph" w:styleId="ListContinue2">
    <w:name w:val="List Continue 2"/>
    <w:basedOn w:val="List2"/>
    <w:rsid w:val="006C7B27"/>
    <w:pPr>
      <w:ind w:firstLine="0"/>
    </w:pPr>
  </w:style>
  <w:style w:type="paragraph" w:styleId="ListContinue3">
    <w:name w:val="List Continue 3"/>
    <w:basedOn w:val="List3"/>
    <w:rsid w:val="006C7B27"/>
    <w:pPr>
      <w:ind w:left="1021" w:firstLine="0"/>
    </w:pPr>
  </w:style>
  <w:style w:type="paragraph" w:styleId="ListContinue4">
    <w:name w:val="List Continue 4"/>
    <w:basedOn w:val="List4"/>
    <w:rsid w:val="006C7B27"/>
    <w:pPr>
      <w:ind w:firstLine="0"/>
    </w:pPr>
  </w:style>
  <w:style w:type="paragraph" w:styleId="ListContinue5">
    <w:name w:val="List Continue 5"/>
    <w:basedOn w:val="List5"/>
    <w:rsid w:val="006C7B27"/>
    <w:pPr>
      <w:ind w:firstLine="0"/>
    </w:pPr>
  </w:style>
  <w:style w:type="paragraph" w:styleId="ListNumber3">
    <w:name w:val="List Number 3"/>
    <w:basedOn w:val="List3"/>
    <w:rsid w:val="006C7B27"/>
    <w:pPr>
      <w:numPr>
        <w:numId w:val="6"/>
      </w:numPr>
    </w:pPr>
  </w:style>
  <w:style w:type="paragraph" w:styleId="ListNumber4">
    <w:name w:val="List Number 4"/>
    <w:basedOn w:val="List4"/>
    <w:rsid w:val="006C7B27"/>
    <w:pPr>
      <w:numPr>
        <w:numId w:val="7"/>
      </w:numPr>
    </w:pPr>
  </w:style>
  <w:style w:type="paragraph" w:styleId="ListNumber5">
    <w:name w:val="List Number 5"/>
    <w:basedOn w:val="List5"/>
    <w:rsid w:val="006C7B27"/>
    <w:pPr>
      <w:numPr>
        <w:numId w:val="8"/>
      </w:numPr>
    </w:pPr>
  </w:style>
  <w:style w:type="paragraph" w:styleId="BlockText">
    <w:name w:val="Block Text"/>
    <w:basedOn w:val="Normal"/>
    <w:rsid w:val="006C7B27"/>
    <w:pPr>
      <w:spacing w:after="120"/>
      <w:ind w:left="1440" w:right="1440"/>
    </w:pPr>
  </w:style>
  <w:style w:type="character" w:customStyle="1" w:styleId="Subscript">
    <w:name w:val="Subscript"/>
    <w:basedOn w:val="DefaultParagraphFont"/>
    <w:rsid w:val="006C7B27"/>
    <w:rPr>
      <w:sz w:val="16"/>
      <w:vertAlign w:val="subscript"/>
    </w:rPr>
  </w:style>
  <w:style w:type="character" w:customStyle="1" w:styleId="Superscript">
    <w:name w:val="Superscript"/>
    <w:basedOn w:val="DefaultParagraphFont"/>
    <w:rsid w:val="006C7B27"/>
    <w:rPr>
      <w:sz w:val="16"/>
      <w:vertAlign w:val="superscript"/>
    </w:rPr>
  </w:style>
  <w:style w:type="character" w:customStyle="1" w:styleId="Symbols">
    <w:name w:val="Symbols"/>
    <w:basedOn w:val="DefaultParagraphFont"/>
    <w:rsid w:val="006C7B27"/>
    <w:rPr>
      <w:rFonts w:ascii="Symbol" w:hAnsi="Symbol"/>
    </w:rPr>
  </w:style>
  <w:style w:type="character" w:customStyle="1" w:styleId="MenuOptions">
    <w:name w:val="Menu Options"/>
    <w:basedOn w:val="DefaultParagraphFont"/>
    <w:rsid w:val="006C7B27"/>
    <w:rPr>
      <w:rFonts w:ascii="Arial Narrow" w:hAnsi="Arial Narrow"/>
      <w:smallCaps/>
    </w:rPr>
  </w:style>
  <w:style w:type="character" w:customStyle="1" w:styleId="Buttons">
    <w:name w:val="Buttons"/>
    <w:basedOn w:val="DefaultParagraphFont"/>
    <w:rsid w:val="006C7B27"/>
    <w:rPr>
      <w:b/>
    </w:rPr>
  </w:style>
  <w:style w:type="character" w:customStyle="1" w:styleId="Underlined">
    <w:name w:val="Underlined"/>
    <w:basedOn w:val="DefaultParagraphFont"/>
    <w:rsid w:val="006C7B27"/>
    <w:rPr>
      <w:u w:val="single"/>
    </w:rPr>
  </w:style>
  <w:style w:type="paragraph" w:customStyle="1" w:styleId="TableBodyTextRight">
    <w:name w:val="Table Body Text Right"/>
    <w:basedOn w:val="TableBodyText"/>
    <w:rsid w:val="006C7B27"/>
    <w:pPr>
      <w:widowControl w:val="0"/>
      <w:autoSpaceDE w:val="0"/>
      <w:autoSpaceDN w:val="0"/>
      <w:adjustRightInd w:val="0"/>
      <w:jc w:val="right"/>
    </w:pPr>
    <w:rPr>
      <w:rFonts w:cs="Arial"/>
      <w:szCs w:val="18"/>
    </w:rPr>
  </w:style>
  <w:style w:type="paragraph" w:customStyle="1" w:styleId="CopyrightText">
    <w:name w:val="Copyright Text"/>
    <w:basedOn w:val="BodyText"/>
    <w:rsid w:val="006C7B27"/>
    <w:rPr>
      <w:sz w:val="18"/>
    </w:rPr>
  </w:style>
  <w:style w:type="paragraph" w:customStyle="1" w:styleId="BodySmallRight">
    <w:name w:val="Body Small Right"/>
    <w:basedOn w:val="BodyTextRight"/>
    <w:rsid w:val="006C7B27"/>
    <w:rPr>
      <w:sz w:val="18"/>
      <w:szCs w:val="18"/>
    </w:rPr>
  </w:style>
  <w:style w:type="paragraph" w:customStyle="1" w:styleId="MarginEdition">
    <w:name w:val="Margin Edition"/>
    <w:basedOn w:val="MarginNote"/>
    <w:rsid w:val="006C7B27"/>
    <w:pPr>
      <w:spacing w:before="0" w:after="0"/>
    </w:pPr>
    <w:rPr>
      <w:rFonts w:ascii="Times New Roman" w:hAnsi="Times New Roman"/>
      <w:color w:val="999999"/>
    </w:rPr>
  </w:style>
  <w:style w:type="paragraph" w:customStyle="1" w:styleId="Spacer">
    <w:name w:val="Spacer"/>
    <w:basedOn w:val="Normal"/>
    <w:rsid w:val="006C7B27"/>
    <w:rPr>
      <w:sz w:val="2"/>
      <w:szCs w:val="2"/>
    </w:rPr>
  </w:style>
  <w:style w:type="character" w:customStyle="1" w:styleId="Small">
    <w:name w:val="Small"/>
    <w:basedOn w:val="DefaultParagraphFont"/>
    <w:rsid w:val="006C7B27"/>
    <w:rPr>
      <w:sz w:val="16"/>
    </w:rPr>
  </w:style>
  <w:style w:type="paragraph" w:customStyle="1" w:styleId="WideTable">
    <w:name w:val="Wide Table"/>
    <w:basedOn w:val="Normal"/>
    <w:rsid w:val="006C7B27"/>
    <w:pPr>
      <w:ind w:left="-1418"/>
    </w:pPr>
    <w:rPr>
      <w:sz w:val="2"/>
      <w:szCs w:val="2"/>
    </w:rPr>
  </w:style>
  <w:style w:type="character" w:styleId="PageNumber">
    <w:name w:val="page number"/>
    <w:basedOn w:val="DefaultParagraphFont"/>
    <w:rsid w:val="006C7B27"/>
  </w:style>
  <w:style w:type="paragraph" w:styleId="Quote">
    <w:name w:val="Quote"/>
    <w:basedOn w:val="Heading1"/>
    <w:link w:val="QuoteChar"/>
    <w:qFormat/>
    <w:rsid w:val="006C7B27"/>
    <w:rPr>
      <w:b w:val="0"/>
      <w:sz w:val="72"/>
      <w:szCs w:val="72"/>
      <w:lang w:val="en-NZ"/>
    </w:rPr>
  </w:style>
  <w:style w:type="character" w:customStyle="1" w:styleId="QuoteChar">
    <w:name w:val="Quote Char"/>
    <w:basedOn w:val="DefaultParagraphFont"/>
    <w:link w:val="Quote"/>
    <w:rsid w:val="006C7B2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C7B27"/>
    <w:pPr>
      <w:pageBreakBefore/>
    </w:pPr>
  </w:style>
  <w:style w:type="paragraph" w:customStyle="1" w:styleId="Border">
    <w:name w:val="Border"/>
    <w:basedOn w:val="Normal"/>
    <w:qFormat/>
    <w:rsid w:val="006C7B2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C7B27"/>
    <w:rPr>
      <w:b/>
      <w:bCs/>
      <w:i/>
      <w:iCs/>
      <w:color w:val="auto"/>
    </w:rPr>
  </w:style>
  <w:style w:type="paragraph" w:styleId="IntenseQuote">
    <w:name w:val="Intense Quote"/>
    <w:basedOn w:val="Normal"/>
    <w:next w:val="Normal"/>
    <w:link w:val="IntenseQuoteChar"/>
    <w:uiPriority w:val="30"/>
    <w:qFormat/>
    <w:rsid w:val="006C7B2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C7B2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C7B27"/>
    <w:rPr>
      <w:smallCaps/>
      <w:color w:val="auto"/>
      <w:u w:val="single"/>
    </w:rPr>
  </w:style>
  <w:style w:type="character" w:styleId="IntenseReference">
    <w:name w:val="Intense Reference"/>
    <w:basedOn w:val="DefaultParagraphFont"/>
    <w:uiPriority w:val="32"/>
    <w:qFormat/>
    <w:rsid w:val="006C7B27"/>
    <w:rPr>
      <w:b/>
      <w:bCs/>
      <w:smallCaps/>
      <w:color w:val="auto"/>
      <w:spacing w:val="5"/>
      <w:u w:val="single"/>
    </w:rPr>
  </w:style>
  <w:style w:type="paragraph" w:customStyle="1" w:styleId="2ColumnHeading">
    <w:name w:val="2Column Heading"/>
    <w:basedOn w:val="BodyText"/>
    <w:qFormat/>
    <w:rsid w:val="006C7B27"/>
    <w:pPr>
      <w:spacing w:after="60"/>
      <w:ind w:left="-2268"/>
    </w:pPr>
    <w:rPr>
      <w:b/>
    </w:rPr>
  </w:style>
  <w:style w:type="paragraph" w:customStyle="1" w:styleId="Heading1TOC">
    <w:name w:val="Heading1 TOC"/>
    <w:basedOn w:val="Normal"/>
    <w:qFormat/>
    <w:rsid w:val="006C7B27"/>
    <w:pPr>
      <w:spacing w:before="240" w:after="120"/>
    </w:pPr>
    <w:rPr>
      <w:rFonts w:ascii="Times New Roman" w:hAnsi="Times New Roman"/>
      <w:b/>
      <w:sz w:val="32"/>
    </w:rPr>
  </w:style>
  <w:style w:type="paragraph" w:customStyle="1" w:styleId="Heading2TOC">
    <w:name w:val="Heading2 TOC"/>
    <w:basedOn w:val="Normal"/>
    <w:qFormat/>
    <w:rsid w:val="006C7B27"/>
    <w:pPr>
      <w:spacing w:before="240" w:after="60"/>
    </w:pPr>
    <w:rPr>
      <w:rFonts w:ascii="Times New Roman" w:hAnsi="Times New Roman"/>
      <w:b/>
      <w:sz w:val="28"/>
    </w:rPr>
  </w:style>
  <w:style w:type="character" w:customStyle="1" w:styleId="Underline">
    <w:name w:val="Underline"/>
    <w:basedOn w:val="DefaultParagraphFont"/>
    <w:qFormat/>
    <w:rsid w:val="006C7B27"/>
    <w:rPr>
      <w:u w:val="single"/>
    </w:rPr>
  </w:style>
  <w:style w:type="paragraph" w:styleId="BalloonText">
    <w:name w:val="Balloon Text"/>
    <w:basedOn w:val="Normal"/>
    <w:link w:val="BalloonTextChar"/>
    <w:rsid w:val="006C7B27"/>
    <w:rPr>
      <w:rFonts w:ascii="Tahoma" w:hAnsi="Tahoma" w:cs="Tahoma"/>
      <w:sz w:val="16"/>
      <w:szCs w:val="16"/>
    </w:rPr>
  </w:style>
  <w:style w:type="character" w:customStyle="1" w:styleId="BalloonTextChar">
    <w:name w:val="Balloon Text Char"/>
    <w:basedOn w:val="DefaultParagraphFont"/>
    <w:link w:val="BalloonText"/>
    <w:rsid w:val="006C7B2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C7B2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C7B2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C7B27"/>
    <w:rPr>
      <w:b/>
      <w:color w:val="660033"/>
      <w:spacing w:val="0"/>
    </w:rPr>
  </w:style>
  <w:style w:type="paragraph" w:customStyle="1" w:styleId="Nameditemlist">
    <w:name w:val="Named item list"/>
    <w:basedOn w:val="BodyText"/>
    <w:qFormat/>
    <w:rsid w:val="006C7B2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1313</Words>
  <Characters>8387</Characters>
  <Application>Microsoft Office Word</Application>
  <DocSecurity>0</DocSecurity>
  <Lines>312</Lines>
  <Paragraphs>167</Paragraphs>
  <ScaleCrop>false</ScaleCrop>
  <Company>Author-it Software Corporation Ltd.</Company>
  <LinksUpToDate>false</LinksUpToDate>
  <CharactersWithSpaces>9627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BSBMKG520A Manage compliance within the marketing legislative framework</dc:title>
  <dc:subject>Approved</dc:subject>
  <dc:creator>Innovation and Business Skills Australia</dc:creator>
  <cp:keywords>Revision Number: 1</cp:keywords>
  <dc:description>Copyright © 1996-2007 Author-it Software Corporation Ltd., all rights reserved.</dc:description>
  <cp:lastModifiedBy>TPCMS</cp:lastModifiedBy>
  <cp:revision>3</cp:revision>
  <dcterms:created xsi:type="dcterms:W3CDTF">2012-10-05T07:36:00Z</dcterms:created>
  <dcterms:modified xsi:type="dcterms:W3CDTF">2012-10-05T07:36:00Z</dcterms:modified>
</cp:coreProperties>
</file>