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62B" w:rsidP="00AB162B">
      <w:pPr>
        <w:pStyle w:val="Title"/>
      </w:pPr>
      <w:r>
        <w:fldChar w:fldCharType="begin"/>
      </w:r>
      <w:r>
        <w:instrText xml:space="preserve"> TITLE   \* MERGEFORMAT </w:instrText>
      </w:r>
      <w:r>
        <w:fldChar w:fldCharType="separate"/>
      </w:r>
      <w:r>
        <w:t>BSBLEG417A Apply the principles of evidence law</w:t>
      </w:r>
      <w:r>
        <w:fldChar w:fldCharType="end"/>
      </w:r>
    </w:p>
    <w:p w:rsidR="00AB162B" w:rsidP="00AB162B">
      <w:pPr>
        <w:pStyle w:val="Version"/>
        <w:sectPr w:rsidSect="00DB7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7B7F" w:rsidP="00DB7B7F">
      <w:pPr>
        <w:pStyle w:val="SuperHeading"/>
      </w:pPr>
      <w:r w:rsidRPr="00DB7B7F">
        <w:t>BSBLEG417A Apply the principles of evidence law</w:t>
      </w:r>
    </w:p>
    <w:p w:rsidR="00000000" w:rsidRPr="00DB7B7F" w:rsidP="00DB7B7F">
      <w:pPr>
        <w:pStyle w:val="SuperHeading"/>
      </w:pPr>
    </w:p>
    <w:p w:rsidR="00000000" w:rsidRPr="00DB7B7F" w:rsidP="00DB7B7F">
      <w:pPr>
        <w:pStyle w:val="Heading1"/>
      </w:pPr>
      <w:bookmarkStart w:id="1" w:name="O_65511"/>
      <w:bookmarkEnd w:id="1"/>
      <w:r w:rsidRPr="00DB7B7F">
        <w:t>Modification History</w:t>
      </w:r>
    </w:p>
    <w:p w:rsidR="00000000" w:rsidRPr="00DB7B7F" w:rsidP="00DB7B7F">
      <w:pPr>
        <w:pStyle w:val="BodyText"/>
      </w:pPr>
      <w:r w:rsidRPr="00DB7B7F">
        <w:t>Not applicable.</w:t>
      </w:r>
    </w:p>
    <w:p w:rsidR="00000000" w:rsidRPr="00DB7B7F" w:rsidP="00DB7B7F">
      <w:pPr>
        <w:pStyle w:val="AllowPageBreak"/>
      </w:pPr>
    </w:p>
    <w:p w:rsidR="00000000" w:rsidRPr="00DB7B7F" w:rsidP="00DB7B7F">
      <w:pPr>
        <w:pStyle w:val="Heading1"/>
      </w:pPr>
      <w:bookmarkStart w:id="2" w:name="O_65512"/>
      <w:bookmarkEnd w:id="2"/>
      <w:r w:rsidRPr="00DB7B7F">
        <w:t>Unit Descriptor</w:t>
      </w:r>
    </w:p>
    <w:tbl>
      <w:tblPr>
        <w:tblW w:w="0" w:type="auto"/>
        <w:tblLayout w:type="fixed"/>
        <w:tblCellMar>
          <w:left w:w="62" w:type="dxa"/>
          <w:right w:w="62" w:type="dxa"/>
        </w:tblCellMar>
        <w:tblLook w:val="0000"/>
      </w:tblPr>
      <w:tblGrid>
        <w:gridCol w:w="2659"/>
        <w:gridCol w:w="5863"/>
      </w:tblGrid>
      <w:tr w:rsidTr="00AB162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This unit describes the performance outcomes, skills and knowledge required to assess issues associated wit</w:t>
            </w:r>
            <w:r w:rsidRPr="00DB7B7F">
              <w:t>h evidence law in a legal environment.</w:t>
            </w:r>
          </w:p>
          <w:p w:rsidR="00000000" w:rsidRPr="00DB7B7F" w:rsidP="00DB7B7F">
            <w:pPr>
              <w:pStyle w:val="BodyText"/>
            </w:pPr>
            <w:r w:rsidRPr="00DB7B7F">
              <w:t>A range of legislation, rules, regulations and codes of practice may apply to this unit at the time of endorsement, depending on job roles and jurisdictions.</w:t>
            </w: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3" w:name="O_65513"/>
      <w:bookmarkEnd w:id="3"/>
      <w:r w:rsidRPr="00DB7B7F">
        <w:t>Application of the Unit</w:t>
      </w:r>
    </w:p>
    <w:tbl>
      <w:tblPr>
        <w:tblW w:w="0" w:type="auto"/>
        <w:tblLayout w:type="fixed"/>
        <w:tblCellMar>
          <w:left w:w="62" w:type="dxa"/>
          <w:right w:w="62" w:type="dxa"/>
        </w:tblCellMar>
        <w:tblLook w:val="0000"/>
      </w:tblPr>
      <w:tblGrid>
        <w:gridCol w:w="2755"/>
        <w:gridCol w:w="5767"/>
      </w:tblGrid>
      <w:tr w:rsidTr="00AB162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This unit applies to individuals who apply knowledge of a range of principles in evidence law. Its application in the workplace will be determined by the job role of the individual and the legislation, rules, regulations and codes o</w:t>
            </w:r>
            <w:r w:rsidRPr="00DB7B7F">
              <w:t>f practice relevant to different jurisdictions.</w:t>
            </w: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4" w:name="O_65514"/>
      <w:bookmarkEnd w:id="4"/>
      <w:r w:rsidRPr="00DB7B7F">
        <w:t>Licensing/Regulatory Information</w:t>
      </w:r>
    </w:p>
    <w:p w:rsidR="00000000" w:rsidRPr="00DB7B7F" w:rsidP="00DB7B7F">
      <w:pPr>
        <w:pStyle w:val="BodyText"/>
      </w:pPr>
      <w:r w:rsidRPr="00DB7B7F">
        <w:t>Not applicable.</w:t>
      </w:r>
    </w:p>
    <w:p w:rsidR="00000000" w:rsidRPr="00DB7B7F" w:rsidP="00DB7B7F">
      <w:pPr>
        <w:pStyle w:val="AllowPageBreak"/>
      </w:pPr>
    </w:p>
    <w:p w:rsidR="00000000" w:rsidRPr="00DB7B7F" w:rsidP="00DB7B7F">
      <w:pPr>
        <w:pStyle w:val="Heading1"/>
      </w:pPr>
      <w:bookmarkStart w:id="5" w:name="O_65516"/>
      <w:bookmarkEnd w:id="5"/>
      <w:r w:rsidRPr="00DB7B7F">
        <w:t>Pre-Requisites</w:t>
      </w:r>
    </w:p>
    <w:tbl>
      <w:tblPr>
        <w:tblW w:w="0" w:type="auto"/>
        <w:tblLayout w:type="fixed"/>
        <w:tblCellMar>
          <w:left w:w="62" w:type="dxa"/>
          <w:right w:w="62" w:type="dxa"/>
        </w:tblCellMar>
        <w:tblLook w:val="0000"/>
      </w:tblPr>
      <w:tblGrid>
        <w:gridCol w:w="2775"/>
        <w:gridCol w:w="1295"/>
        <w:gridCol w:w="4452"/>
      </w:tblGrid>
      <w:tr w:rsidTr="00AB16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p>
        </w:tc>
      </w:tr>
      <w:tr w:rsidTr="00AB16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p>
        </w:tc>
      </w:tr>
      <w:tr w:rsidTr="00AB16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6" w:name="O_65515"/>
      <w:bookmarkEnd w:id="6"/>
      <w:r w:rsidRPr="00DB7B7F">
        <w:t>Employability Skills Information</w:t>
      </w:r>
    </w:p>
    <w:tbl>
      <w:tblPr>
        <w:tblW w:w="0" w:type="auto"/>
        <w:tblLayout w:type="fixed"/>
        <w:tblCellMar>
          <w:left w:w="62" w:type="dxa"/>
          <w:right w:w="62" w:type="dxa"/>
        </w:tblCellMar>
        <w:tblLook w:val="0000"/>
      </w:tblPr>
      <w:tblGrid>
        <w:gridCol w:w="2802"/>
        <w:gridCol w:w="5720"/>
      </w:tblGrid>
      <w:tr w:rsidTr="00AB16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This unit contains employability skills.</w:t>
            </w: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7" w:name="O_65517"/>
      <w:bookmarkEnd w:id="7"/>
      <w:r w:rsidRPr="00DB7B7F">
        <w:t>Elements and Performance Criteria Pre-Content</w:t>
      </w:r>
    </w:p>
    <w:tbl>
      <w:tblPr>
        <w:tblW w:w="0" w:type="auto"/>
        <w:tblLayout w:type="fixed"/>
        <w:tblCellMar>
          <w:left w:w="62" w:type="dxa"/>
          <w:right w:w="62" w:type="dxa"/>
        </w:tblCellMar>
        <w:tblLook w:val="0000"/>
      </w:tblPr>
      <w:tblGrid>
        <w:gridCol w:w="2571"/>
        <w:gridCol w:w="5951"/>
      </w:tblGrid>
      <w:tr w:rsidTr="00AB16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Performance criteria describe the performance needed to demonstrate achievement of the element. Where bold italicised text is used, further information is detailed in the required skills and knowledge section and the range statement. Assessment of performa</w:t>
            </w:r>
            <w:r w:rsidRPr="00DB7B7F">
              <w:t>nce is to be consistent with the evidence guide.</w:t>
            </w: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8" w:name="O_65518"/>
      <w:bookmarkEnd w:id="8"/>
      <w:r w:rsidRPr="00DB7B7F">
        <w:t>Elements and Performance Criteria</w:t>
      </w:r>
    </w:p>
    <w:tbl>
      <w:tblPr>
        <w:tblW w:w="0" w:type="auto"/>
        <w:tblLayout w:type="fixed"/>
        <w:tblCellMar>
          <w:left w:w="62" w:type="dxa"/>
          <w:right w:w="62" w:type="dxa"/>
        </w:tblCellMar>
        <w:tblLook w:val="0000"/>
      </w:tblPr>
      <w:tblGrid>
        <w:gridCol w:w="2571"/>
        <w:gridCol w:w="5951"/>
      </w:tblGrid>
      <w:tr w:rsidTr="00AB162B">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PERFORMANCE CRITERIA</w:t>
            </w:r>
          </w:p>
        </w:tc>
      </w:tr>
      <w:tr w:rsidTr="00AB16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List"/>
              <w:rPr>
                <w:lang w:val="en-NZ"/>
              </w:rPr>
            </w:pPr>
            <w:r w:rsidRPr="00DB7B7F">
              <w:t>1.</w:t>
            </w:r>
            <w:r w:rsidRPr="00DB7B7F">
              <w:tab/>
              <w:t>Define nature and meaning of evidence law</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2"/>
            </w:pPr>
            <w:r w:rsidRPr="00DB7B7F">
              <w:t>1.1.</w:t>
            </w:r>
            <w:r w:rsidRPr="00DB7B7F">
              <w:tab/>
              <w:t xml:space="preserve">Access </w:t>
            </w:r>
            <w:r w:rsidRPr="00DB7B7F">
              <w:rPr>
                <w:rStyle w:val="BoldandItalics"/>
              </w:rPr>
              <w:t>sources of legal information</w:t>
            </w:r>
            <w:r w:rsidRPr="00DB7B7F">
              <w:t xml:space="preserve"> on nature and meaning of evidence law</w:t>
            </w:r>
          </w:p>
          <w:p w:rsidR="00000000" w:rsidRPr="00DB7B7F" w:rsidP="00DB7B7F">
            <w:pPr>
              <w:pStyle w:val="List2"/>
            </w:pPr>
            <w:r w:rsidRPr="00DB7B7F">
              <w:t>1.2.</w:t>
            </w:r>
            <w:r w:rsidRPr="00DB7B7F">
              <w:tab/>
              <w:t>Distinguish between case law and legislation related to evidence</w:t>
            </w:r>
          </w:p>
          <w:p w:rsidR="00000000" w:rsidP="00DB7B7F">
            <w:pPr>
              <w:pStyle w:val="List2"/>
              <w:rPr>
                <w:lang w:val="en-NZ"/>
              </w:rPr>
            </w:pPr>
            <w:r w:rsidRPr="00DB7B7F">
              <w:t>1.3.</w:t>
            </w:r>
            <w:r w:rsidRPr="00DB7B7F">
              <w:tab/>
              <w:t xml:space="preserve">Assess the significance of evidence law in </w:t>
            </w:r>
            <w:r w:rsidRPr="00DB7B7F">
              <w:rPr>
                <w:rStyle w:val="BoldandItalics"/>
              </w:rPr>
              <w:t>various contexts</w:t>
            </w:r>
            <w:r w:rsidRPr="00DB7B7F">
              <w:t xml:space="preserve"> in a legal environment</w:t>
            </w:r>
          </w:p>
        </w:tc>
      </w:tr>
      <w:tr w:rsidTr="00AB16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List"/>
              <w:rPr>
                <w:lang w:val="en-NZ"/>
              </w:rPr>
            </w:pPr>
            <w:r w:rsidRPr="00DB7B7F">
              <w:t>2.</w:t>
            </w:r>
            <w:r w:rsidRPr="00DB7B7F">
              <w:tab/>
              <w:t>Identify principles of evidence law</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2"/>
            </w:pPr>
            <w:r w:rsidRPr="00DB7B7F">
              <w:t>2.1.</w:t>
            </w:r>
            <w:r w:rsidRPr="00DB7B7F">
              <w:tab/>
              <w:t>Define and document legal principles governing eviden</w:t>
            </w:r>
            <w:r w:rsidRPr="00DB7B7F">
              <w:t xml:space="preserve">ce </w:t>
            </w:r>
          </w:p>
          <w:p w:rsidR="00000000" w:rsidP="00DB7B7F">
            <w:pPr>
              <w:pStyle w:val="List2"/>
              <w:rPr>
                <w:lang w:val="en-NZ"/>
              </w:rPr>
            </w:pPr>
            <w:r w:rsidRPr="00DB7B7F">
              <w:t>2.2.</w:t>
            </w:r>
            <w:r w:rsidRPr="00DB7B7F">
              <w:tab/>
              <w:t>Determine key concepts underpinning evidence law</w:t>
            </w:r>
          </w:p>
        </w:tc>
      </w:tr>
      <w:tr w:rsidTr="00AB16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List"/>
              <w:rPr>
                <w:lang w:val="en-NZ"/>
              </w:rPr>
            </w:pPr>
            <w:r w:rsidRPr="00DB7B7F">
              <w:t>3.</w:t>
            </w:r>
            <w:r w:rsidRPr="00DB7B7F">
              <w:tab/>
              <w:t>Enhance professional practice through application of relevant principles of evidence law</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2"/>
            </w:pPr>
            <w:r w:rsidRPr="00DB7B7F">
              <w:t>3.1.</w:t>
            </w:r>
            <w:r w:rsidRPr="00DB7B7F">
              <w:tab/>
              <w:t>Apply the principles of evidence to relevant legal matters arising in the workplace</w:t>
            </w:r>
          </w:p>
          <w:p w:rsidR="00000000" w:rsidRPr="00DB7B7F" w:rsidP="00DB7B7F">
            <w:pPr>
              <w:pStyle w:val="List2"/>
            </w:pPr>
            <w:r w:rsidRPr="00DB7B7F">
              <w:t>3.2.</w:t>
            </w:r>
            <w:r w:rsidRPr="00DB7B7F">
              <w:tab/>
              <w:t>Analyse and</w:t>
            </w:r>
            <w:r w:rsidRPr="00DB7B7F">
              <w:t xml:space="preserve"> evaluate key issues</w:t>
            </w:r>
          </w:p>
          <w:p w:rsidR="00000000" w:rsidP="00DB7B7F">
            <w:pPr>
              <w:pStyle w:val="List2"/>
              <w:rPr>
                <w:lang w:val="en-NZ"/>
              </w:rPr>
            </w:pPr>
            <w:r w:rsidRPr="00DB7B7F">
              <w:t>3.3.</w:t>
            </w:r>
            <w:r w:rsidRPr="00DB7B7F">
              <w:tab/>
              <w:t xml:space="preserve">Review analysis with </w:t>
            </w:r>
            <w:r w:rsidRPr="00DB7B7F">
              <w:rPr>
                <w:rStyle w:val="BoldandItalics"/>
              </w:rPr>
              <w:t>designated person</w:t>
            </w:r>
          </w:p>
        </w:tc>
      </w:tr>
      <w:tr w:rsidTr="00AB162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List"/>
              <w:rPr>
                <w:lang w:val="en-NZ"/>
              </w:rPr>
            </w:pPr>
            <w:r w:rsidRPr="00DB7B7F">
              <w:t>4.</w:t>
            </w:r>
            <w:r w:rsidRPr="00DB7B7F">
              <w:tab/>
              <w:t>Identify relevant and admissible evidence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2"/>
            </w:pPr>
            <w:r w:rsidRPr="00DB7B7F">
              <w:t>4.1.</w:t>
            </w:r>
            <w:r w:rsidRPr="00DB7B7F">
              <w:tab/>
              <w:t>Distinguish relevant and admissible evidence in the context of a legal matter</w:t>
            </w:r>
          </w:p>
          <w:p w:rsidR="00000000" w:rsidRPr="00DB7B7F" w:rsidP="00DB7B7F">
            <w:pPr>
              <w:pStyle w:val="List2"/>
            </w:pPr>
            <w:r w:rsidRPr="00DB7B7F">
              <w:t>4.2.</w:t>
            </w:r>
            <w:r w:rsidRPr="00DB7B7F">
              <w:tab/>
            </w:r>
            <w:r w:rsidRPr="00DB7B7F">
              <w:t>Identify consequence of evidence not being relevant and/or admissible</w:t>
            </w:r>
          </w:p>
        </w:tc>
      </w:tr>
    </w:tbl>
    <w:p w:rsidR="00000000" w:rsidRPr="00DB7B7F" w:rsidP="00DB7B7F">
      <w:pPr>
        <w:pStyle w:val="BodyText"/>
      </w:pPr>
    </w:p>
    <w:p w:rsidR="00AB162B" w:rsidP="00DB7B7F">
      <w:pPr>
        <w:pStyle w:val="List"/>
      </w:pPr>
      <w:r w:rsidRPr="00DB7B7F">
        <w:t>I</w:t>
      </w:r>
    </w:p>
    <w:p w:rsidR="00AB162B" w:rsidP="00DB7B7F">
      <w:pPr>
        <w:pStyle w:val="List"/>
      </w:pPr>
    </w:p>
    <w:p w:rsidR="00000000" w:rsidRPr="00DB7B7F" w:rsidP="00DB7B7F">
      <w:pPr>
        <w:pStyle w:val="Heading1"/>
      </w:pPr>
      <w:bookmarkStart w:id="9" w:name="O_65519"/>
      <w:bookmarkEnd w:id="9"/>
      <w:r w:rsidRPr="00DB7B7F">
        <w:t>Required Skills and Knowledge</w:t>
      </w:r>
    </w:p>
    <w:tbl>
      <w:tblPr>
        <w:tblW w:w="0" w:type="auto"/>
        <w:tblLayout w:type="fixed"/>
        <w:tblCellMar>
          <w:left w:w="62" w:type="dxa"/>
          <w:right w:w="62" w:type="dxa"/>
        </w:tblCellMar>
        <w:tblLook w:val="0000"/>
      </w:tblPr>
      <w:tblGrid>
        <w:gridCol w:w="8522"/>
      </w:tblGrid>
      <w:tr w:rsidTr="00AB16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REQUIRED SKILLS AND KNOWLEDGE</w:t>
            </w:r>
          </w:p>
        </w:tc>
      </w:tr>
      <w:tr w:rsidTr="00AB16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t>This section describes the skills and knowledge required for this unit.</w:t>
            </w:r>
          </w:p>
        </w:tc>
      </w:tr>
      <w:tr w:rsidTr="00AB1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Required skills</w:t>
            </w:r>
          </w:p>
        </w:tc>
      </w:tr>
      <w:tr w:rsidTr="00AB1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Bullet"/>
            </w:pPr>
            <w:r w:rsidRPr="00DB7B7F">
              <w:t>literacy skills to read and interpret written material</w:t>
            </w:r>
          </w:p>
          <w:p w:rsidR="00000000" w:rsidRPr="00DB7B7F" w:rsidP="00DB7B7F">
            <w:pPr>
              <w:pStyle w:val="ListBullet"/>
            </w:pPr>
            <w:r w:rsidRPr="00DB7B7F">
              <w:t>research and data collection skills to identify:</w:t>
            </w:r>
          </w:p>
          <w:p w:rsidR="00000000" w:rsidRPr="00DB7B7F" w:rsidP="00DB7B7F">
            <w:pPr>
              <w:pStyle w:val="ListBullet2"/>
            </w:pPr>
            <w:r w:rsidRPr="00DB7B7F">
              <w:t>characteristics, similarities and differences of Australian institutions</w:t>
            </w:r>
          </w:p>
          <w:p w:rsidR="00000000" w:rsidRPr="00DB7B7F" w:rsidP="00DB7B7F">
            <w:pPr>
              <w:pStyle w:val="ListBullet2"/>
            </w:pPr>
            <w:r w:rsidRPr="00DB7B7F">
              <w:t>types of proceedings and trial procedures</w:t>
            </w:r>
          </w:p>
          <w:p w:rsidR="00000000" w:rsidP="00DB7B7F">
            <w:pPr>
              <w:pStyle w:val="ListBullet"/>
              <w:rPr>
                <w:lang w:val="en-NZ"/>
              </w:rPr>
            </w:pPr>
            <w:r w:rsidRPr="00DB7B7F">
              <w:t>analytical skills to investigate and compare legal institutions and legal matters</w:t>
            </w:r>
          </w:p>
        </w:tc>
      </w:tr>
      <w:tr w:rsidTr="00AB1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Required knowledge</w:t>
            </w:r>
          </w:p>
        </w:tc>
      </w:tr>
      <w:tr w:rsidTr="00AB16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Bullet"/>
            </w:pPr>
            <w:r w:rsidRPr="00DB7B7F">
              <w:t>commonly used legal terminology, institutions and main features of the Australian legal system</w:t>
            </w:r>
          </w:p>
          <w:p w:rsidR="00000000" w:rsidRPr="00DB7B7F" w:rsidP="00DB7B7F">
            <w:pPr>
              <w:pStyle w:val="ListBullet"/>
            </w:pPr>
            <w:r w:rsidRPr="00DB7B7F">
              <w:t>methods used to identify appropriate information about sources of Australian law</w:t>
            </w:r>
          </w:p>
          <w:p w:rsidR="00000000" w:rsidRPr="00DB7B7F" w:rsidP="00DB7B7F">
            <w:pPr>
              <w:pStyle w:val="ListBullet"/>
            </w:pPr>
            <w:r w:rsidRPr="00DB7B7F">
              <w:t>nature and meaning of evidence law, including:</w:t>
            </w:r>
          </w:p>
          <w:p w:rsidR="00000000" w:rsidRPr="00DB7B7F" w:rsidP="00DB7B7F">
            <w:pPr>
              <w:pStyle w:val="ListBullet2"/>
            </w:pPr>
            <w:r w:rsidRPr="00DB7B7F">
              <w:t>standard and burden of proof</w:t>
            </w:r>
          </w:p>
          <w:p w:rsidR="00000000" w:rsidRPr="00DB7B7F" w:rsidP="00DB7B7F">
            <w:pPr>
              <w:pStyle w:val="ListBullet2"/>
            </w:pPr>
            <w:r w:rsidRPr="00DB7B7F">
              <w:t>relevance of evidence</w:t>
            </w:r>
          </w:p>
          <w:p w:rsidR="00000000" w:rsidRPr="00DB7B7F" w:rsidP="00DB7B7F">
            <w:pPr>
              <w:pStyle w:val="ListBullet2"/>
            </w:pPr>
            <w:r w:rsidRPr="00DB7B7F">
              <w:t>hearsay evidence</w:t>
            </w:r>
          </w:p>
          <w:p w:rsidR="00000000" w:rsidRPr="00DB7B7F" w:rsidP="00DB7B7F">
            <w:pPr>
              <w:pStyle w:val="ListBullet2"/>
            </w:pPr>
            <w:r w:rsidRPr="00DB7B7F">
              <w:t>competence and compellability of witnesses</w:t>
            </w:r>
          </w:p>
          <w:p w:rsidR="00000000" w:rsidRPr="00DB7B7F" w:rsidP="00DB7B7F">
            <w:pPr>
              <w:pStyle w:val="ListBullet2"/>
            </w:pPr>
            <w:r w:rsidRPr="00DB7B7F">
              <w:t>opinion evidence</w:t>
            </w:r>
          </w:p>
          <w:p w:rsidR="00000000" w:rsidRPr="00DB7B7F" w:rsidP="00DB7B7F">
            <w:pPr>
              <w:pStyle w:val="ListBullet2"/>
            </w:pPr>
            <w:r w:rsidRPr="00DB7B7F">
              <w:t>evidence of character</w:t>
            </w: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10" w:name="O_65520"/>
      <w:bookmarkEnd w:id="10"/>
      <w:r w:rsidRPr="00DB7B7F">
        <w:t>Evidence Guide</w:t>
      </w:r>
    </w:p>
    <w:tbl>
      <w:tblPr>
        <w:tblW w:w="9570" w:type="dxa"/>
        <w:tblLayout w:type="fixed"/>
        <w:tblCellMar>
          <w:left w:w="62" w:type="dxa"/>
          <w:right w:w="62" w:type="dxa"/>
        </w:tblCellMar>
        <w:tblLook w:val="0000"/>
      </w:tblPr>
      <w:tblGrid>
        <w:gridCol w:w="2808"/>
        <w:gridCol w:w="6762"/>
      </w:tblGrid>
      <w:tr w:rsidTr="00AB16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EVIDENCE GUIDE</w:t>
            </w:r>
          </w:p>
        </w:tc>
      </w:tr>
      <w:tr w:rsidTr="00AB16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t>The Evidence Guide provides advice on assessment and must be read in conjunction with the performance criteria, required skills and knowledge, range statemen</w:t>
            </w:r>
            <w:r w:rsidRPr="00DB7B7F">
              <w:t>t and the Assessment Guidelines for the Training Package.</w:t>
            </w:r>
          </w:p>
        </w:tc>
      </w:tr>
      <w:tr w:rsidTr="00AB16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p>
        </w:tc>
      </w:tr>
      <w:tr w:rsidTr="00AB16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Evidence of the ability to:</w:t>
            </w:r>
          </w:p>
          <w:p w:rsidR="00000000" w:rsidRPr="00DB7B7F" w:rsidP="00DB7B7F">
            <w:pPr>
              <w:pStyle w:val="ListBullet"/>
            </w:pPr>
            <w:r w:rsidRPr="00DB7B7F">
              <w:t>demonstrate knowledge of the principles of eviden</w:t>
            </w:r>
            <w:r w:rsidRPr="00DB7B7F">
              <w:t>ce law</w:t>
            </w:r>
          </w:p>
          <w:p w:rsidR="00000000" w:rsidRPr="00DB7B7F" w:rsidP="00DB7B7F">
            <w:pPr>
              <w:pStyle w:val="ListBullet"/>
            </w:pPr>
            <w:r w:rsidRPr="00DB7B7F">
              <w:t>apply the principles of evidence law</w:t>
            </w:r>
          </w:p>
          <w:p w:rsidR="00000000" w:rsidP="00DB7B7F">
            <w:pPr>
              <w:pStyle w:val="ListBullet"/>
              <w:rPr>
                <w:lang w:val="en-NZ"/>
              </w:rPr>
            </w:pPr>
            <w:r w:rsidRPr="00DB7B7F">
              <w:t>demonstrate knowledge of the application of admissible law in a range of contexts.</w:t>
            </w:r>
          </w:p>
        </w:tc>
      </w:tr>
      <w:tr w:rsidTr="00AB16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Assessment must ensure access to:</w:t>
            </w:r>
          </w:p>
          <w:p w:rsidR="00000000" w:rsidRPr="00DB7B7F" w:rsidP="00DB7B7F">
            <w:pPr>
              <w:pStyle w:val="ListBullet"/>
            </w:pPr>
            <w:r w:rsidRPr="00DB7B7F">
              <w:t>legislation, regulations and case law relevant to evidence law</w:t>
            </w:r>
          </w:p>
          <w:p w:rsidR="00000000" w:rsidRPr="00DB7B7F" w:rsidP="00DB7B7F">
            <w:pPr>
              <w:pStyle w:val="ListBullet"/>
            </w:pPr>
            <w:r w:rsidRPr="00DB7B7F">
              <w:t>texts and background sources of information on evidence law in Australia</w:t>
            </w:r>
          </w:p>
          <w:p w:rsidR="00000000" w:rsidRPr="00DB7B7F" w:rsidP="00DB7B7F">
            <w:pPr>
              <w:pStyle w:val="ListBullet"/>
            </w:pPr>
            <w:r w:rsidRPr="00DB7B7F">
              <w:t xml:space="preserve">case studies involving a range of evidence law matters </w:t>
            </w:r>
          </w:p>
          <w:p w:rsidR="00000000" w:rsidP="00DB7B7F">
            <w:pPr>
              <w:pStyle w:val="ListBullet"/>
              <w:rPr>
                <w:lang w:val="en-NZ"/>
              </w:rPr>
            </w:pPr>
            <w:r w:rsidRPr="00DB7B7F">
              <w:t xml:space="preserve">personnel with knowledge of evidence law. </w:t>
            </w:r>
          </w:p>
        </w:tc>
      </w:tr>
      <w:tr w:rsidTr="00AB16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 xml:space="preserve">A range of assessment methods should be used to assess practical skills and knowledge. The following examples are appropriate for this unit: </w:t>
            </w:r>
          </w:p>
          <w:p w:rsidR="00000000" w:rsidRPr="00DB7B7F" w:rsidP="00DB7B7F">
            <w:pPr>
              <w:pStyle w:val="ListBullet"/>
            </w:pPr>
            <w:r w:rsidRPr="00DB7B7F">
              <w:t>analysis of responses to case studies and scenarios in a range of contexts involving evidence law</w:t>
            </w:r>
          </w:p>
          <w:p w:rsidR="00000000" w:rsidRPr="00DB7B7F" w:rsidP="00DB7B7F">
            <w:pPr>
              <w:pStyle w:val="ListBullet"/>
            </w:pPr>
            <w:r w:rsidRPr="00DB7B7F">
              <w:t>tests of knowl</w:t>
            </w:r>
            <w:r w:rsidRPr="00DB7B7F">
              <w:t>edge of relevant legislation, rules, regulations and research sources</w:t>
            </w:r>
          </w:p>
          <w:p w:rsidR="00000000" w:rsidRPr="00DB7B7F" w:rsidP="00DB7B7F">
            <w:pPr>
              <w:pStyle w:val="ListBullet"/>
            </w:pPr>
            <w:r w:rsidRPr="00DB7B7F">
              <w:t>direct questioning combined with portfolios of evidence</w:t>
            </w:r>
          </w:p>
          <w:p w:rsidR="00000000" w:rsidP="00DB7B7F">
            <w:pPr>
              <w:pStyle w:val="ListBullet"/>
              <w:rPr>
                <w:lang w:val="en-NZ"/>
              </w:rPr>
            </w:pPr>
            <w:r w:rsidRPr="00DB7B7F">
              <w:t>review of authenticated documents from the workplace.</w:t>
            </w:r>
          </w:p>
        </w:tc>
      </w:tr>
      <w:tr w:rsidTr="00AB162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Holistic assessment with other units relevant to the industry sector, workplace and job role is recommended.</w:t>
            </w: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11" w:name="O_65521"/>
      <w:bookmarkEnd w:id="11"/>
      <w:r w:rsidRPr="00DB7B7F">
        <w:t>Range Statement</w:t>
      </w:r>
    </w:p>
    <w:tbl>
      <w:tblPr>
        <w:tblW w:w="0" w:type="auto"/>
        <w:tblLayout w:type="fixed"/>
        <w:tblCellMar>
          <w:left w:w="62" w:type="dxa"/>
          <w:right w:w="62" w:type="dxa"/>
        </w:tblCellMar>
        <w:tblLook w:val="0000"/>
      </w:tblPr>
      <w:tblGrid>
        <w:gridCol w:w="2658"/>
        <w:gridCol w:w="5864"/>
      </w:tblGrid>
      <w:tr w:rsidTr="00AB16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RANGE STATEMENT</w:t>
            </w:r>
          </w:p>
        </w:tc>
      </w:tr>
      <w:tr w:rsidTr="00AB16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t>The range statement relates to the unit of competency as a whole. It allows for different work environments and situations that may affect performance. Bold italicised wording, if used in the performance criteria, is detailed below. Essential operating con</w:t>
            </w:r>
            <w:r w:rsidRPr="00DB7B7F">
              <w:t>ditions that may be present with training and assessment (depending on the work situation, needs of the candidate, accessibility of the item, and local industry and regional contexts) may also be included.</w:t>
            </w:r>
          </w:p>
        </w:tc>
      </w:tr>
      <w:tr w:rsidTr="00AB162B">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BoldandItalics"/>
              </w:rPr>
              <w:t>Sources of legal information</w:t>
            </w:r>
            <w:r w:rsidRPr="00DB7B7F">
              <w:t xml:space="preserve"> may include:</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Bullet"/>
            </w:pPr>
            <w:r w:rsidRPr="00DB7B7F">
              <w:t>court library</w:t>
            </w:r>
          </w:p>
          <w:p w:rsidR="00000000" w:rsidRPr="00DB7B7F" w:rsidP="00DB7B7F">
            <w:pPr>
              <w:pStyle w:val="ListBullet"/>
            </w:pPr>
            <w:r w:rsidRPr="00DB7B7F">
              <w:t>online information services and websites</w:t>
            </w:r>
          </w:p>
          <w:p w:rsidR="00000000" w:rsidRPr="00DB7B7F" w:rsidP="00DB7B7F">
            <w:pPr>
              <w:pStyle w:val="ListBullet"/>
            </w:pPr>
            <w:r w:rsidRPr="00DB7B7F">
              <w:t xml:space="preserve">organisation's library </w:t>
            </w:r>
          </w:p>
          <w:p w:rsidR="00000000" w:rsidRPr="00DB7B7F" w:rsidP="00DB7B7F">
            <w:pPr>
              <w:pStyle w:val="ListBullet"/>
            </w:pPr>
            <w:r w:rsidRPr="00DB7B7F">
              <w:t>precedent bank</w:t>
            </w:r>
          </w:p>
          <w:p w:rsidR="00000000" w:rsidP="00DB7B7F">
            <w:pPr>
              <w:pStyle w:val="ListBullet"/>
              <w:rPr>
                <w:lang w:val="en-NZ"/>
              </w:rPr>
            </w:pPr>
            <w:r w:rsidRPr="00DB7B7F">
              <w:t>specialist texts.</w:t>
            </w:r>
          </w:p>
        </w:tc>
      </w:tr>
      <w:tr w:rsidTr="00AB162B">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BoldandItalics"/>
              </w:rPr>
              <w:t>Various contexts</w:t>
            </w:r>
            <w:r w:rsidRPr="00DB7B7F">
              <w:t xml:space="preserve"> may include:</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Bullet"/>
            </w:pPr>
            <w:r w:rsidRPr="00DB7B7F">
              <w:t>civil disputes</w:t>
            </w:r>
          </w:p>
          <w:p w:rsidR="00000000" w:rsidRPr="00DB7B7F" w:rsidP="00DB7B7F">
            <w:pPr>
              <w:pStyle w:val="ListBullet"/>
            </w:pPr>
            <w:r w:rsidRPr="00DB7B7F">
              <w:t>criminal liability</w:t>
            </w:r>
          </w:p>
          <w:p w:rsidR="00000000" w:rsidRPr="00DB7B7F" w:rsidP="00DB7B7F">
            <w:pPr>
              <w:pStyle w:val="ListBullet"/>
            </w:pPr>
            <w:r w:rsidRPr="00DB7B7F">
              <w:t>examination of witnesses</w:t>
            </w:r>
          </w:p>
          <w:p w:rsidR="00000000" w:rsidRPr="00DB7B7F" w:rsidP="00DB7B7F">
            <w:pPr>
              <w:pStyle w:val="ListBullet"/>
            </w:pPr>
            <w:r w:rsidRPr="00DB7B7F">
              <w:t>insurance disputes</w:t>
            </w:r>
          </w:p>
          <w:p w:rsidR="00000000" w:rsidRPr="00DB7B7F" w:rsidP="00DB7B7F">
            <w:pPr>
              <w:pStyle w:val="ListBullet"/>
            </w:pPr>
            <w:r w:rsidRPr="00DB7B7F">
              <w:t>preparation for civil trial</w:t>
            </w:r>
          </w:p>
          <w:p w:rsidR="00000000" w:rsidP="00DB7B7F">
            <w:pPr>
              <w:pStyle w:val="ListBullet"/>
              <w:rPr>
                <w:lang w:val="en-NZ"/>
              </w:rPr>
            </w:pPr>
            <w:r w:rsidRPr="00DB7B7F">
              <w:t>preparation for criminal trial.</w:t>
            </w:r>
          </w:p>
        </w:tc>
      </w:tr>
      <w:tr w:rsidTr="00AB162B">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BoldandItalics"/>
              </w:rPr>
              <w:t>Designated persons</w:t>
            </w:r>
            <w:r w:rsidRPr="00DB7B7F">
              <w:t xml:space="preserve"> may include:</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ListBullet"/>
            </w:pPr>
            <w:r w:rsidRPr="00DB7B7F">
              <w:t>barrister</w:t>
            </w:r>
          </w:p>
          <w:p w:rsidR="00000000" w:rsidRPr="00DB7B7F" w:rsidP="00DB7B7F">
            <w:pPr>
              <w:pStyle w:val="ListBullet"/>
            </w:pPr>
            <w:r w:rsidRPr="00DB7B7F">
              <w:t>legal practice manager</w:t>
            </w:r>
          </w:p>
          <w:p w:rsidR="00000000" w:rsidRPr="00DB7B7F" w:rsidP="00DB7B7F">
            <w:pPr>
              <w:pStyle w:val="ListBullet"/>
            </w:pPr>
            <w:r w:rsidRPr="00DB7B7F">
              <w:t>legal practitioner</w:t>
            </w:r>
          </w:p>
          <w:p w:rsidR="00000000" w:rsidRPr="00DB7B7F" w:rsidP="00DB7B7F">
            <w:pPr>
              <w:pStyle w:val="ListBullet"/>
            </w:pPr>
            <w:r w:rsidRPr="00DB7B7F">
              <w:t>supervisor.</w:t>
            </w:r>
          </w:p>
        </w:tc>
      </w:tr>
    </w:tbl>
    <w:p w:rsidR="00AB162B" w:rsidP="00DB7B7F">
      <w:pPr>
        <w:pStyle w:val="BodyText"/>
      </w:pPr>
    </w:p>
    <w:p w:rsidR="00AB162B" w:rsidP="00DB7B7F">
      <w:pPr>
        <w:pStyle w:val="BodyText"/>
      </w:pPr>
    </w:p>
    <w:p w:rsidR="00000000" w:rsidRPr="00DB7B7F" w:rsidP="00DB7B7F">
      <w:pPr>
        <w:pStyle w:val="Heading1"/>
      </w:pPr>
      <w:bookmarkStart w:id="12" w:name="O_65522"/>
      <w:bookmarkEnd w:id="12"/>
      <w:r w:rsidRPr="00DB7B7F">
        <w:t>Unit Sector(s)</w:t>
      </w:r>
    </w:p>
    <w:tbl>
      <w:tblPr>
        <w:tblW w:w="0" w:type="auto"/>
        <w:tblLayout w:type="fixed"/>
        <w:tblCellMar>
          <w:left w:w="62" w:type="dxa"/>
          <w:right w:w="62" w:type="dxa"/>
        </w:tblCellMar>
        <w:tblLook w:val="0000"/>
      </w:tblPr>
      <w:tblGrid>
        <w:gridCol w:w="2654"/>
        <w:gridCol w:w="5868"/>
      </w:tblGrid>
      <w:tr w:rsidTr="00AB16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13" w:name="O_154211"/>
      <w:bookmarkEnd w:id="13"/>
      <w:r w:rsidRPr="00DB7B7F">
        <w:t>Competency field</w:t>
      </w:r>
    </w:p>
    <w:tbl>
      <w:tblPr>
        <w:tblW w:w="0" w:type="auto"/>
        <w:tblLayout w:type="fixed"/>
        <w:tblCellMar>
          <w:left w:w="62" w:type="dxa"/>
          <w:right w:w="62" w:type="dxa"/>
        </w:tblCellMar>
        <w:tblLook w:val="0000"/>
      </w:tblPr>
      <w:tblGrid>
        <w:gridCol w:w="2774"/>
        <w:gridCol w:w="5748"/>
      </w:tblGrid>
      <w:tr w:rsidTr="00AB162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r w:rsidRPr="00DB7B7F">
              <w:t>Administration - legal administration</w:t>
            </w:r>
          </w:p>
        </w:tc>
      </w:tr>
    </w:tbl>
    <w:p w:rsidR="00000000" w:rsidRPr="00DB7B7F" w:rsidP="00DB7B7F">
      <w:pPr>
        <w:pStyle w:val="BodyText"/>
      </w:pPr>
    </w:p>
    <w:p w:rsidR="00000000" w:rsidRPr="00DB7B7F" w:rsidP="00DB7B7F">
      <w:pPr>
        <w:pStyle w:val="AllowPageBreak"/>
      </w:pPr>
    </w:p>
    <w:p w:rsidR="00000000" w:rsidRPr="00DB7B7F" w:rsidP="00DB7B7F">
      <w:pPr>
        <w:pStyle w:val="Heading1"/>
      </w:pPr>
      <w:bookmarkStart w:id="14" w:name="O_154210"/>
      <w:bookmarkEnd w:id="14"/>
      <w:r w:rsidRPr="00DB7B7F">
        <w:t>Co-requisite units</w:t>
      </w:r>
    </w:p>
    <w:tbl>
      <w:tblPr>
        <w:tblW w:w="0" w:type="auto"/>
        <w:tblLayout w:type="fixed"/>
        <w:tblCellMar>
          <w:left w:w="62" w:type="dxa"/>
          <w:right w:w="62" w:type="dxa"/>
        </w:tblCellMar>
        <w:tblLook w:val="0000"/>
      </w:tblPr>
      <w:tblGrid>
        <w:gridCol w:w="2641"/>
        <w:gridCol w:w="1322"/>
        <w:gridCol w:w="4559"/>
      </w:tblGrid>
      <w:tr w:rsidTr="00AB16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r w:rsidRPr="00DB7B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p>
        </w:tc>
      </w:tr>
      <w:tr w:rsidTr="00AB16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B7F">
            <w:pPr>
              <w:pStyle w:val="BodyText"/>
              <w:rPr>
                <w:lang w:val="en-NZ"/>
              </w:rPr>
            </w:pPr>
          </w:p>
        </w:tc>
      </w:tr>
      <w:tr w:rsidTr="00AB16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B7F" w:rsidP="00DB7B7F">
            <w:pPr>
              <w:pStyle w:val="BodyText"/>
            </w:pPr>
          </w:p>
        </w:tc>
      </w:tr>
    </w:tbl>
    <w:p w:rsidR="00000000" w:rsidRPr="00DB7B7F" w:rsidP="00DB7B7F">
      <w:pPr>
        <w:pStyle w:val="BodyText"/>
      </w:pPr>
    </w:p>
    <w:p w:rsidR="00000000" w:rsidRPr="00DB7B7F" w:rsidP="00DB7B7F"/>
    <w:sectPr w:rsidSect="00DB7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62B" w:rsidP="00AB1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2B" w:rsidP="00DB7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162B" w:rsidP="00DB7B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162B" w:rsidP="00DB7B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62B" w:rsidP="00AB16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2B" w:rsidP="00DB7B7F">
    <w:pPr>
      <w:pStyle w:val="Header"/>
      <w:framePr w:wrap="around"/>
    </w:pPr>
    <w:r>
      <w:fldChar w:fldCharType="begin"/>
    </w:r>
    <w:r>
      <w:instrText xml:space="preserve"> TITLE   \* MERGEFORMAT </w:instrText>
    </w:r>
    <w:r>
      <w:fldChar w:fldCharType="separate"/>
    </w:r>
    <w:r>
      <w:t>BSBLEG417A Apply the principles of evidence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162B" w:rsidP="00DB7B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88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22D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26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B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7B7F"/>
    <w:pPr>
      <w:spacing w:before="360" w:after="60"/>
      <w:outlineLvl w:val="0"/>
    </w:pPr>
    <w:rPr>
      <w:sz w:val="32"/>
    </w:rPr>
  </w:style>
  <w:style w:type="paragraph" w:styleId="Heading2">
    <w:name w:val="heading 2"/>
    <w:basedOn w:val="HeadingBase"/>
    <w:next w:val="BodyText"/>
    <w:link w:val="Heading2Char"/>
    <w:qFormat/>
    <w:rsid w:val="00DB7B7F"/>
    <w:pPr>
      <w:keepLines/>
      <w:spacing w:before="240" w:after="120"/>
      <w:outlineLvl w:val="1"/>
    </w:pPr>
    <w:rPr>
      <w:sz w:val="28"/>
      <w:szCs w:val="40"/>
    </w:rPr>
  </w:style>
  <w:style w:type="paragraph" w:styleId="Heading3">
    <w:name w:val="heading 3"/>
    <w:basedOn w:val="HeadingBase"/>
    <w:next w:val="BodyText"/>
    <w:link w:val="Heading3Char"/>
    <w:qFormat/>
    <w:rsid w:val="00DB7B7F"/>
    <w:pPr>
      <w:spacing w:before="180" w:after="120"/>
      <w:outlineLvl w:val="2"/>
    </w:pPr>
    <w:rPr>
      <w:spacing w:val="-10"/>
      <w:kern w:val="32"/>
    </w:rPr>
  </w:style>
  <w:style w:type="paragraph" w:styleId="Heading4">
    <w:name w:val="heading 4"/>
    <w:basedOn w:val="HeadingBase"/>
    <w:next w:val="BodyText"/>
    <w:link w:val="Heading4Char"/>
    <w:qFormat/>
    <w:rsid w:val="00DB7B7F"/>
    <w:pPr>
      <w:spacing w:before="160" w:after="120"/>
      <w:outlineLvl w:val="3"/>
    </w:pPr>
    <w:rPr>
      <w:sz w:val="22"/>
    </w:rPr>
  </w:style>
  <w:style w:type="paragraph" w:styleId="Heading5">
    <w:name w:val="heading 5"/>
    <w:basedOn w:val="HeadingBase"/>
    <w:next w:val="Normal"/>
    <w:link w:val="Heading5Char"/>
    <w:qFormat/>
    <w:rsid w:val="00DB7B7F"/>
    <w:pPr>
      <w:spacing w:before="80"/>
      <w:outlineLvl w:val="4"/>
    </w:pPr>
    <w:rPr>
      <w:color w:val="918585"/>
      <w:sz w:val="20"/>
    </w:rPr>
  </w:style>
  <w:style w:type="paragraph" w:styleId="Heading6">
    <w:name w:val="heading 6"/>
    <w:basedOn w:val="HeadingBase"/>
    <w:next w:val="Normal"/>
    <w:link w:val="Heading6Char"/>
    <w:qFormat/>
    <w:rsid w:val="00DB7B7F"/>
    <w:pPr>
      <w:spacing w:before="60"/>
      <w:outlineLvl w:val="5"/>
    </w:pPr>
    <w:rPr>
      <w:color w:val="918585"/>
      <w:sz w:val="20"/>
    </w:rPr>
  </w:style>
  <w:style w:type="paragraph" w:styleId="Heading7">
    <w:name w:val="heading 7"/>
    <w:basedOn w:val="Normal"/>
    <w:next w:val="Normal"/>
    <w:link w:val="Heading7Char"/>
    <w:qFormat/>
    <w:rsid w:val="00DB7B7F"/>
    <w:pPr>
      <w:ind w:left="720"/>
      <w:outlineLvl w:val="6"/>
    </w:pPr>
    <w:rPr>
      <w:i/>
    </w:rPr>
  </w:style>
  <w:style w:type="paragraph" w:styleId="Heading8">
    <w:name w:val="heading 8"/>
    <w:basedOn w:val="Normal"/>
    <w:next w:val="Normal"/>
    <w:link w:val="Heading8Char"/>
    <w:qFormat/>
    <w:rsid w:val="00DB7B7F"/>
    <w:pPr>
      <w:ind w:left="720"/>
      <w:outlineLvl w:val="7"/>
    </w:pPr>
    <w:rPr>
      <w:i/>
    </w:rPr>
  </w:style>
  <w:style w:type="paragraph" w:styleId="Heading9">
    <w:name w:val="heading 9"/>
    <w:basedOn w:val="Normal"/>
    <w:next w:val="Normal"/>
    <w:link w:val="Heading9Char"/>
    <w:qFormat/>
    <w:rsid w:val="00DB7B7F"/>
    <w:pPr>
      <w:ind w:left="720"/>
      <w:outlineLvl w:val="8"/>
    </w:pPr>
    <w:rPr>
      <w:i/>
    </w:rPr>
  </w:style>
  <w:style w:type="character" w:default="1" w:styleId="DefaultParagraphFont">
    <w:name w:val="Default Paragraph Font"/>
    <w:uiPriority w:val="1"/>
    <w:unhideWhenUsed/>
    <w:rsid w:val="00DB7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B7F"/>
  </w:style>
  <w:style w:type="character" w:customStyle="1" w:styleId="Heading1Char">
    <w:name w:val="Heading 1 Char"/>
    <w:basedOn w:val="DefaultParagraphFont"/>
    <w:link w:val="Heading1"/>
    <w:rsid w:val="00DB7B7F"/>
    <w:rPr>
      <w:rFonts w:ascii="Times New Roman" w:eastAsia="Times New Roman" w:hAnsi="Times New Roman" w:cs="Times New Roman"/>
      <w:b/>
      <w:sz w:val="32"/>
      <w:szCs w:val="20"/>
      <w:lang w:eastAsia="en-US"/>
    </w:rPr>
  </w:style>
  <w:style w:type="paragraph" w:styleId="BodyText">
    <w:name w:val="Body Text"/>
    <w:basedOn w:val="Normal"/>
    <w:link w:val="BodyTextChar"/>
    <w:rsid w:val="00DB7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B7F"/>
    <w:rPr>
      <w:rFonts w:ascii="Times New Roman" w:eastAsia="Times New Roman" w:hAnsi="Times New Roman" w:cs="Times New Roman"/>
      <w:sz w:val="24"/>
      <w:lang w:val="en-US" w:eastAsia="en-US"/>
    </w:rPr>
  </w:style>
  <w:style w:type="paragraph" w:styleId="Footer">
    <w:name w:val="footer"/>
    <w:basedOn w:val="Normal"/>
    <w:link w:val="FooterChar"/>
    <w:rsid w:val="00DB7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B7F"/>
    <w:rPr>
      <w:rFonts w:ascii="Times New Roman" w:eastAsia="Times New Roman" w:hAnsi="Times New Roman" w:cs="Times New Roman"/>
      <w:sz w:val="16"/>
      <w:lang w:val="en-US" w:eastAsia="en-US"/>
    </w:rPr>
  </w:style>
  <w:style w:type="paragraph" w:styleId="List">
    <w:name w:val="List"/>
    <w:basedOn w:val="BodyText"/>
    <w:next w:val="BodyText"/>
    <w:rsid w:val="00DB7B7F"/>
    <w:pPr>
      <w:tabs>
        <w:tab w:val="left" w:pos="340"/>
      </w:tabs>
      <w:spacing w:before="60" w:after="60"/>
      <w:ind w:left="340" w:hanging="340"/>
    </w:pPr>
  </w:style>
  <w:style w:type="paragraph" w:styleId="ListBullet">
    <w:name w:val="List Bullet"/>
    <w:basedOn w:val="List"/>
    <w:rsid w:val="00DB7B7F"/>
    <w:pPr>
      <w:numPr>
        <w:numId w:val="13"/>
      </w:numPr>
      <w:tabs>
        <w:tab w:val="clear" w:pos="340"/>
      </w:tabs>
      <w:spacing w:before="40" w:after="40"/>
    </w:pPr>
  </w:style>
  <w:style w:type="character" w:customStyle="1" w:styleId="SpecialBold">
    <w:name w:val="Special Bold"/>
    <w:basedOn w:val="DefaultParagraphFont"/>
    <w:rsid w:val="00DB7B7F"/>
    <w:rPr>
      <w:b/>
      <w:spacing w:val="0"/>
    </w:rPr>
  </w:style>
  <w:style w:type="paragraph" w:styleId="ListBullet2">
    <w:name w:val="List Bullet 2"/>
    <w:basedOn w:val="List2"/>
    <w:rsid w:val="00DB7B7F"/>
    <w:pPr>
      <w:numPr>
        <w:numId w:val="14"/>
      </w:numPr>
      <w:tabs>
        <w:tab w:val="clear" w:pos="680"/>
      </w:tabs>
    </w:pPr>
  </w:style>
  <w:style w:type="paragraph" w:styleId="Header">
    <w:name w:val="header"/>
    <w:basedOn w:val="Normal"/>
    <w:link w:val="HeaderChar"/>
    <w:rsid w:val="00DB7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B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7B7F"/>
    <w:pPr>
      <w:spacing w:before="240" w:after="120"/>
      <w:outlineLvl w:val="0"/>
    </w:pPr>
    <w:rPr>
      <w:rFonts w:ascii="Times New Roman" w:hAnsi="Times New Roman"/>
      <w:b/>
      <w:sz w:val="28"/>
    </w:rPr>
  </w:style>
  <w:style w:type="paragraph" w:customStyle="1" w:styleId="AllowPageBreak">
    <w:name w:val="AllowPageBreak"/>
    <w:rsid w:val="00DB7B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7B7F"/>
    <w:pPr>
      <w:tabs>
        <w:tab w:val="left" w:pos="680"/>
      </w:tabs>
      <w:spacing w:before="60" w:after="60"/>
      <w:ind w:left="680" w:hanging="340"/>
    </w:pPr>
  </w:style>
  <w:style w:type="character" w:customStyle="1" w:styleId="BoldandItalics">
    <w:name w:val="Bold and Italics"/>
    <w:qFormat/>
    <w:rsid w:val="00DB7B7F"/>
    <w:rPr>
      <w:b/>
      <w:i/>
      <w:u w:val="none"/>
    </w:rPr>
  </w:style>
  <w:style w:type="character" w:customStyle="1" w:styleId="Heading2Char">
    <w:name w:val="Heading 2 Char"/>
    <w:basedOn w:val="DefaultParagraphFont"/>
    <w:link w:val="Heading2"/>
    <w:rsid w:val="00DB7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B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7B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7B7F"/>
    <w:rPr>
      <w:rFonts w:ascii="Courier New" w:eastAsia="Times New Roman" w:hAnsi="Courier New" w:cs="Times New Roman"/>
      <w:i/>
      <w:szCs w:val="20"/>
      <w:lang w:val="en-US" w:eastAsia="en-US"/>
    </w:rPr>
  </w:style>
  <w:style w:type="paragraph" w:customStyle="1" w:styleId="HeadingBase">
    <w:name w:val="Heading Base"/>
    <w:rsid w:val="00DB7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B7F"/>
    <w:pPr>
      <w:tabs>
        <w:tab w:val="right" w:leader="dot" w:pos="9072"/>
      </w:tabs>
      <w:ind w:left="567"/>
    </w:pPr>
    <w:rPr>
      <w:szCs w:val="22"/>
    </w:rPr>
  </w:style>
  <w:style w:type="paragraph" w:customStyle="1" w:styleId="TOCBase">
    <w:name w:val="TOC Base"/>
    <w:rsid w:val="00DB7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B7F"/>
    <w:pPr>
      <w:tabs>
        <w:tab w:val="right" w:leader="dot" w:pos="9072"/>
      </w:tabs>
      <w:spacing w:before="40" w:after="40"/>
      <w:ind w:left="284"/>
    </w:pPr>
    <w:rPr>
      <w:rFonts w:ascii="Times New Roman" w:hAnsi="Times New Roman"/>
    </w:rPr>
  </w:style>
  <w:style w:type="paragraph" w:styleId="TOC1">
    <w:name w:val="toc 1"/>
    <w:basedOn w:val="TOCBase"/>
    <w:next w:val="Normal"/>
    <w:rsid w:val="00DB7B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B7F"/>
    <w:pPr>
      <w:spacing w:before="5040"/>
      <w:jc w:val="center"/>
    </w:pPr>
    <w:rPr>
      <w:sz w:val="48"/>
      <w:szCs w:val="72"/>
      <w:lang w:val="en-US"/>
    </w:rPr>
  </w:style>
  <w:style w:type="character" w:customStyle="1" w:styleId="TitleChar">
    <w:name w:val="Title Char"/>
    <w:basedOn w:val="DefaultParagraphFont"/>
    <w:link w:val="Title"/>
    <w:rsid w:val="00DB7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B7F"/>
    <w:pPr>
      <w:tabs>
        <w:tab w:val="left" w:pos="3600"/>
        <w:tab w:val="left" w:pos="3958"/>
      </w:tabs>
    </w:pPr>
  </w:style>
  <w:style w:type="paragraph" w:customStyle="1" w:styleId="Note">
    <w:name w:val="Note"/>
    <w:basedOn w:val="BodyText"/>
    <w:rsid w:val="00DB7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B7F"/>
    <w:pPr>
      <w:framePr w:wrap="auto" w:hAnchor="text" w:y="6049"/>
    </w:pPr>
    <w:rPr>
      <w:color w:val="000000"/>
      <w:sz w:val="40"/>
    </w:rPr>
  </w:style>
  <w:style w:type="paragraph" w:customStyle="1" w:styleId="TOCTitle">
    <w:name w:val="TOCTitle"/>
    <w:basedOn w:val="Heading1"/>
    <w:rsid w:val="00DB7B7F"/>
    <w:pPr>
      <w:spacing w:after="240"/>
      <w:jc w:val="center"/>
      <w:outlineLvl w:val="9"/>
    </w:pPr>
    <w:rPr>
      <w:caps/>
    </w:rPr>
  </w:style>
  <w:style w:type="paragraph" w:customStyle="1" w:styleId="Version">
    <w:name w:val="Version"/>
    <w:rsid w:val="00DB7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B7F"/>
    <w:pPr>
      <w:keepNext w:val="0"/>
      <w:tabs>
        <w:tab w:val="right" w:pos="4176"/>
      </w:tabs>
      <w:ind w:left="198" w:hanging="198"/>
    </w:pPr>
    <w:rPr>
      <w:rFonts w:ascii="Garamond" w:hAnsi="Garamond"/>
    </w:rPr>
  </w:style>
  <w:style w:type="paragraph" w:styleId="IndexHeading">
    <w:name w:val="index heading"/>
    <w:basedOn w:val="Normal"/>
    <w:next w:val="Index1"/>
    <w:semiHidden/>
    <w:rsid w:val="00DB7B7F"/>
    <w:pPr>
      <w:spacing w:before="120" w:after="120"/>
    </w:pPr>
    <w:rPr>
      <w:rFonts w:ascii="Arial" w:hAnsi="Arial"/>
      <w:b/>
      <w:color w:val="918585"/>
      <w:sz w:val="24"/>
    </w:rPr>
  </w:style>
  <w:style w:type="paragraph" w:customStyle="1" w:styleId="Chapter">
    <w:name w:val="Chapter"/>
    <w:basedOn w:val="Normal"/>
    <w:rsid w:val="00DB7B7F"/>
    <w:pPr>
      <w:spacing w:before="240"/>
    </w:pPr>
    <w:rPr>
      <w:rFonts w:ascii="Times New Roman" w:hAnsi="Times New Roman"/>
      <w:smallCaps/>
      <w:spacing w:val="80"/>
      <w:sz w:val="28"/>
    </w:rPr>
  </w:style>
  <w:style w:type="paragraph" w:customStyle="1" w:styleId="InChapter">
    <w:name w:val="InChapter"/>
    <w:basedOn w:val="Heading3"/>
    <w:rsid w:val="00DB7B7F"/>
    <w:pPr>
      <w:spacing w:after="240"/>
      <w:outlineLvl w:val="9"/>
    </w:pPr>
    <w:rPr>
      <w:noProof/>
    </w:rPr>
  </w:style>
  <w:style w:type="paragraph" w:styleId="Index2">
    <w:name w:val="index 2"/>
    <w:basedOn w:val="Normal"/>
    <w:next w:val="Normal"/>
    <w:semiHidden/>
    <w:rsid w:val="00DB7B7F"/>
    <w:pPr>
      <w:tabs>
        <w:tab w:val="right" w:pos="4176"/>
      </w:tabs>
      <w:ind w:left="568" w:hanging="284"/>
    </w:pPr>
    <w:rPr>
      <w:rFonts w:ascii="Garamond" w:hAnsi="Garamond"/>
    </w:rPr>
  </w:style>
  <w:style w:type="paragraph" w:customStyle="1" w:styleId="Byline">
    <w:name w:val="Byline"/>
    <w:rsid w:val="00DB7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B7F"/>
    <w:pPr>
      <w:tabs>
        <w:tab w:val="clear" w:pos="3600"/>
        <w:tab w:val="clear" w:pos="3958"/>
      </w:tabs>
      <w:jc w:val="right"/>
    </w:pPr>
  </w:style>
  <w:style w:type="character" w:styleId="Emphasis">
    <w:name w:val="Emphasis"/>
    <w:basedOn w:val="DefaultParagraphFont"/>
    <w:qFormat/>
    <w:rsid w:val="00DB7B7F"/>
    <w:rPr>
      <w:i/>
    </w:rPr>
  </w:style>
  <w:style w:type="paragraph" w:styleId="Caption">
    <w:name w:val="caption"/>
    <w:basedOn w:val="BodyText"/>
    <w:next w:val="Normal"/>
    <w:qFormat/>
    <w:rsid w:val="00DB7B7F"/>
    <w:pPr>
      <w:framePr w:w="2268" w:hSpace="181" w:vSpace="181" w:wrap="around" w:vAnchor="text" w:hAnchor="page" w:x="1135" w:y="285" w:anchorLock="1"/>
    </w:pPr>
    <w:rPr>
      <w:i/>
    </w:rPr>
  </w:style>
  <w:style w:type="paragraph" w:customStyle="1" w:styleId="MiniTOCTitle">
    <w:name w:val="MiniTOCTitle"/>
    <w:basedOn w:val="Heading4"/>
    <w:rsid w:val="00DB7B7F"/>
    <w:pPr>
      <w:spacing w:before="240"/>
      <w:outlineLvl w:val="9"/>
    </w:pPr>
    <w:rPr>
      <w:noProof/>
      <w:sz w:val="24"/>
    </w:rPr>
  </w:style>
  <w:style w:type="paragraph" w:customStyle="1" w:styleId="MiniTOCItem">
    <w:name w:val="MiniTOCItem"/>
    <w:basedOn w:val="ListBullet"/>
    <w:rsid w:val="00DB7B7F"/>
    <w:pPr>
      <w:numPr>
        <w:numId w:val="0"/>
      </w:numPr>
      <w:tabs>
        <w:tab w:val="right" w:leader="dot" w:pos="6521"/>
      </w:tabs>
      <w:spacing w:before="0" w:after="0"/>
    </w:pPr>
  </w:style>
  <w:style w:type="paragraph" w:customStyle="1" w:styleId="TOFTitle">
    <w:name w:val="TOFTitle"/>
    <w:basedOn w:val="TOCTitle"/>
    <w:rsid w:val="00DB7B7F"/>
  </w:style>
  <w:style w:type="paragraph" w:styleId="TableofFigures">
    <w:name w:val="table of figures"/>
    <w:basedOn w:val="Normal"/>
    <w:next w:val="Normal"/>
    <w:semiHidden/>
    <w:rsid w:val="00DB7B7F"/>
    <w:pPr>
      <w:tabs>
        <w:tab w:val="right" w:leader="dot" w:pos="9072"/>
      </w:tabs>
      <w:ind w:left="970" w:hanging="403"/>
    </w:pPr>
    <w:rPr>
      <w:rFonts w:ascii="Times New Roman" w:hAnsi="Times New Roman"/>
      <w:b/>
    </w:rPr>
  </w:style>
  <w:style w:type="paragraph" w:styleId="ListNumber">
    <w:name w:val="List Number"/>
    <w:basedOn w:val="List"/>
    <w:rsid w:val="00DB7B7F"/>
    <w:pPr>
      <w:numPr>
        <w:numId w:val="11"/>
      </w:numPr>
    </w:pPr>
  </w:style>
  <w:style w:type="character" w:customStyle="1" w:styleId="WingdingSymbols">
    <w:name w:val="Wingding Symbols"/>
    <w:rsid w:val="00DB7B7F"/>
    <w:rPr>
      <w:rFonts w:ascii="Wingdings" w:hAnsi="Wingdings"/>
    </w:rPr>
  </w:style>
  <w:style w:type="paragraph" w:customStyle="1" w:styleId="TableHeading">
    <w:name w:val="Table Heading"/>
    <w:basedOn w:val="HeadingBase"/>
    <w:rsid w:val="00DB7B7F"/>
    <w:pPr>
      <w:keepLines/>
      <w:pBdr>
        <w:bottom w:val="single" w:sz="6" w:space="1" w:color="918585"/>
      </w:pBdr>
      <w:spacing w:before="240"/>
    </w:pPr>
  </w:style>
  <w:style w:type="character" w:customStyle="1" w:styleId="HotSpot">
    <w:name w:val="HotSpot"/>
    <w:rsid w:val="00DB7B7F"/>
    <w:rPr>
      <w:color w:val="0033CC"/>
      <w:u w:val="none"/>
    </w:rPr>
  </w:style>
  <w:style w:type="paragraph" w:customStyle="1" w:styleId="BodyTextRight">
    <w:name w:val="Body Text Right"/>
    <w:basedOn w:val="BodyText"/>
    <w:rsid w:val="00DB7B7F"/>
    <w:pPr>
      <w:spacing w:before="0" w:after="0"/>
      <w:jc w:val="right"/>
    </w:pPr>
  </w:style>
  <w:style w:type="paragraph" w:styleId="Index3">
    <w:name w:val="index 3"/>
    <w:basedOn w:val="ListNumber2"/>
    <w:next w:val="Normal"/>
    <w:semiHidden/>
    <w:rsid w:val="00DB7B7F"/>
    <w:pPr>
      <w:numPr>
        <w:numId w:val="0"/>
      </w:numPr>
      <w:tabs>
        <w:tab w:val="right" w:leader="dot" w:pos="4176"/>
      </w:tabs>
    </w:pPr>
  </w:style>
  <w:style w:type="paragraph" w:styleId="ListNumber2">
    <w:name w:val="List Number 2"/>
    <w:basedOn w:val="List2"/>
    <w:rsid w:val="00DB7B7F"/>
    <w:pPr>
      <w:numPr>
        <w:numId w:val="10"/>
      </w:numPr>
      <w:tabs>
        <w:tab w:val="clear" w:pos="1060"/>
      </w:tabs>
    </w:pPr>
  </w:style>
  <w:style w:type="paragraph" w:customStyle="1" w:styleId="MarginNote">
    <w:name w:val="Margin Note"/>
    <w:basedOn w:val="BodyText"/>
    <w:rsid w:val="00DB7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B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7B7F"/>
    <w:rPr>
      <w:sz w:val="32"/>
    </w:rPr>
  </w:style>
  <w:style w:type="paragraph" w:customStyle="1" w:styleId="HeadingProcedure">
    <w:name w:val="Heading Procedure"/>
    <w:basedOn w:val="HeadingBase"/>
    <w:next w:val="Normal"/>
    <w:rsid w:val="00DB7B7F"/>
    <w:pPr>
      <w:tabs>
        <w:tab w:val="left" w:pos="0"/>
      </w:tabs>
      <w:spacing w:before="120" w:after="60"/>
    </w:pPr>
    <w:rPr>
      <w:i/>
      <w:color w:val="918585"/>
      <w:sz w:val="22"/>
    </w:rPr>
  </w:style>
  <w:style w:type="paragraph" w:customStyle="1" w:styleId="TableBodyText">
    <w:name w:val="Table Body Text"/>
    <w:basedOn w:val="BodyText"/>
    <w:rsid w:val="00DB7B7F"/>
    <w:pPr>
      <w:spacing w:before="60" w:after="60"/>
    </w:pPr>
  </w:style>
  <w:style w:type="paragraph" w:styleId="ListContinue">
    <w:name w:val="List Continue"/>
    <w:basedOn w:val="List"/>
    <w:rsid w:val="00DB7B7F"/>
    <w:pPr>
      <w:ind w:firstLine="0"/>
    </w:pPr>
  </w:style>
  <w:style w:type="paragraph" w:customStyle="1" w:styleId="ListNote">
    <w:name w:val="List Note"/>
    <w:basedOn w:val="List"/>
    <w:rsid w:val="00DB7B7F"/>
    <w:pPr>
      <w:pBdr>
        <w:top w:val="single" w:sz="6" w:space="2" w:color="918585"/>
        <w:bottom w:val="single" w:sz="6" w:space="2" w:color="918585"/>
      </w:pBdr>
      <w:tabs>
        <w:tab w:val="left" w:pos="1021"/>
      </w:tabs>
      <w:ind w:firstLine="0"/>
    </w:pPr>
  </w:style>
  <w:style w:type="paragraph" w:customStyle="1" w:styleId="Warning">
    <w:name w:val="Warning"/>
    <w:basedOn w:val="BodyText"/>
    <w:rsid w:val="00DB7B7F"/>
    <w:pPr>
      <w:shd w:val="clear" w:color="auto" w:fill="D9D9D9"/>
      <w:tabs>
        <w:tab w:val="left" w:pos="992"/>
      </w:tabs>
      <w:ind w:left="119" w:right="119"/>
    </w:pPr>
    <w:rPr>
      <w:sz w:val="20"/>
    </w:rPr>
  </w:style>
  <w:style w:type="paragraph" w:customStyle="1" w:styleId="MarginIcons">
    <w:name w:val="Margin Icons"/>
    <w:basedOn w:val="BodyText"/>
    <w:rsid w:val="00DB7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B7F"/>
    <w:rPr>
      <w:rFonts w:ascii="Courier New" w:hAnsi="Courier New"/>
    </w:rPr>
  </w:style>
  <w:style w:type="paragraph" w:customStyle="1" w:styleId="NoteBullet">
    <w:name w:val="Note Bullet"/>
    <w:basedOn w:val="Note"/>
    <w:rsid w:val="00DB7B7F"/>
    <w:pPr>
      <w:tabs>
        <w:tab w:val="clear" w:pos="680"/>
      </w:tabs>
      <w:spacing w:before="60" w:after="60"/>
    </w:pPr>
  </w:style>
  <w:style w:type="paragraph" w:customStyle="1" w:styleId="SubHeading2">
    <w:name w:val="SubHeading2"/>
    <w:basedOn w:val="HeadingBase"/>
    <w:rsid w:val="00DB7B7F"/>
    <w:pPr>
      <w:spacing w:before="240" w:after="60"/>
    </w:pPr>
    <w:rPr>
      <w:sz w:val="20"/>
    </w:rPr>
  </w:style>
  <w:style w:type="paragraph" w:customStyle="1" w:styleId="SubHeading1">
    <w:name w:val="SubHeading1"/>
    <w:basedOn w:val="HeadingBase"/>
    <w:rsid w:val="00DB7B7F"/>
    <w:pPr>
      <w:spacing w:before="240" w:after="60"/>
    </w:pPr>
    <w:rPr>
      <w:color w:val="918585"/>
      <w:sz w:val="22"/>
    </w:rPr>
  </w:style>
  <w:style w:type="paragraph" w:customStyle="1" w:styleId="SideHeading">
    <w:name w:val="Side Heading"/>
    <w:basedOn w:val="HeadingBase"/>
    <w:rsid w:val="00DB7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B7F"/>
    <w:pPr>
      <w:numPr>
        <w:numId w:val="12"/>
      </w:numPr>
    </w:pPr>
  </w:style>
  <w:style w:type="paragraph" w:styleId="PlainText">
    <w:name w:val="Plain Text"/>
    <w:basedOn w:val="Normal"/>
    <w:link w:val="PlainTextChar"/>
    <w:rsid w:val="00DB7B7F"/>
    <w:rPr>
      <w:sz w:val="20"/>
    </w:rPr>
  </w:style>
  <w:style w:type="character" w:customStyle="1" w:styleId="PlainTextChar">
    <w:name w:val="Plain Text Char"/>
    <w:basedOn w:val="DefaultParagraphFont"/>
    <w:link w:val="PlainText"/>
    <w:rsid w:val="00DB7B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7B7F"/>
    <w:rPr>
      <w:b/>
      <w:smallCaps/>
    </w:rPr>
  </w:style>
  <w:style w:type="paragraph" w:customStyle="1" w:styleId="TableListNumber">
    <w:name w:val="Table List Number"/>
    <w:basedOn w:val="ListNumber"/>
    <w:rsid w:val="00DB7B7F"/>
    <w:pPr>
      <w:numPr>
        <w:numId w:val="0"/>
      </w:numPr>
    </w:pPr>
  </w:style>
  <w:style w:type="paragraph" w:styleId="TOC4">
    <w:name w:val="toc 4"/>
    <w:basedOn w:val="TOCBase"/>
    <w:next w:val="Normal"/>
    <w:semiHidden/>
    <w:rsid w:val="00DB7B7F"/>
    <w:pPr>
      <w:tabs>
        <w:tab w:val="right" w:leader="dot" w:pos="9071"/>
      </w:tabs>
      <w:ind w:left="1701"/>
    </w:pPr>
  </w:style>
  <w:style w:type="paragraph" w:customStyle="1" w:styleId="ListAlpha">
    <w:name w:val="List Alpha"/>
    <w:basedOn w:val="List"/>
    <w:rsid w:val="00DB7B7F"/>
    <w:pPr>
      <w:numPr>
        <w:numId w:val="9"/>
      </w:numPr>
    </w:pPr>
  </w:style>
  <w:style w:type="paragraph" w:customStyle="1" w:styleId="ListAlpha2">
    <w:name w:val="List Alpha 2"/>
    <w:basedOn w:val="List2"/>
    <w:rsid w:val="00DB7B7F"/>
    <w:pPr>
      <w:numPr>
        <w:numId w:val="8"/>
      </w:numPr>
    </w:pPr>
  </w:style>
  <w:style w:type="paragraph" w:styleId="List3">
    <w:name w:val="List 3"/>
    <w:basedOn w:val="BodyText"/>
    <w:rsid w:val="00DB7B7F"/>
    <w:pPr>
      <w:tabs>
        <w:tab w:val="left" w:pos="1021"/>
      </w:tabs>
      <w:spacing w:before="60" w:after="60"/>
      <w:ind w:left="1020" w:hanging="340"/>
    </w:pPr>
  </w:style>
  <w:style w:type="paragraph" w:styleId="List4">
    <w:name w:val="List 4"/>
    <w:basedOn w:val="BodyText"/>
    <w:rsid w:val="00DB7B7F"/>
    <w:pPr>
      <w:tabs>
        <w:tab w:val="left" w:pos="1361"/>
      </w:tabs>
      <w:spacing w:before="60" w:after="60"/>
      <w:ind w:left="1361" w:hanging="340"/>
    </w:pPr>
  </w:style>
  <w:style w:type="paragraph" w:styleId="List5">
    <w:name w:val="List 5"/>
    <w:basedOn w:val="BodyText"/>
    <w:rsid w:val="00DB7B7F"/>
    <w:pPr>
      <w:tabs>
        <w:tab w:val="left" w:pos="1701"/>
      </w:tabs>
      <w:spacing w:before="60" w:after="60"/>
      <w:ind w:left="1701" w:hanging="340"/>
    </w:pPr>
  </w:style>
  <w:style w:type="paragraph" w:styleId="ListBullet3">
    <w:name w:val="List Bullet 3"/>
    <w:basedOn w:val="List3"/>
    <w:rsid w:val="00DB7B7F"/>
    <w:pPr>
      <w:numPr>
        <w:numId w:val="15"/>
      </w:numPr>
      <w:tabs>
        <w:tab w:val="clear" w:pos="1021"/>
      </w:tabs>
      <w:ind w:left="1037" w:hanging="357"/>
    </w:pPr>
  </w:style>
  <w:style w:type="paragraph" w:styleId="ListBullet4">
    <w:name w:val="List Bullet 4"/>
    <w:basedOn w:val="List4"/>
    <w:rsid w:val="00DB7B7F"/>
    <w:pPr>
      <w:numPr>
        <w:numId w:val="3"/>
      </w:numPr>
    </w:pPr>
  </w:style>
  <w:style w:type="paragraph" w:styleId="ListBullet5">
    <w:name w:val="List Bullet 5"/>
    <w:basedOn w:val="List5"/>
    <w:rsid w:val="00DB7B7F"/>
    <w:pPr>
      <w:numPr>
        <w:numId w:val="4"/>
      </w:numPr>
    </w:pPr>
  </w:style>
  <w:style w:type="paragraph" w:styleId="ListContinue2">
    <w:name w:val="List Continue 2"/>
    <w:basedOn w:val="List2"/>
    <w:rsid w:val="00DB7B7F"/>
    <w:pPr>
      <w:ind w:firstLine="0"/>
    </w:pPr>
  </w:style>
  <w:style w:type="paragraph" w:styleId="ListContinue3">
    <w:name w:val="List Continue 3"/>
    <w:basedOn w:val="List3"/>
    <w:rsid w:val="00DB7B7F"/>
    <w:pPr>
      <w:ind w:left="1021" w:firstLine="0"/>
    </w:pPr>
  </w:style>
  <w:style w:type="paragraph" w:styleId="ListContinue4">
    <w:name w:val="List Continue 4"/>
    <w:basedOn w:val="List4"/>
    <w:rsid w:val="00DB7B7F"/>
    <w:pPr>
      <w:ind w:firstLine="0"/>
    </w:pPr>
  </w:style>
  <w:style w:type="paragraph" w:styleId="ListContinue5">
    <w:name w:val="List Continue 5"/>
    <w:basedOn w:val="List5"/>
    <w:rsid w:val="00DB7B7F"/>
    <w:pPr>
      <w:ind w:firstLine="0"/>
    </w:pPr>
  </w:style>
  <w:style w:type="paragraph" w:styleId="ListNumber3">
    <w:name w:val="List Number 3"/>
    <w:basedOn w:val="List3"/>
    <w:rsid w:val="00DB7B7F"/>
    <w:pPr>
      <w:numPr>
        <w:numId w:val="5"/>
      </w:numPr>
    </w:pPr>
  </w:style>
  <w:style w:type="paragraph" w:styleId="ListNumber4">
    <w:name w:val="List Number 4"/>
    <w:basedOn w:val="List4"/>
    <w:rsid w:val="00DB7B7F"/>
    <w:pPr>
      <w:numPr>
        <w:numId w:val="6"/>
      </w:numPr>
    </w:pPr>
  </w:style>
  <w:style w:type="paragraph" w:styleId="ListNumber5">
    <w:name w:val="List Number 5"/>
    <w:basedOn w:val="List5"/>
    <w:rsid w:val="00DB7B7F"/>
    <w:pPr>
      <w:numPr>
        <w:numId w:val="7"/>
      </w:numPr>
    </w:pPr>
  </w:style>
  <w:style w:type="paragraph" w:styleId="BlockText">
    <w:name w:val="Block Text"/>
    <w:basedOn w:val="Normal"/>
    <w:rsid w:val="00DB7B7F"/>
    <w:pPr>
      <w:spacing w:after="120"/>
      <w:ind w:left="1440" w:right="1440"/>
    </w:pPr>
  </w:style>
  <w:style w:type="character" w:customStyle="1" w:styleId="Subscript">
    <w:name w:val="Subscript"/>
    <w:basedOn w:val="DefaultParagraphFont"/>
    <w:rsid w:val="00DB7B7F"/>
    <w:rPr>
      <w:sz w:val="16"/>
      <w:vertAlign w:val="subscript"/>
    </w:rPr>
  </w:style>
  <w:style w:type="character" w:customStyle="1" w:styleId="Superscript">
    <w:name w:val="Superscript"/>
    <w:basedOn w:val="DefaultParagraphFont"/>
    <w:rsid w:val="00DB7B7F"/>
    <w:rPr>
      <w:sz w:val="16"/>
      <w:vertAlign w:val="superscript"/>
    </w:rPr>
  </w:style>
  <w:style w:type="character" w:customStyle="1" w:styleId="Symbols">
    <w:name w:val="Symbols"/>
    <w:basedOn w:val="DefaultParagraphFont"/>
    <w:rsid w:val="00DB7B7F"/>
    <w:rPr>
      <w:rFonts w:ascii="Symbol" w:hAnsi="Symbol"/>
    </w:rPr>
  </w:style>
  <w:style w:type="character" w:customStyle="1" w:styleId="MenuOptions">
    <w:name w:val="Menu Options"/>
    <w:basedOn w:val="DefaultParagraphFont"/>
    <w:rsid w:val="00DB7B7F"/>
    <w:rPr>
      <w:rFonts w:ascii="Arial Narrow" w:hAnsi="Arial Narrow"/>
      <w:smallCaps/>
    </w:rPr>
  </w:style>
  <w:style w:type="character" w:customStyle="1" w:styleId="Buttons">
    <w:name w:val="Buttons"/>
    <w:basedOn w:val="DefaultParagraphFont"/>
    <w:rsid w:val="00DB7B7F"/>
    <w:rPr>
      <w:b/>
    </w:rPr>
  </w:style>
  <w:style w:type="character" w:customStyle="1" w:styleId="Underlined">
    <w:name w:val="Underlined"/>
    <w:basedOn w:val="DefaultParagraphFont"/>
    <w:rsid w:val="00DB7B7F"/>
    <w:rPr>
      <w:u w:val="single"/>
    </w:rPr>
  </w:style>
  <w:style w:type="paragraph" w:customStyle="1" w:styleId="TableBodyTextRight">
    <w:name w:val="Table Body Text Right"/>
    <w:basedOn w:val="TableBodyText"/>
    <w:rsid w:val="00DB7B7F"/>
    <w:pPr>
      <w:widowControl w:val="0"/>
      <w:autoSpaceDE w:val="0"/>
      <w:autoSpaceDN w:val="0"/>
      <w:adjustRightInd w:val="0"/>
      <w:jc w:val="right"/>
    </w:pPr>
    <w:rPr>
      <w:rFonts w:cs="Arial"/>
      <w:szCs w:val="18"/>
    </w:rPr>
  </w:style>
  <w:style w:type="paragraph" w:customStyle="1" w:styleId="CopyrightText">
    <w:name w:val="Copyright Text"/>
    <w:basedOn w:val="BodyText"/>
    <w:rsid w:val="00DB7B7F"/>
    <w:rPr>
      <w:sz w:val="18"/>
    </w:rPr>
  </w:style>
  <w:style w:type="paragraph" w:customStyle="1" w:styleId="BodySmallRight">
    <w:name w:val="Body Small Right"/>
    <w:basedOn w:val="BodyTextRight"/>
    <w:rsid w:val="00DB7B7F"/>
    <w:rPr>
      <w:sz w:val="18"/>
      <w:szCs w:val="18"/>
    </w:rPr>
  </w:style>
  <w:style w:type="paragraph" w:customStyle="1" w:styleId="MarginEdition">
    <w:name w:val="Margin Edition"/>
    <w:basedOn w:val="MarginNote"/>
    <w:rsid w:val="00DB7B7F"/>
    <w:pPr>
      <w:spacing w:before="0" w:after="0"/>
    </w:pPr>
    <w:rPr>
      <w:rFonts w:ascii="Times New Roman" w:hAnsi="Times New Roman"/>
      <w:color w:val="999999"/>
    </w:rPr>
  </w:style>
  <w:style w:type="paragraph" w:customStyle="1" w:styleId="Spacer">
    <w:name w:val="Spacer"/>
    <w:basedOn w:val="Normal"/>
    <w:rsid w:val="00DB7B7F"/>
    <w:rPr>
      <w:sz w:val="2"/>
      <w:szCs w:val="2"/>
    </w:rPr>
  </w:style>
  <w:style w:type="character" w:customStyle="1" w:styleId="Small">
    <w:name w:val="Small"/>
    <w:basedOn w:val="DefaultParagraphFont"/>
    <w:rsid w:val="00DB7B7F"/>
    <w:rPr>
      <w:sz w:val="16"/>
    </w:rPr>
  </w:style>
  <w:style w:type="paragraph" w:customStyle="1" w:styleId="WideTable">
    <w:name w:val="Wide Table"/>
    <w:basedOn w:val="Normal"/>
    <w:rsid w:val="00DB7B7F"/>
    <w:pPr>
      <w:ind w:left="-1418"/>
    </w:pPr>
    <w:rPr>
      <w:sz w:val="2"/>
      <w:szCs w:val="2"/>
    </w:rPr>
  </w:style>
  <w:style w:type="character" w:styleId="PageNumber">
    <w:name w:val="page number"/>
    <w:basedOn w:val="DefaultParagraphFont"/>
    <w:rsid w:val="00DB7B7F"/>
  </w:style>
  <w:style w:type="paragraph" w:styleId="Quote">
    <w:name w:val="Quote"/>
    <w:basedOn w:val="Heading1"/>
    <w:link w:val="QuoteChar"/>
    <w:qFormat/>
    <w:rsid w:val="00DB7B7F"/>
    <w:rPr>
      <w:b w:val="0"/>
      <w:sz w:val="72"/>
      <w:szCs w:val="72"/>
      <w:lang w:val="en-NZ"/>
    </w:rPr>
  </w:style>
  <w:style w:type="character" w:customStyle="1" w:styleId="QuoteChar">
    <w:name w:val="Quote Char"/>
    <w:basedOn w:val="DefaultParagraphFont"/>
    <w:link w:val="Quote"/>
    <w:rsid w:val="00DB7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B7F"/>
    <w:pPr>
      <w:pageBreakBefore/>
    </w:pPr>
  </w:style>
  <w:style w:type="paragraph" w:customStyle="1" w:styleId="Border">
    <w:name w:val="Border"/>
    <w:basedOn w:val="Normal"/>
    <w:qFormat/>
    <w:rsid w:val="00DB7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B7F"/>
    <w:rPr>
      <w:b/>
      <w:bCs/>
      <w:i/>
      <w:iCs/>
      <w:color w:val="auto"/>
    </w:rPr>
  </w:style>
  <w:style w:type="paragraph" w:styleId="IntenseQuote">
    <w:name w:val="Intense Quote"/>
    <w:basedOn w:val="Normal"/>
    <w:next w:val="Normal"/>
    <w:link w:val="IntenseQuoteChar"/>
    <w:uiPriority w:val="30"/>
    <w:qFormat/>
    <w:rsid w:val="00DB7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B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7B7F"/>
    <w:rPr>
      <w:smallCaps/>
      <w:color w:val="auto"/>
      <w:u w:val="single"/>
    </w:rPr>
  </w:style>
  <w:style w:type="character" w:styleId="IntenseReference">
    <w:name w:val="Intense Reference"/>
    <w:basedOn w:val="DefaultParagraphFont"/>
    <w:uiPriority w:val="32"/>
    <w:qFormat/>
    <w:rsid w:val="00DB7B7F"/>
    <w:rPr>
      <w:b/>
      <w:bCs/>
      <w:smallCaps/>
      <w:color w:val="auto"/>
      <w:spacing w:val="5"/>
      <w:u w:val="single"/>
    </w:rPr>
  </w:style>
  <w:style w:type="paragraph" w:customStyle="1" w:styleId="2ColumnHeading">
    <w:name w:val="2Column Heading"/>
    <w:basedOn w:val="BodyText"/>
    <w:qFormat/>
    <w:rsid w:val="00DB7B7F"/>
    <w:pPr>
      <w:spacing w:after="60"/>
      <w:ind w:left="-2268"/>
    </w:pPr>
    <w:rPr>
      <w:b/>
    </w:rPr>
  </w:style>
  <w:style w:type="paragraph" w:customStyle="1" w:styleId="Heading1TOC">
    <w:name w:val="Heading1 TOC"/>
    <w:basedOn w:val="Normal"/>
    <w:qFormat/>
    <w:rsid w:val="00DB7B7F"/>
    <w:pPr>
      <w:spacing w:before="240" w:after="120"/>
    </w:pPr>
    <w:rPr>
      <w:rFonts w:ascii="Times New Roman" w:hAnsi="Times New Roman"/>
      <w:b/>
      <w:sz w:val="32"/>
    </w:rPr>
  </w:style>
  <w:style w:type="paragraph" w:customStyle="1" w:styleId="Heading2TOC">
    <w:name w:val="Heading2 TOC"/>
    <w:basedOn w:val="Normal"/>
    <w:qFormat/>
    <w:rsid w:val="00DB7B7F"/>
    <w:pPr>
      <w:spacing w:before="240" w:after="60"/>
    </w:pPr>
    <w:rPr>
      <w:rFonts w:ascii="Times New Roman" w:hAnsi="Times New Roman"/>
      <w:b/>
      <w:sz w:val="28"/>
    </w:rPr>
  </w:style>
  <w:style w:type="character" w:customStyle="1" w:styleId="Underline">
    <w:name w:val="Underline"/>
    <w:basedOn w:val="DefaultParagraphFont"/>
    <w:qFormat/>
    <w:rsid w:val="00DB7B7F"/>
    <w:rPr>
      <w:u w:val="single"/>
    </w:rPr>
  </w:style>
  <w:style w:type="paragraph" w:styleId="BalloonText">
    <w:name w:val="Balloon Text"/>
    <w:basedOn w:val="Normal"/>
    <w:link w:val="BalloonTextChar"/>
    <w:rsid w:val="00DB7B7F"/>
    <w:rPr>
      <w:rFonts w:ascii="Tahoma" w:hAnsi="Tahoma" w:cs="Tahoma"/>
      <w:sz w:val="16"/>
      <w:szCs w:val="16"/>
    </w:rPr>
  </w:style>
  <w:style w:type="character" w:customStyle="1" w:styleId="BalloonTextChar">
    <w:name w:val="Balloon Text Char"/>
    <w:basedOn w:val="DefaultParagraphFont"/>
    <w:link w:val="BalloonText"/>
    <w:rsid w:val="00DB7B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7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B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811</Words>
  <Characters>4975</Characters>
  <Application>Microsoft Office Word</Application>
  <DocSecurity>0</DocSecurity>
  <Lines>207</Lines>
  <Paragraphs>110</Paragraphs>
  <ScaleCrop>false</ScaleCrop>
  <Company>Author-it Software Corporation Ltd.</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BSBLEG417A Apply the principles of evidence law</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2012-05-26T13:59:00Z</dcterms:created>
  <dcterms:modified xsi:type="dcterms:W3CDTF">2012-05-26T13:59:00Z</dcterms:modified>
</cp:coreProperties>
</file>