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66F" w:rsidP="0037766F">
      <w:pPr>
        <w:pStyle w:val="Title"/>
      </w:pPr>
      <w:r>
        <w:fldChar w:fldCharType="begin"/>
      </w:r>
      <w:r>
        <w:instrText xml:space="preserve"> TITLE   \* MERGEFORMAT </w:instrText>
      </w:r>
      <w:r>
        <w:fldChar w:fldCharType="separate"/>
      </w:r>
      <w:r>
        <w:t>BSBFIM502A Manage payroll</w:t>
      </w:r>
      <w:r>
        <w:fldChar w:fldCharType="end"/>
      </w:r>
    </w:p>
    <w:p w:rsidR="0037766F" w:rsidP="0037766F">
      <w:pPr>
        <w:pStyle w:val="Version"/>
        <w:sectPr w:rsidSect="00B369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69B7" w:rsidP="00B369B7">
      <w:pPr>
        <w:pStyle w:val="SuperHeading"/>
      </w:pPr>
      <w:r w:rsidRPr="00B369B7">
        <w:t>BSBFIM502A Manage payroll</w:t>
      </w:r>
    </w:p>
    <w:p w:rsidR="00000000" w:rsidRPr="00B369B7" w:rsidP="00B369B7">
      <w:pPr>
        <w:pStyle w:val="SuperHeading"/>
      </w:pPr>
    </w:p>
    <w:p w:rsidR="00000000" w:rsidRPr="00B369B7" w:rsidP="00B369B7">
      <w:pPr>
        <w:pStyle w:val="Heading1"/>
      </w:pPr>
      <w:bookmarkStart w:id="1" w:name="O_64035"/>
      <w:bookmarkEnd w:id="1"/>
      <w:r w:rsidRPr="00B369B7">
        <w:t>Modification History</w:t>
      </w:r>
    </w:p>
    <w:p w:rsidR="00000000" w:rsidRPr="00B369B7" w:rsidP="00B369B7">
      <w:pPr>
        <w:pStyle w:val="BodyText"/>
      </w:pPr>
      <w:r w:rsidRPr="00B369B7">
        <w:t>Not applicable.</w:t>
      </w:r>
    </w:p>
    <w:p w:rsidR="00000000" w:rsidRPr="00B369B7" w:rsidP="00B369B7">
      <w:pPr>
        <w:pStyle w:val="AllowPageBreak"/>
      </w:pPr>
    </w:p>
    <w:p w:rsidR="00000000" w:rsidRPr="00B369B7" w:rsidP="00B369B7">
      <w:pPr>
        <w:pStyle w:val="Heading1"/>
      </w:pPr>
      <w:bookmarkStart w:id="2" w:name="O_64036"/>
      <w:bookmarkEnd w:id="2"/>
      <w:r w:rsidRPr="00B369B7">
        <w:t>Unit Descriptor</w:t>
      </w:r>
    </w:p>
    <w:tbl>
      <w:tblPr>
        <w:tblW w:w="0" w:type="auto"/>
        <w:tblLayout w:type="fixed"/>
        <w:tblCellMar>
          <w:left w:w="62" w:type="dxa"/>
          <w:right w:w="62" w:type="dxa"/>
        </w:tblCellMar>
        <w:tblLook w:val="0000"/>
      </w:tblPr>
      <w:tblGrid>
        <w:gridCol w:w="2665"/>
        <w:gridCol w:w="5857"/>
      </w:tblGrid>
      <w:tr w:rsidTr="0037766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t>This unit describes the performance outcomes, skills and knowledge required to establish and monitor security proce</w:t>
            </w:r>
            <w:r w:rsidRPr="00B369B7">
              <w:t>dures for managing organisational payroll services and to calculate and process salary payments, group taxation and related payments.</w:t>
            </w:r>
          </w:p>
          <w:p w:rsidR="00000000" w:rsidRPr="00B369B7" w:rsidP="00B369B7">
            <w:pPr>
              <w:pStyle w:val="BodyText"/>
            </w:pPr>
            <w:r w:rsidRPr="00B369B7">
              <w:t>No licensing, legislative, regulatory or certification requirements apply to this unit at the time of endorsement.</w:t>
            </w: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3" w:name="O_64037"/>
      <w:bookmarkEnd w:id="3"/>
      <w:r w:rsidRPr="00B369B7">
        <w:t>Application of the Unit</w:t>
      </w:r>
    </w:p>
    <w:tbl>
      <w:tblPr>
        <w:tblW w:w="0" w:type="auto"/>
        <w:tblLayout w:type="fixed"/>
        <w:tblCellMar>
          <w:left w:w="62" w:type="dxa"/>
          <w:right w:w="62" w:type="dxa"/>
        </w:tblCellMar>
        <w:tblLook w:val="0000"/>
      </w:tblPr>
      <w:tblGrid>
        <w:gridCol w:w="2754"/>
        <w:gridCol w:w="5768"/>
      </w:tblGrid>
      <w:tr w:rsidTr="0037766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t>This unit applies to individuals employed in a range of work environments who are required to establish and work with payroll systems. They may work as senior administrative staff or may have re</w:t>
            </w:r>
            <w:r w:rsidRPr="00B369B7">
              <w:t>sponsibility for managing payroll systems and calculations.</w:t>
            </w: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4" w:name="O_64038"/>
      <w:bookmarkEnd w:id="4"/>
      <w:r w:rsidRPr="00B369B7">
        <w:t>Licensing/Regulatory Information</w:t>
      </w:r>
    </w:p>
    <w:p w:rsidR="00000000" w:rsidRPr="00B369B7" w:rsidP="00B369B7">
      <w:pPr>
        <w:pStyle w:val="BodyText"/>
      </w:pPr>
      <w:r w:rsidRPr="00B369B7">
        <w:t>Not applicable.</w:t>
      </w:r>
    </w:p>
    <w:p w:rsidR="00000000" w:rsidRPr="00B369B7" w:rsidP="00B369B7">
      <w:pPr>
        <w:pStyle w:val="AllowPageBreak"/>
      </w:pPr>
    </w:p>
    <w:p w:rsidR="00000000" w:rsidRPr="00B369B7" w:rsidP="00B369B7">
      <w:pPr>
        <w:pStyle w:val="Heading1"/>
      </w:pPr>
      <w:bookmarkStart w:id="5" w:name="O_64040"/>
      <w:bookmarkEnd w:id="5"/>
      <w:r w:rsidRPr="00B369B7">
        <w:t>Pre-Requisites</w:t>
      </w:r>
    </w:p>
    <w:tbl>
      <w:tblPr>
        <w:tblW w:w="0" w:type="auto"/>
        <w:tblLayout w:type="fixed"/>
        <w:tblCellMar>
          <w:left w:w="62" w:type="dxa"/>
          <w:right w:w="62" w:type="dxa"/>
        </w:tblCellMar>
        <w:tblLook w:val="0000"/>
      </w:tblPr>
      <w:tblGrid>
        <w:gridCol w:w="2775"/>
        <w:gridCol w:w="1295"/>
        <w:gridCol w:w="4452"/>
      </w:tblGrid>
      <w:tr w:rsidTr="0037766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p>
        </w:tc>
      </w:tr>
      <w:tr w:rsidTr="003776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p>
        </w:tc>
      </w:tr>
      <w:tr w:rsidTr="0037766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6" w:name="O_64039"/>
      <w:bookmarkEnd w:id="6"/>
      <w:r w:rsidRPr="00B369B7">
        <w:t>Employability Skills Information</w:t>
      </w:r>
    </w:p>
    <w:tbl>
      <w:tblPr>
        <w:tblW w:w="0" w:type="auto"/>
        <w:tblLayout w:type="fixed"/>
        <w:tblCellMar>
          <w:left w:w="62" w:type="dxa"/>
          <w:right w:w="62" w:type="dxa"/>
        </w:tblCellMar>
        <w:tblLook w:val="0000"/>
      </w:tblPr>
      <w:tblGrid>
        <w:gridCol w:w="2802"/>
        <w:gridCol w:w="5720"/>
      </w:tblGrid>
      <w:tr w:rsidTr="0037766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t>This unit contains employability skills.</w:t>
            </w: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7" w:name="O_64041"/>
      <w:bookmarkEnd w:id="7"/>
      <w:r w:rsidRPr="00B369B7">
        <w:t>Elements and Performance Criteria Pre-Content</w:t>
      </w:r>
    </w:p>
    <w:tbl>
      <w:tblPr>
        <w:tblW w:w="0" w:type="auto"/>
        <w:tblLayout w:type="fixed"/>
        <w:tblCellMar>
          <w:left w:w="62" w:type="dxa"/>
          <w:right w:w="62" w:type="dxa"/>
        </w:tblCellMar>
        <w:tblLook w:val="0000"/>
      </w:tblPr>
      <w:tblGrid>
        <w:gridCol w:w="2586"/>
        <w:gridCol w:w="5936"/>
      </w:tblGrid>
      <w:tr w:rsidTr="0037766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t>Performance criteria describe the performance needed to demonstrate achievement of the element. Where bold italicised text is used, further information is detailed in the required skills and knowledge section and the range statement. Assessment of performa</w:t>
            </w:r>
            <w:r w:rsidRPr="00B369B7">
              <w:t>nce is to be consistent with the evidence guide.</w:t>
            </w: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8" w:name="O_64042"/>
      <w:bookmarkEnd w:id="8"/>
      <w:r w:rsidRPr="00B369B7">
        <w:t>Elements and Performance Criteria</w:t>
      </w:r>
    </w:p>
    <w:tbl>
      <w:tblPr>
        <w:tblW w:w="0" w:type="auto"/>
        <w:tblLayout w:type="fixed"/>
        <w:tblCellMar>
          <w:left w:w="62" w:type="dxa"/>
          <w:right w:w="62" w:type="dxa"/>
        </w:tblCellMar>
        <w:tblLook w:val="0000"/>
      </w:tblPr>
      <w:tblGrid>
        <w:gridCol w:w="2586"/>
        <w:gridCol w:w="5936"/>
      </w:tblGrid>
      <w:tr w:rsidTr="0037766F">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PERFORMANCE CRITERIA</w:t>
            </w:r>
          </w:p>
        </w:tc>
      </w:tr>
      <w:tr w:rsidTr="0037766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List"/>
              <w:rPr>
                <w:lang w:val="en-NZ"/>
              </w:rPr>
            </w:pPr>
            <w:r w:rsidRPr="00B369B7">
              <w:t>1.</w:t>
            </w:r>
            <w:r w:rsidRPr="00B369B7">
              <w:tab/>
              <w:t>Establish procedures for the management of payroll</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2"/>
            </w:pPr>
            <w:r w:rsidRPr="00B369B7">
              <w:t>1.1.</w:t>
            </w:r>
            <w:r w:rsidRPr="00B369B7">
              <w:tab/>
              <w:t xml:space="preserve">Establish </w:t>
            </w:r>
            <w:r w:rsidRPr="00B369B7">
              <w:rPr>
                <w:rStyle w:val="BoldandItalics"/>
              </w:rPr>
              <w:t>security procedures</w:t>
            </w:r>
            <w:r w:rsidRPr="00B369B7">
              <w:t xml:space="preserve"> that ensure the </w:t>
            </w:r>
            <w:r w:rsidRPr="00B369B7">
              <w:t>confidentiality and security of payroll information</w:t>
            </w:r>
          </w:p>
          <w:p w:rsidR="00000000" w:rsidRPr="00B369B7" w:rsidP="00B369B7">
            <w:pPr>
              <w:pStyle w:val="List2"/>
            </w:pPr>
            <w:r w:rsidRPr="00B369B7">
              <w:t>1.2.</w:t>
            </w:r>
            <w:r w:rsidRPr="00B369B7">
              <w:tab/>
              <w:t xml:space="preserve">Ensure procedures guarantee substantiation of claims for allowances </w:t>
            </w:r>
          </w:p>
          <w:p w:rsidR="00000000" w:rsidRPr="00B369B7" w:rsidP="00B369B7">
            <w:pPr>
              <w:pStyle w:val="List2"/>
            </w:pPr>
            <w:r w:rsidRPr="00B369B7">
              <w:t>1.3.</w:t>
            </w:r>
            <w:r w:rsidRPr="00B369B7">
              <w:tab/>
              <w:t xml:space="preserve">Establish </w:t>
            </w:r>
            <w:r w:rsidRPr="00B369B7">
              <w:rPr>
                <w:rStyle w:val="BoldandItalics"/>
              </w:rPr>
              <w:t>control measures</w:t>
            </w:r>
            <w:r w:rsidRPr="00B369B7">
              <w:t xml:space="preserve"> to safeguard organisation's financial resources in accordance with </w:t>
            </w:r>
            <w:r w:rsidRPr="00B369B7">
              <w:rPr>
                <w:rStyle w:val="BoldandItalics"/>
              </w:rPr>
              <w:t xml:space="preserve">legislative and organisational </w:t>
            </w:r>
            <w:r w:rsidRPr="00B369B7">
              <w:rPr>
                <w:rStyle w:val="BoldandItalics"/>
              </w:rPr>
              <w:t>requirements</w:t>
            </w:r>
          </w:p>
          <w:p w:rsidR="00000000" w:rsidP="00B369B7">
            <w:pPr>
              <w:pStyle w:val="List2"/>
              <w:rPr>
                <w:lang w:val="en-NZ"/>
              </w:rPr>
            </w:pPr>
            <w:r w:rsidRPr="00B369B7">
              <w:t>1.4.</w:t>
            </w:r>
            <w:r w:rsidRPr="00B369B7">
              <w:tab/>
              <w:t>Establish systems to ensure that statutory obligations are met and records are kept for the period determined by government legislation</w:t>
            </w:r>
          </w:p>
        </w:tc>
      </w:tr>
      <w:tr w:rsidTr="0037766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List"/>
              <w:rPr>
                <w:lang w:val="en-NZ"/>
              </w:rPr>
            </w:pPr>
            <w:r w:rsidRPr="00B369B7">
              <w:t>2.</w:t>
            </w:r>
            <w:r w:rsidRPr="00B369B7">
              <w:tab/>
              <w:t>Prepare payroll data</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2"/>
            </w:pPr>
            <w:r w:rsidRPr="00B369B7">
              <w:t>2.1.</w:t>
            </w:r>
            <w:r w:rsidRPr="00B369B7">
              <w:tab/>
              <w:t xml:space="preserve">Use </w:t>
            </w:r>
            <w:r w:rsidRPr="00B369B7">
              <w:rPr>
                <w:rStyle w:val="BoldandItalics"/>
              </w:rPr>
              <w:t>nominated industrial awards</w:t>
            </w:r>
            <w:r w:rsidRPr="00B369B7">
              <w:t xml:space="preserve">, </w:t>
            </w:r>
            <w:r w:rsidRPr="00B369B7">
              <w:rPr>
                <w:rStyle w:val="BoldandItalics"/>
              </w:rPr>
              <w:t>contracts and government legislation</w:t>
            </w:r>
            <w:r w:rsidRPr="00B369B7">
              <w:t xml:space="preserve"> to</w:t>
            </w:r>
            <w:r w:rsidRPr="00B369B7">
              <w:t xml:space="preserve"> </w:t>
            </w:r>
            <w:r w:rsidRPr="00B369B7">
              <w:rPr>
                <w:rStyle w:val="BoldandItalics"/>
              </w:rPr>
              <w:t>calculate gross pay and annual salaries</w:t>
            </w:r>
          </w:p>
          <w:p w:rsidR="00000000" w:rsidRPr="00B369B7" w:rsidP="00B369B7">
            <w:pPr>
              <w:pStyle w:val="List2"/>
            </w:pPr>
            <w:r w:rsidRPr="00B369B7">
              <w:t>2.2.</w:t>
            </w:r>
            <w:r w:rsidRPr="00B369B7">
              <w:tab/>
              <w:t xml:space="preserve">Calculate </w:t>
            </w:r>
            <w:r w:rsidRPr="00B369B7">
              <w:rPr>
                <w:rStyle w:val="BoldandItalics"/>
              </w:rPr>
              <w:t>statutory and voluntary deductions</w:t>
            </w:r>
            <w:r w:rsidRPr="00B369B7">
              <w:t xml:space="preserve"> using government and employee documentation</w:t>
            </w:r>
          </w:p>
          <w:p w:rsidR="00000000" w:rsidP="00B369B7">
            <w:pPr>
              <w:pStyle w:val="List2"/>
              <w:rPr>
                <w:lang w:val="en-NZ"/>
              </w:rPr>
            </w:pPr>
            <w:r w:rsidRPr="00B369B7">
              <w:t>2.3.</w:t>
            </w:r>
            <w:r w:rsidRPr="00B369B7">
              <w:tab/>
              <w:t xml:space="preserve">Provide payroll data to payroll processor for calculation within </w:t>
            </w:r>
            <w:r w:rsidRPr="00B369B7">
              <w:rPr>
                <w:rStyle w:val="BoldandItalics"/>
              </w:rPr>
              <w:t>designated time lines</w:t>
            </w:r>
          </w:p>
        </w:tc>
      </w:tr>
      <w:tr w:rsidTr="0037766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List"/>
              <w:rPr>
                <w:lang w:val="en-NZ"/>
              </w:rPr>
            </w:pPr>
            <w:r w:rsidRPr="00B369B7">
              <w:t>3.</w:t>
            </w:r>
            <w:r w:rsidRPr="00B369B7">
              <w:tab/>
              <w:t>Authorise payment of sala</w:t>
            </w:r>
            <w:r w:rsidRPr="00B369B7">
              <w:t>ries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2"/>
            </w:pPr>
            <w:r w:rsidRPr="00B369B7">
              <w:t>3.1.</w:t>
            </w:r>
            <w:r w:rsidRPr="00B369B7">
              <w:tab/>
              <w:t>Check payroll, and authorise salaries and wages for payment in accordance with organisational policy and procedures</w:t>
            </w:r>
          </w:p>
          <w:p w:rsidR="00000000" w:rsidRPr="00B369B7" w:rsidP="00B369B7">
            <w:pPr>
              <w:pStyle w:val="List2"/>
            </w:pPr>
            <w:r w:rsidRPr="00B369B7">
              <w:t>3.2.</w:t>
            </w:r>
            <w:r w:rsidRPr="00B369B7">
              <w:tab/>
              <w:t>Reconcile salaries, wages and deductions in accordance with organisational policy and procedures</w:t>
            </w:r>
          </w:p>
          <w:p w:rsidR="00000000" w:rsidP="00B369B7">
            <w:pPr>
              <w:pStyle w:val="List2"/>
              <w:rPr>
                <w:lang w:val="en-NZ"/>
              </w:rPr>
            </w:pPr>
            <w:r w:rsidRPr="00B369B7">
              <w:t>3.3.</w:t>
            </w:r>
            <w:r w:rsidRPr="00B369B7">
              <w:tab/>
            </w:r>
            <w:r w:rsidRPr="00B369B7">
              <w:t>Deal with salary, wage and related enquiries in accordance with organisational policy and procedures</w:t>
            </w:r>
          </w:p>
        </w:tc>
      </w:tr>
      <w:tr w:rsidTr="0037766F">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List"/>
              <w:rPr>
                <w:lang w:val="en-NZ"/>
              </w:rPr>
            </w:pPr>
            <w:r w:rsidRPr="00B369B7">
              <w:t>4.</w:t>
            </w:r>
            <w:r w:rsidRPr="00B369B7">
              <w:tab/>
              <w:t>Administer salary records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2"/>
            </w:pPr>
            <w:r w:rsidRPr="00B369B7">
              <w:t>4.1.</w:t>
            </w:r>
            <w:r w:rsidRPr="00B369B7">
              <w:tab/>
              <w:t>Process declaration forms for new and existing employees in accordance with Australian Taxation Office requirements</w:t>
            </w:r>
          </w:p>
          <w:p w:rsidR="00000000" w:rsidRPr="00B369B7" w:rsidP="00B369B7">
            <w:pPr>
              <w:pStyle w:val="List2"/>
            </w:pPr>
            <w:r w:rsidRPr="00B369B7">
              <w:t>4.2.</w:t>
            </w:r>
            <w:r w:rsidRPr="00B369B7">
              <w:tab/>
              <w:t xml:space="preserve">Forward periodic deductions to </w:t>
            </w:r>
            <w:r w:rsidRPr="00B369B7">
              <w:rPr>
                <w:rStyle w:val="BoldandItalics"/>
              </w:rPr>
              <w:t>nominated creditors</w:t>
            </w:r>
            <w:r w:rsidRPr="00B369B7">
              <w:t xml:space="preserve"> within designated time lines</w:t>
            </w:r>
          </w:p>
          <w:p w:rsidR="00000000" w:rsidRPr="00B369B7" w:rsidP="00B369B7">
            <w:pPr>
              <w:pStyle w:val="List2"/>
            </w:pPr>
            <w:r w:rsidRPr="00B369B7">
              <w:t>4.3.</w:t>
            </w:r>
            <w:r w:rsidRPr="00B369B7">
              <w:tab/>
              <w:t>Prepare and despatch payments to government authorities accurately and in accordance with the relevant government legislation</w:t>
            </w:r>
          </w:p>
          <w:p w:rsidR="00000000" w:rsidRPr="00B369B7" w:rsidP="00B369B7">
            <w:pPr>
              <w:pStyle w:val="List2"/>
            </w:pPr>
            <w:r w:rsidRPr="00B369B7">
              <w:t>4.4.</w:t>
            </w:r>
            <w:r w:rsidRPr="00B369B7">
              <w:tab/>
              <w:t>Calculate and transcribe group tax amou</w:t>
            </w:r>
            <w:r w:rsidRPr="00B369B7">
              <w:t>nts and make payments in accordance with taxation procedures</w:t>
            </w:r>
          </w:p>
          <w:p w:rsidR="00000000" w:rsidRPr="00B369B7" w:rsidP="00B369B7">
            <w:pPr>
              <w:pStyle w:val="List2"/>
            </w:pPr>
            <w:r w:rsidRPr="00B369B7">
              <w:t>4.5.</w:t>
            </w:r>
            <w:r w:rsidRPr="00B369B7">
              <w:tab/>
              <w:t>Prepare and reconcile employee group certificate amounts from salary records</w:t>
            </w: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9" w:name="O_64043"/>
      <w:bookmarkEnd w:id="9"/>
      <w:r w:rsidRPr="00B369B7">
        <w:t>Required Skills and Knowledge</w:t>
      </w:r>
    </w:p>
    <w:tbl>
      <w:tblPr>
        <w:tblW w:w="0" w:type="auto"/>
        <w:tblLayout w:type="fixed"/>
        <w:tblCellMar>
          <w:left w:w="62" w:type="dxa"/>
          <w:right w:w="62" w:type="dxa"/>
        </w:tblCellMar>
        <w:tblLook w:val="0000"/>
      </w:tblPr>
      <w:tblGrid>
        <w:gridCol w:w="8522"/>
      </w:tblGrid>
      <w:tr w:rsidTr="0037766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REQUIRED SKILLS AND KNOWLEDGE</w:t>
            </w:r>
          </w:p>
        </w:tc>
      </w:tr>
      <w:tr w:rsidTr="0037766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t>This section describes the skills and knowledge required for this unit.</w:t>
            </w:r>
          </w:p>
        </w:tc>
      </w:tr>
      <w:tr w:rsidTr="003776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Required skills</w:t>
            </w:r>
          </w:p>
        </w:tc>
      </w:tr>
      <w:tr w:rsidTr="003776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communication skills to answer enquiries, and to explain and resolve discrepancies with employees</w:t>
            </w:r>
          </w:p>
          <w:p w:rsidR="00000000" w:rsidRPr="00B369B7" w:rsidP="00B369B7">
            <w:pPr>
              <w:pStyle w:val="ListBullet"/>
            </w:pPr>
            <w:r w:rsidRPr="00B369B7">
              <w:t>literacy skills to follow complex financial procedures and to follow and write detailed instructions</w:t>
            </w:r>
          </w:p>
          <w:p w:rsidR="00000000" w:rsidRPr="00B369B7" w:rsidP="00B369B7">
            <w:pPr>
              <w:pStyle w:val="ListBullet"/>
            </w:pPr>
            <w:r w:rsidRPr="00B369B7">
              <w:t>numeracy skills to:</w:t>
            </w:r>
          </w:p>
          <w:p w:rsidR="00000000" w:rsidRPr="00B369B7" w:rsidP="00B369B7">
            <w:pPr>
              <w:pStyle w:val="ListBullet"/>
            </w:pPr>
            <w:r w:rsidRPr="00B369B7">
              <w:t>use financial formulae</w:t>
            </w:r>
          </w:p>
          <w:p w:rsidR="00000000" w:rsidRPr="00B369B7" w:rsidP="00B369B7">
            <w:pPr>
              <w:pStyle w:val="ListBullet"/>
            </w:pPr>
            <w:r w:rsidRPr="00B369B7">
              <w:t>calculate gross and net pay</w:t>
            </w:r>
          </w:p>
          <w:p w:rsidR="00000000" w:rsidRPr="00B369B7" w:rsidP="00B369B7">
            <w:pPr>
              <w:pStyle w:val="ListBullet"/>
            </w:pPr>
            <w:r w:rsidRPr="00B369B7">
              <w:t>compare differing rates of pay over a given time span of the same nature</w:t>
            </w:r>
          </w:p>
          <w:p w:rsidR="00000000" w:rsidRPr="00B369B7" w:rsidP="00B369B7">
            <w:pPr>
              <w:pStyle w:val="ListBullet"/>
            </w:pPr>
            <w:r w:rsidRPr="00B369B7">
              <w:t>prepare cas</w:t>
            </w:r>
            <w:r w:rsidRPr="00B369B7">
              <w:t>h analysis sheets</w:t>
            </w:r>
          </w:p>
          <w:p w:rsidR="00000000" w:rsidRPr="00B369B7" w:rsidP="00B369B7">
            <w:pPr>
              <w:pStyle w:val="ListBullet"/>
            </w:pPr>
            <w:r w:rsidRPr="00B369B7">
              <w:t>reconcile figures and rectify anomalies to ensure accuracy.</w:t>
            </w:r>
          </w:p>
          <w:p w:rsidR="00000000" w:rsidP="00B369B7">
            <w:pPr>
              <w:pStyle w:val="BodyText"/>
              <w:rPr>
                <w:lang w:val="en-NZ"/>
              </w:rPr>
            </w:pPr>
          </w:p>
        </w:tc>
      </w:tr>
      <w:tr w:rsidTr="003776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Required knowledge</w:t>
            </w:r>
          </w:p>
        </w:tc>
      </w:tr>
      <w:tr w:rsidTr="003776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 xml:space="preserve">key provisions of relevant legislation from all forms of government, standards, regulations and codes that may affect aspects of business operations, such </w:t>
            </w:r>
            <w:r w:rsidRPr="00B369B7">
              <w:t>as:</w:t>
            </w:r>
          </w:p>
          <w:p w:rsidR="00000000" w:rsidRPr="00B369B7" w:rsidP="00B369B7">
            <w:pPr>
              <w:pStyle w:val="ListBullet"/>
            </w:pPr>
            <w:r w:rsidRPr="00B369B7">
              <w:t xml:space="preserve">Australian Taxation Office regulations </w:t>
            </w:r>
          </w:p>
          <w:p w:rsidR="00000000" w:rsidRPr="00B369B7" w:rsidP="00B369B7">
            <w:pPr>
              <w:pStyle w:val="ListBullet"/>
            </w:pPr>
            <w:r w:rsidRPr="00B369B7">
              <w:t>anti-discrimination legislation</w:t>
            </w:r>
          </w:p>
          <w:p w:rsidR="00000000" w:rsidRPr="00B369B7" w:rsidP="00B369B7">
            <w:pPr>
              <w:pStyle w:val="ListBullet"/>
            </w:pPr>
            <w:r w:rsidRPr="00B369B7">
              <w:t>ethical principles</w:t>
            </w:r>
          </w:p>
          <w:p w:rsidR="00000000" w:rsidRPr="00B369B7" w:rsidP="00B369B7">
            <w:pPr>
              <w:pStyle w:val="ListBullet"/>
            </w:pPr>
            <w:r w:rsidRPr="00B369B7">
              <w:t>codes of practice</w:t>
            </w:r>
          </w:p>
          <w:p w:rsidR="00000000" w:rsidRPr="00B369B7" w:rsidP="00B369B7">
            <w:pPr>
              <w:pStyle w:val="ListBullet"/>
            </w:pPr>
            <w:r w:rsidRPr="00B369B7">
              <w:t>financial legislation</w:t>
            </w:r>
          </w:p>
          <w:p w:rsidR="00000000" w:rsidRPr="00B369B7" w:rsidP="00B369B7">
            <w:pPr>
              <w:pStyle w:val="ListBullet"/>
            </w:pPr>
            <w:r w:rsidRPr="00B369B7">
              <w:t>privacy laws</w:t>
            </w:r>
          </w:p>
          <w:p w:rsidR="00000000" w:rsidRPr="00B369B7" w:rsidP="00B369B7">
            <w:pPr>
              <w:pStyle w:val="ListBullet"/>
            </w:pPr>
            <w:r w:rsidRPr="00B369B7">
              <w:t>relevant industrial awards</w:t>
            </w:r>
          </w:p>
          <w:p w:rsidR="00000000" w:rsidRPr="00B369B7" w:rsidP="00B369B7">
            <w:pPr>
              <w:pStyle w:val="ListBullet"/>
            </w:pPr>
            <w:r w:rsidRPr="00B369B7">
              <w:t>other relevant government and statutory bodies in relation to payroll</w:t>
            </w:r>
          </w:p>
          <w:p w:rsidR="00000000" w:rsidRPr="00B369B7" w:rsidP="00B369B7">
            <w:pPr>
              <w:pStyle w:val="ListBullet"/>
            </w:pPr>
            <w:r w:rsidRPr="00B369B7">
              <w:t>Superannuation Guarantee (Administration) Act and superannuation regulations</w:t>
            </w:r>
          </w:p>
          <w:p w:rsidR="00000000" w:rsidRPr="00B369B7" w:rsidP="00B369B7">
            <w:pPr>
              <w:pStyle w:val="ListBullet"/>
            </w:pPr>
            <w:r w:rsidRPr="00B369B7">
              <w:t>organisational policies and procedures across the full range of tasks requiredpayroll processes.</w:t>
            </w: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10" w:name="O_64044"/>
      <w:bookmarkEnd w:id="10"/>
      <w:r w:rsidRPr="00B369B7">
        <w:t>Evidence Guide</w:t>
      </w:r>
    </w:p>
    <w:tbl>
      <w:tblPr>
        <w:tblW w:w="9570" w:type="dxa"/>
        <w:tblLayout w:type="fixed"/>
        <w:tblCellMar>
          <w:left w:w="62" w:type="dxa"/>
          <w:right w:w="62" w:type="dxa"/>
        </w:tblCellMar>
        <w:tblLook w:val="0000"/>
      </w:tblPr>
      <w:tblGrid>
        <w:gridCol w:w="3908"/>
        <w:gridCol w:w="5662"/>
      </w:tblGrid>
      <w:tr w:rsidTr="0037766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EVIDENCE GUIDE</w:t>
            </w:r>
          </w:p>
        </w:tc>
      </w:tr>
      <w:tr w:rsidTr="003776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t>The Evidence Guide provides advice on assessment and must be read in conjunction with the performance criteria, required skills and knowledge, range statement and the Assessment Guidelines for the Training Package.</w:t>
            </w:r>
          </w:p>
        </w:tc>
      </w:tr>
      <w:tr w:rsidTr="003776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p>
        </w:tc>
      </w:tr>
      <w:tr w:rsidTr="003776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Critical aspec</w:t>
            </w:r>
            <w:r w:rsidRPr="00B369B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t>Evidence of the following is essential:</w:t>
            </w:r>
          </w:p>
          <w:p w:rsidR="00000000" w:rsidRPr="00B369B7" w:rsidP="00B369B7">
            <w:pPr>
              <w:pStyle w:val="ListBullet"/>
            </w:pPr>
            <w:r w:rsidRPr="00B369B7">
              <w:t>documenting steps undertaken to establish payroll system</w:t>
            </w:r>
          </w:p>
          <w:p w:rsidR="00000000" w:rsidRPr="00B369B7" w:rsidP="00B369B7">
            <w:pPr>
              <w:pStyle w:val="ListBullet"/>
            </w:pPr>
            <w:r w:rsidRPr="00B369B7">
              <w:t>using data and calculations to calculate payroll, including a range of deductions</w:t>
            </w:r>
          </w:p>
          <w:p w:rsidR="00000000" w:rsidP="00B369B7">
            <w:pPr>
              <w:pStyle w:val="ListBullet"/>
              <w:rPr>
                <w:lang w:val="en-NZ"/>
              </w:rPr>
            </w:pPr>
            <w:r w:rsidRPr="00B369B7">
              <w:t>preparing appropriate records to record payroll processing.</w:t>
            </w:r>
          </w:p>
        </w:tc>
      </w:tr>
      <w:tr w:rsidTr="003776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t>Assessment must ensure:</w:t>
            </w:r>
          </w:p>
          <w:p w:rsidR="00000000" w:rsidRPr="00B369B7" w:rsidP="00B369B7">
            <w:pPr>
              <w:pStyle w:val="ListBullet"/>
            </w:pPr>
            <w:r w:rsidRPr="00B369B7">
              <w:t>access to office equipment and resources, such as:</w:t>
            </w:r>
          </w:p>
          <w:p w:rsidR="00000000" w:rsidRPr="00B369B7" w:rsidP="00B369B7">
            <w:pPr>
              <w:pStyle w:val="ListBullet2"/>
            </w:pPr>
            <w:r w:rsidRPr="00B369B7">
              <w:t>Australian Accounting and Auditing Standards</w:t>
            </w:r>
          </w:p>
          <w:p w:rsidR="00000000" w:rsidRPr="00B369B7" w:rsidP="00B369B7">
            <w:pPr>
              <w:pStyle w:val="ListBullet2"/>
            </w:pPr>
            <w:r w:rsidRPr="00B369B7">
              <w:t>calculator</w:t>
            </w:r>
          </w:p>
          <w:p w:rsidR="00000000" w:rsidRPr="00B369B7" w:rsidP="00B369B7">
            <w:pPr>
              <w:pStyle w:val="ListBullet2"/>
            </w:pPr>
            <w:r w:rsidRPr="00B369B7">
              <w:t>certified or workplace agreements</w:t>
            </w:r>
          </w:p>
          <w:p w:rsidR="00000000" w:rsidRPr="00B369B7" w:rsidP="00B369B7">
            <w:pPr>
              <w:pStyle w:val="ListBullet2"/>
            </w:pPr>
            <w:r w:rsidRPr="00B369B7">
              <w:t>computer equipment and relevant software</w:t>
            </w:r>
          </w:p>
          <w:p w:rsidR="00000000" w:rsidRPr="00B369B7" w:rsidP="00B369B7">
            <w:pPr>
              <w:pStyle w:val="ListBullet2"/>
            </w:pPr>
            <w:r w:rsidRPr="00B369B7">
              <w:t>HECS/HELP documentation</w:t>
            </w:r>
          </w:p>
          <w:p w:rsidR="00000000" w:rsidRPr="00B369B7" w:rsidP="00B369B7">
            <w:pPr>
              <w:pStyle w:val="ListBullet2"/>
            </w:pPr>
            <w:r w:rsidRPr="00B369B7">
              <w:t>organisation's accounting system</w:t>
            </w:r>
          </w:p>
          <w:p w:rsidR="00000000" w:rsidRPr="00B369B7" w:rsidP="00B369B7">
            <w:pPr>
              <w:pStyle w:val="ListBullet2"/>
            </w:pPr>
            <w:r w:rsidRPr="00B369B7">
              <w:t>organisational contracts</w:t>
            </w:r>
          </w:p>
          <w:p w:rsidR="00000000" w:rsidRPr="00B369B7" w:rsidP="00B369B7">
            <w:pPr>
              <w:pStyle w:val="ListBullet2"/>
            </w:pPr>
            <w:r w:rsidRPr="00B369B7">
              <w:t>paper-based or electronic payroll system</w:t>
            </w:r>
          </w:p>
          <w:p w:rsidR="00000000" w:rsidRPr="00B369B7" w:rsidP="00B369B7">
            <w:pPr>
              <w:pStyle w:val="ListBullet2"/>
            </w:pPr>
            <w:r w:rsidRPr="00B369B7">
              <w:t>relevant Australian Taxation Office legislation</w:t>
            </w:r>
          </w:p>
          <w:p w:rsidR="00000000" w:rsidRPr="00B369B7" w:rsidP="00B369B7">
            <w:pPr>
              <w:pStyle w:val="ListBullet2"/>
            </w:pPr>
            <w:r w:rsidRPr="00B369B7">
              <w:t>relevant industrial Awards</w:t>
            </w:r>
          </w:p>
          <w:p w:rsidR="00000000" w:rsidRPr="00B369B7" w:rsidP="00B369B7">
            <w:pPr>
              <w:pStyle w:val="ListBullet2"/>
            </w:pPr>
            <w:r w:rsidRPr="00B369B7">
              <w:t xml:space="preserve">Superannuation Guarantee (Administration) Act </w:t>
            </w:r>
          </w:p>
          <w:p w:rsidR="00000000" w:rsidP="00B369B7">
            <w:pPr>
              <w:pStyle w:val="ListBullet"/>
              <w:rPr>
                <w:lang w:val="en-NZ"/>
              </w:rPr>
            </w:pPr>
            <w:r w:rsidRPr="00B369B7">
              <w:t>access to samples of financial data.</w:t>
            </w:r>
          </w:p>
        </w:tc>
      </w:tr>
      <w:tr w:rsidTr="003776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t>A range of assessment methods should be used to assess practical skills and knowledge. The following examples are appropriate for this unit:</w:t>
            </w:r>
          </w:p>
          <w:p w:rsidR="00000000" w:rsidRPr="00B369B7" w:rsidP="00B369B7">
            <w:pPr>
              <w:pStyle w:val="ListBullet"/>
            </w:pPr>
            <w:r w:rsidRPr="00B369B7">
              <w:t>analysis of responses to case studies and scenarios</w:t>
            </w:r>
          </w:p>
          <w:p w:rsidR="00000000" w:rsidRPr="00B369B7" w:rsidP="00B369B7">
            <w:pPr>
              <w:pStyle w:val="ListBullet"/>
            </w:pPr>
            <w:r w:rsidRPr="00B369B7">
              <w:t xml:space="preserve">demonstration of techniques </w:t>
            </w:r>
          </w:p>
          <w:p w:rsidR="00000000" w:rsidRPr="00B369B7" w:rsidP="00B369B7">
            <w:pPr>
              <w:pStyle w:val="ListBullet"/>
            </w:pPr>
            <w:r w:rsidRPr="00B369B7">
              <w:t xml:space="preserve">direct questioning combined with </w:t>
            </w:r>
            <w:r w:rsidRPr="00B369B7">
              <w:t>review of portfolios of evidence and third party workplace reports of on-the-job performance by the candidate</w:t>
            </w:r>
          </w:p>
          <w:p w:rsidR="00000000" w:rsidRPr="00B369B7" w:rsidP="00B369B7">
            <w:pPr>
              <w:pStyle w:val="ListBullet"/>
            </w:pPr>
            <w:r w:rsidRPr="00B369B7">
              <w:t>review of authenticated documents from the workplace or training environment</w:t>
            </w:r>
          </w:p>
          <w:p w:rsidR="00000000" w:rsidP="00B369B7">
            <w:pPr>
              <w:pStyle w:val="ListBullet"/>
              <w:rPr>
                <w:lang w:val="en-NZ"/>
              </w:rPr>
            </w:pPr>
            <w:r w:rsidRPr="00B369B7">
              <w:t>oral or written questioning to assess knowledge of accounting procedu</w:t>
            </w:r>
            <w:r w:rsidRPr="00B369B7">
              <w:t>res and techniques.</w:t>
            </w:r>
          </w:p>
        </w:tc>
      </w:tr>
      <w:tr w:rsidTr="003776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t>Holistic assessment with other units relevant to the industry sector, workplace and job role is recommended, for example:</w:t>
            </w:r>
          </w:p>
          <w:p w:rsidR="00000000" w:rsidRPr="00B369B7" w:rsidP="00B369B7">
            <w:pPr>
              <w:pStyle w:val="ListBullet"/>
            </w:pPr>
            <w:r w:rsidRPr="00B369B7">
              <w:t>financial administrationunits</w:t>
            </w:r>
          </w:p>
          <w:p w:rsidR="00000000" w:rsidRPr="00B369B7" w:rsidP="00B369B7">
            <w:pPr>
              <w:pStyle w:val="ListBullet"/>
            </w:pPr>
            <w:r w:rsidRPr="00B369B7">
              <w:t>other financial management units.</w:t>
            </w: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11" w:name="O_64045"/>
      <w:bookmarkEnd w:id="11"/>
      <w:r w:rsidRPr="00B369B7">
        <w:t>Range Statement</w:t>
      </w:r>
    </w:p>
    <w:tbl>
      <w:tblPr>
        <w:tblW w:w="0" w:type="auto"/>
        <w:tblLayout w:type="fixed"/>
        <w:tblCellMar>
          <w:left w:w="62" w:type="dxa"/>
          <w:right w:w="62" w:type="dxa"/>
        </w:tblCellMar>
        <w:tblLook w:val="0000"/>
      </w:tblPr>
      <w:tblGrid>
        <w:gridCol w:w="3510"/>
        <w:gridCol w:w="5012"/>
      </w:tblGrid>
      <w:tr w:rsidTr="0037766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RANGE STATEMENT</w:t>
            </w:r>
          </w:p>
        </w:tc>
      </w:tr>
      <w:tr w:rsidTr="003776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t>The range statement relates to the unit of competency as a whole. It allows for different work environments and situations that may affect performance. Bold italicised wording, if used in the performance criteria, i</w:t>
            </w:r>
            <w:r w:rsidRPr="00B369B7">
              <w:t>s detailed below. Essential operating conditions that may be present with training and assessment (depending on the work situation, needs of the candidate, accessibility of the item, and local industry and regional contexts) may also be included.</w:t>
            </w:r>
          </w:p>
        </w:tc>
      </w:tr>
      <w:tr w:rsidTr="0037766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BoldandItalics"/>
              </w:rPr>
              <w:t>Securit</w:t>
            </w:r>
            <w:r w:rsidRPr="00B369B7">
              <w:rPr>
                <w:rStyle w:val="BoldandItalics"/>
              </w:rPr>
              <w:t>y procedures</w:t>
            </w:r>
            <w:r w:rsidRPr="00B369B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authorised access</w:t>
            </w:r>
          </w:p>
          <w:p w:rsidR="00000000" w:rsidRPr="00B369B7" w:rsidP="00B369B7">
            <w:pPr>
              <w:pStyle w:val="ListBullet"/>
            </w:pPr>
            <w:r w:rsidRPr="00B369B7">
              <w:t>back-up files</w:t>
            </w:r>
          </w:p>
          <w:p w:rsidR="00000000" w:rsidRPr="00B369B7" w:rsidP="00B369B7">
            <w:pPr>
              <w:pStyle w:val="ListBullet"/>
            </w:pPr>
            <w:r w:rsidRPr="00B369B7">
              <w:t xml:space="preserve">computer passwords </w:t>
            </w:r>
          </w:p>
          <w:p w:rsidR="00000000" w:rsidRPr="00B369B7" w:rsidP="00B369B7">
            <w:pPr>
              <w:pStyle w:val="ListBullet"/>
            </w:pPr>
            <w:r w:rsidRPr="00B369B7">
              <w:t>employees signing for pay</w:t>
            </w:r>
          </w:p>
          <w:p w:rsidR="00000000" w:rsidRPr="00B369B7" w:rsidP="00B369B7">
            <w:pPr>
              <w:pStyle w:val="ListBullet"/>
            </w:pPr>
            <w:r w:rsidRPr="00B369B7">
              <w:t>ensuring security of passwords and keys</w:t>
            </w:r>
          </w:p>
          <w:p w:rsidR="00000000" w:rsidRPr="00B369B7" w:rsidP="00B369B7">
            <w:pPr>
              <w:pStyle w:val="ListBullet"/>
            </w:pPr>
            <w:r w:rsidRPr="00B369B7">
              <w:t>keeping payroll documents secure</w:t>
            </w:r>
          </w:p>
          <w:p w:rsidR="00000000" w:rsidRPr="00B369B7" w:rsidP="00B369B7">
            <w:pPr>
              <w:pStyle w:val="ListBullet"/>
            </w:pPr>
            <w:r w:rsidRPr="00B369B7">
              <w:t>maintaining security and confidentiality of employees' details</w:t>
            </w:r>
          </w:p>
          <w:p w:rsidR="00000000" w:rsidRPr="00B369B7" w:rsidP="00B369B7">
            <w:pPr>
              <w:pStyle w:val="ListBullet"/>
            </w:pPr>
            <w:r w:rsidRPr="00B369B7">
              <w:t>numbering payroll registers</w:t>
            </w:r>
          </w:p>
          <w:p w:rsidR="00000000" w:rsidRPr="00B369B7" w:rsidP="00B369B7">
            <w:pPr>
              <w:pStyle w:val="ListBullet"/>
            </w:pPr>
            <w:r w:rsidRPr="00B369B7">
              <w:t>restricting access to electronic files and locking paper-based confidential information</w:t>
            </w:r>
          </w:p>
          <w:p w:rsidR="00000000" w:rsidRPr="00B369B7" w:rsidP="00B369B7">
            <w:pPr>
              <w:pStyle w:val="ListBullet"/>
            </w:pPr>
            <w:r w:rsidRPr="00B369B7">
              <w:t>separating locations of confidential information</w:t>
            </w:r>
          </w:p>
          <w:p w:rsidR="00000000" w:rsidRPr="00B369B7" w:rsidP="00B369B7">
            <w:pPr>
              <w:pStyle w:val="ListBullet"/>
            </w:pPr>
            <w:r w:rsidRPr="00B369B7">
              <w:t xml:space="preserve">storage of information off site </w:t>
            </w:r>
          </w:p>
          <w:p w:rsidR="00000000" w:rsidP="00B369B7">
            <w:pPr>
              <w:pStyle w:val="ListBullet"/>
              <w:rPr>
                <w:lang w:val="en-NZ"/>
              </w:rPr>
            </w:pPr>
            <w:r w:rsidRPr="00B369B7">
              <w:t>supervision of timesheets</w:t>
            </w:r>
          </w:p>
        </w:tc>
      </w:tr>
      <w:tr w:rsidTr="0037766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BoldandItalics"/>
              </w:rPr>
              <w:t>Control measures</w:t>
            </w:r>
            <w:r w:rsidRPr="00B369B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authorisation requirements</w:t>
            </w:r>
          </w:p>
          <w:p w:rsidR="00000000" w:rsidRPr="00B369B7" w:rsidP="00B369B7">
            <w:pPr>
              <w:pStyle w:val="ListBullet"/>
            </w:pPr>
            <w:r w:rsidRPr="00B369B7">
              <w:t>dual checking system</w:t>
            </w:r>
          </w:p>
          <w:p w:rsidR="00000000" w:rsidRPr="00B369B7" w:rsidP="00B369B7">
            <w:pPr>
              <w:pStyle w:val="ListBullet"/>
            </w:pPr>
            <w:r w:rsidRPr="00B369B7">
              <w:t xml:space="preserve">internal control policies and procedures </w:t>
            </w:r>
          </w:p>
          <w:p w:rsidR="00000000" w:rsidRPr="00B369B7" w:rsidP="00B369B7">
            <w:pPr>
              <w:pStyle w:val="ListBullet"/>
            </w:pPr>
            <w:r w:rsidRPr="00B369B7">
              <w:t>multiple checks and balances</w:t>
            </w:r>
          </w:p>
          <w:p w:rsidR="00000000" w:rsidRPr="00B369B7" w:rsidP="00B369B7">
            <w:pPr>
              <w:pStyle w:val="ListBullet"/>
            </w:pPr>
            <w:r w:rsidRPr="00B369B7">
              <w:t>reconciliation of records</w:t>
            </w:r>
          </w:p>
          <w:p w:rsidR="00000000" w:rsidP="00B369B7">
            <w:pPr>
              <w:pStyle w:val="ListBullet"/>
              <w:rPr>
                <w:lang w:val="en-NZ"/>
              </w:rPr>
            </w:pPr>
            <w:r w:rsidRPr="00B369B7">
              <w:t>separation of duties</w:t>
            </w:r>
          </w:p>
        </w:tc>
      </w:tr>
      <w:tr w:rsidTr="0037766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BoldandItalics"/>
              </w:rPr>
              <w:t>Legislative and organisational requirements</w:t>
            </w:r>
            <w:r w:rsidRPr="00B369B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Australian Accounting and Auditing Standards</w:t>
            </w:r>
          </w:p>
          <w:p w:rsidR="00000000" w:rsidRPr="00B369B7" w:rsidP="00B369B7">
            <w:pPr>
              <w:pStyle w:val="ListBullet"/>
            </w:pPr>
            <w:r w:rsidRPr="00B369B7">
              <w:t>Australian Securities and Investments Commission (ASIC) requirements</w:t>
            </w:r>
          </w:p>
          <w:p w:rsidR="00000000" w:rsidRPr="00B369B7" w:rsidP="00B369B7">
            <w:pPr>
              <w:pStyle w:val="ListBullet"/>
            </w:pPr>
            <w:r w:rsidRPr="00B369B7">
              <w:t>Australian Taxation Office regulations</w:t>
            </w:r>
          </w:p>
          <w:p w:rsidR="00000000" w:rsidRPr="00B369B7" w:rsidP="00B369B7">
            <w:pPr>
              <w:pStyle w:val="ListBullet"/>
            </w:pPr>
            <w:r w:rsidRPr="00B369B7">
              <w:t>corporations law</w:t>
            </w:r>
          </w:p>
          <w:p w:rsidR="00000000" w:rsidRPr="00B369B7" w:rsidP="00B369B7">
            <w:pPr>
              <w:pStyle w:val="ListBullet"/>
            </w:pPr>
            <w:r w:rsidRPr="00B369B7">
              <w:t>Fringe Benefits Tax (FBT)</w:t>
            </w:r>
          </w:p>
          <w:p w:rsidR="00000000" w:rsidRPr="00B369B7" w:rsidP="00B369B7">
            <w:pPr>
              <w:pStyle w:val="ListBullet"/>
            </w:pPr>
            <w:r w:rsidRPr="00B369B7">
              <w:t>Higher Education Contribution Scheme (HECS)</w:t>
            </w:r>
          </w:p>
          <w:p w:rsidR="00000000" w:rsidRPr="00B369B7" w:rsidP="00B369B7">
            <w:pPr>
              <w:pStyle w:val="ListBullet"/>
            </w:pPr>
            <w:r w:rsidRPr="00B369B7">
              <w:t>Higher Education</w:t>
            </w:r>
            <w:r w:rsidRPr="00B369B7">
              <w:t xml:space="preserve"> Loan Programme (HELP)</w:t>
            </w:r>
          </w:p>
          <w:p w:rsidR="00000000" w:rsidRPr="00B369B7" w:rsidP="00B369B7">
            <w:pPr>
              <w:pStyle w:val="ListBullet"/>
            </w:pPr>
            <w:r w:rsidRPr="00B369B7">
              <w:t xml:space="preserve">legislation and regulations in relation to superannuation such as the Superannuation Guarantee (Administration) Act </w:t>
            </w:r>
          </w:p>
          <w:p w:rsidR="00000000" w:rsidRPr="00B369B7" w:rsidP="00B369B7">
            <w:pPr>
              <w:pStyle w:val="ListBullet"/>
            </w:pPr>
            <w:r w:rsidRPr="00B369B7">
              <w:t xml:space="preserve">organisational policy and procedures for cash handling </w:t>
            </w:r>
          </w:p>
          <w:p w:rsidR="00000000" w:rsidRPr="00B369B7" w:rsidP="00B369B7">
            <w:pPr>
              <w:pStyle w:val="ListBullet"/>
            </w:pPr>
            <w:r w:rsidRPr="00B369B7">
              <w:t>Pay As You Go (PAYG) tax</w:t>
            </w:r>
          </w:p>
          <w:p w:rsidR="00000000" w:rsidRPr="00B369B7" w:rsidP="00B369B7">
            <w:pPr>
              <w:pStyle w:val="ListBullet"/>
            </w:pPr>
            <w:r w:rsidRPr="00B369B7">
              <w:t>superannuation</w:t>
            </w:r>
          </w:p>
          <w:p w:rsidR="00000000" w:rsidP="00B369B7">
            <w:pPr>
              <w:pStyle w:val="ListBullet"/>
              <w:rPr>
                <w:lang w:val="en-NZ"/>
              </w:rPr>
            </w:pPr>
            <w:r w:rsidRPr="00B369B7">
              <w:t>tax file number</w:t>
            </w:r>
          </w:p>
        </w:tc>
      </w:tr>
      <w:tr w:rsidTr="0037766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BoldandItalics"/>
              </w:rPr>
              <w:t>Nominated industrial awards</w:t>
            </w:r>
            <w:r w:rsidRPr="00B369B7">
              <w:t xml:space="preserve">, </w:t>
            </w:r>
            <w:r w:rsidRPr="00B369B7">
              <w:rPr>
                <w:rStyle w:val="BoldandItalics"/>
              </w:rPr>
              <w:t>contracts and government legislation</w:t>
            </w:r>
            <w:r w:rsidRPr="00B369B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 xml:space="preserve">certified and workplace agreements </w:t>
            </w:r>
          </w:p>
          <w:p w:rsidR="00000000" w:rsidRPr="00B369B7" w:rsidP="00B369B7">
            <w:pPr>
              <w:pStyle w:val="ListBullet"/>
            </w:pPr>
            <w:r w:rsidRPr="00B369B7">
              <w:t>enterprise agreements</w:t>
            </w:r>
          </w:p>
          <w:p w:rsidR="00000000" w:rsidRPr="00B369B7" w:rsidP="00B369B7">
            <w:pPr>
              <w:pStyle w:val="ListBullet"/>
            </w:pPr>
            <w:r w:rsidRPr="00B369B7">
              <w:t>federal and state/territory awards</w:t>
            </w:r>
          </w:p>
          <w:p w:rsidR="00000000" w:rsidP="00B369B7">
            <w:pPr>
              <w:pStyle w:val="ListBullet"/>
              <w:rPr>
                <w:lang w:val="en-NZ"/>
              </w:rPr>
            </w:pPr>
            <w:r w:rsidRPr="00B369B7">
              <w:t>use of Wageline</w:t>
            </w:r>
          </w:p>
        </w:tc>
      </w:tr>
      <w:tr w:rsidTr="0037766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BoldandItalics"/>
              </w:rPr>
              <w:t>Calculating gross pay and annual salaries</w:t>
            </w:r>
            <w:r w:rsidRPr="00B369B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allowances</w:t>
            </w:r>
          </w:p>
          <w:p w:rsidR="00000000" w:rsidRPr="00B369B7" w:rsidP="00B369B7">
            <w:pPr>
              <w:pStyle w:val="ListBullet"/>
            </w:pPr>
            <w:r w:rsidRPr="00B369B7">
              <w:t>annual leave loading</w:t>
            </w:r>
          </w:p>
          <w:p w:rsidR="00000000" w:rsidRPr="00B369B7" w:rsidP="00B369B7">
            <w:pPr>
              <w:pStyle w:val="ListBullet"/>
            </w:pPr>
            <w:r w:rsidRPr="00B369B7">
              <w:t>appropriate pay structure</w:t>
            </w:r>
          </w:p>
          <w:p w:rsidR="00000000" w:rsidRPr="00B369B7" w:rsidP="00B369B7">
            <w:pPr>
              <w:pStyle w:val="ListBullet"/>
            </w:pPr>
            <w:r w:rsidRPr="00B369B7">
              <w:t>deductions</w:t>
            </w:r>
          </w:p>
          <w:p w:rsidR="00000000" w:rsidRPr="00B369B7" w:rsidP="00B369B7">
            <w:pPr>
              <w:pStyle w:val="ListBullet"/>
            </w:pPr>
            <w:r w:rsidRPr="00B369B7">
              <w:t>employment history cards</w:t>
            </w:r>
          </w:p>
          <w:p w:rsidR="00000000" w:rsidRPr="00B369B7" w:rsidP="00B369B7">
            <w:pPr>
              <w:pStyle w:val="ListBullet"/>
            </w:pPr>
            <w:r w:rsidRPr="00B369B7">
              <w:t>FBT</w:t>
            </w:r>
          </w:p>
          <w:p w:rsidR="00000000" w:rsidRPr="00B369B7" w:rsidP="00B369B7">
            <w:pPr>
              <w:pStyle w:val="ListBullet"/>
            </w:pPr>
            <w:r w:rsidRPr="00B369B7">
              <w:t>FBT returns</w:t>
            </w:r>
          </w:p>
          <w:p w:rsidR="00000000" w:rsidRPr="00B369B7" w:rsidP="00B369B7">
            <w:pPr>
              <w:pStyle w:val="ListBullet"/>
            </w:pPr>
            <w:r w:rsidRPr="00B369B7">
              <w:t>long service leave</w:t>
            </w:r>
          </w:p>
          <w:p w:rsidR="00000000" w:rsidRPr="00B369B7" w:rsidP="00B369B7">
            <w:pPr>
              <w:pStyle w:val="ListBullet"/>
            </w:pPr>
            <w:r w:rsidRPr="00B369B7">
              <w:t>overtime</w:t>
            </w:r>
          </w:p>
          <w:p w:rsidR="00000000" w:rsidRPr="00B369B7" w:rsidP="00B369B7">
            <w:pPr>
              <w:pStyle w:val="ListBullet"/>
            </w:pPr>
            <w:r w:rsidRPr="00B369B7">
              <w:t>penalty rates</w:t>
            </w:r>
          </w:p>
          <w:p w:rsidR="00000000" w:rsidRPr="00B369B7" w:rsidP="00B369B7">
            <w:pPr>
              <w:pStyle w:val="ListBullet"/>
            </w:pPr>
            <w:r w:rsidRPr="00B369B7">
              <w:t>salary packaging items</w:t>
            </w:r>
          </w:p>
          <w:p w:rsidR="00000000" w:rsidRPr="00B369B7" w:rsidP="00B369B7">
            <w:pPr>
              <w:pStyle w:val="ListBullet"/>
            </w:pPr>
            <w:r w:rsidRPr="00B369B7">
              <w:t xml:space="preserve">salary sacrificing </w:t>
            </w:r>
          </w:p>
          <w:p w:rsidR="00000000" w:rsidRPr="00B369B7" w:rsidP="00B369B7">
            <w:pPr>
              <w:pStyle w:val="ListBullet"/>
            </w:pPr>
            <w:r w:rsidRPr="00B369B7">
              <w:t>sick leave</w:t>
            </w:r>
          </w:p>
          <w:p w:rsidR="00000000" w:rsidP="00B369B7">
            <w:pPr>
              <w:pStyle w:val="ListBullet"/>
              <w:rPr>
                <w:lang w:val="en-NZ"/>
              </w:rPr>
            </w:pPr>
            <w:r w:rsidRPr="00B369B7">
              <w:t>time sheets</w:t>
            </w:r>
          </w:p>
        </w:tc>
      </w:tr>
      <w:tr w:rsidTr="0037766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BoldandItalics"/>
              </w:rPr>
              <w:t>Statutory and voluntary deductions</w:t>
            </w:r>
            <w:r w:rsidRPr="00B369B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HECS</w:t>
            </w:r>
          </w:p>
          <w:p w:rsidR="00000000" w:rsidRPr="00B369B7" w:rsidP="00B369B7">
            <w:pPr>
              <w:pStyle w:val="ListBullet"/>
            </w:pPr>
            <w:r w:rsidRPr="00B369B7">
              <w:t>HELP</w:t>
            </w:r>
          </w:p>
          <w:p w:rsidR="00000000" w:rsidRPr="00B369B7" w:rsidP="00B369B7">
            <w:pPr>
              <w:pStyle w:val="ListBullet"/>
            </w:pPr>
            <w:r w:rsidRPr="00B369B7">
              <w:t>insurance</w:t>
            </w:r>
          </w:p>
          <w:p w:rsidR="00000000" w:rsidRPr="00B369B7" w:rsidP="00B369B7">
            <w:pPr>
              <w:pStyle w:val="ListBullet"/>
            </w:pPr>
            <w:r w:rsidRPr="00B369B7">
              <w:t>Medicare levy</w:t>
            </w:r>
          </w:p>
          <w:p w:rsidR="00000000" w:rsidRPr="00B369B7" w:rsidP="00B369B7">
            <w:pPr>
              <w:pStyle w:val="ListBullet"/>
            </w:pPr>
            <w:r w:rsidRPr="00B369B7">
              <w:t>PAYG tax</w:t>
            </w:r>
          </w:p>
          <w:p w:rsidR="00000000" w:rsidRPr="00B369B7" w:rsidP="00B369B7">
            <w:pPr>
              <w:pStyle w:val="ListBullet"/>
            </w:pPr>
            <w:r w:rsidRPr="00B369B7">
              <w:t>payroll tax</w:t>
            </w:r>
          </w:p>
          <w:p w:rsidR="00000000" w:rsidRPr="00B369B7" w:rsidP="00B369B7">
            <w:pPr>
              <w:pStyle w:val="ListBullet"/>
            </w:pPr>
            <w:r w:rsidRPr="00B369B7">
              <w:t>superannuation levy</w:t>
            </w:r>
          </w:p>
          <w:p w:rsidR="00000000" w:rsidP="00B369B7">
            <w:pPr>
              <w:pStyle w:val="ListBullet"/>
              <w:rPr>
                <w:lang w:val="en-NZ"/>
              </w:rPr>
            </w:pPr>
            <w:r w:rsidRPr="00B369B7">
              <w:t>union fees</w:t>
            </w:r>
          </w:p>
        </w:tc>
      </w:tr>
      <w:tr w:rsidTr="0037766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BoldandItalics"/>
              </w:rPr>
              <w:t>Designated time lines</w:t>
            </w:r>
            <w:r w:rsidRPr="00B369B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Australian Taxation Office time lines for submission such as group tax, fringe benefits tax</w:t>
            </w:r>
          </w:p>
          <w:p w:rsidR="00000000" w:rsidRPr="00B369B7" w:rsidP="00B369B7">
            <w:pPr>
              <w:pStyle w:val="ListBullet"/>
            </w:pPr>
            <w:r w:rsidRPr="00B369B7">
              <w:t xml:space="preserve">Business Activity Statement (BAS) </w:t>
            </w:r>
          </w:p>
          <w:p w:rsidR="00000000" w:rsidRPr="00B369B7" w:rsidP="00B369B7">
            <w:pPr>
              <w:pStyle w:val="ListBullet"/>
            </w:pPr>
            <w:r w:rsidRPr="00B369B7">
              <w:t>stipulated time period before employee departs organisation</w:t>
            </w:r>
          </w:p>
          <w:p w:rsidR="00000000" w:rsidRPr="00B369B7" w:rsidP="00B369B7">
            <w:pPr>
              <w:pStyle w:val="ListBullet"/>
            </w:pPr>
            <w:r w:rsidRPr="00B369B7">
              <w:t>stipulated time period before pay is due to employees</w:t>
            </w:r>
          </w:p>
          <w:p w:rsidR="00000000" w:rsidP="00B369B7">
            <w:pPr>
              <w:pStyle w:val="ListBullet"/>
              <w:rPr>
                <w:lang w:val="en-NZ"/>
              </w:rPr>
            </w:pPr>
            <w:r w:rsidRPr="00B369B7">
              <w:t>organisational time lines</w:t>
            </w:r>
          </w:p>
        </w:tc>
      </w:tr>
      <w:tr w:rsidTr="0037766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BoldandItalics"/>
              </w:rPr>
              <w:t>Nominated creditors</w:t>
            </w:r>
            <w:r w:rsidRPr="00B369B7">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ListBullet"/>
            </w:pPr>
            <w:r w:rsidRPr="00B369B7">
              <w:t>Australian Taxation Office</w:t>
            </w:r>
          </w:p>
          <w:p w:rsidR="00000000" w:rsidRPr="00B369B7" w:rsidP="00B369B7">
            <w:pPr>
              <w:pStyle w:val="ListBullet"/>
            </w:pPr>
            <w:r w:rsidRPr="00B369B7">
              <w:t>government agencies</w:t>
            </w:r>
          </w:p>
          <w:p w:rsidR="00000000" w:rsidRPr="00B369B7" w:rsidP="00B369B7">
            <w:pPr>
              <w:pStyle w:val="ListBullet"/>
            </w:pPr>
            <w:r w:rsidRPr="00B369B7">
              <w:t>health funds</w:t>
            </w:r>
          </w:p>
          <w:p w:rsidR="00000000" w:rsidRPr="00B369B7" w:rsidP="00B369B7">
            <w:pPr>
              <w:pStyle w:val="ListBullet"/>
            </w:pPr>
            <w:r w:rsidRPr="00B369B7">
              <w:t>membership organisations</w:t>
            </w:r>
          </w:p>
          <w:p w:rsidR="00000000" w:rsidRPr="00B369B7" w:rsidP="00B369B7">
            <w:pPr>
              <w:pStyle w:val="ListBullet"/>
            </w:pPr>
            <w:r w:rsidRPr="00B369B7">
              <w:t xml:space="preserve">those nominated as part of salary packaging </w:t>
            </w:r>
          </w:p>
          <w:p w:rsidR="00000000" w:rsidRPr="00B369B7" w:rsidP="00B369B7">
            <w:pPr>
              <w:pStyle w:val="ListBullet"/>
            </w:pPr>
            <w:r w:rsidRPr="00B369B7">
              <w:t>union</w:t>
            </w:r>
          </w:p>
          <w:p w:rsidR="00000000" w:rsidRPr="00B369B7" w:rsidP="00B369B7">
            <w:pPr>
              <w:pStyle w:val="ListBullet"/>
            </w:pPr>
            <w:r w:rsidRPr="00B369B7">
              <w:t>vehicle leasing organisations</w:t>
            </w:r>
          </w:p>
        </w:tc>
      </w:tr>
    </w:tbl>
    <w:p w:rsidR="0037766F" w:rsidP="00B369B7">
      <w:pPr>
        <w:pStyle w:val="BodyText"/>
      </w:pPr>
    </w:p>
    <w:p w:rsidR="0037766F" w:rsidP="00B369B7">
      <w:pPr>
        <w:pStyle w:val="BodyText"/>
      </w:pPr>
    </w:p>
    <w:p w:rsidR="00000000" w:rsidRPr="00B369B7" w:rsidP="00B369B7">
      <w:pPr>
        <w:pStyle w:val="Heading1"/>
      </w:pPr>
      <w:bookmarkStart w:id="12" w:name="O_64046"/>
      <w:bookmarkEnd w:id="12"/>
      <w:r w:rsidRPr="00B369B7">
        <w:t>Unit Sector(s)</w:t>
      </w:r>
    </w:p>
    <w:tbl>
      <w:tblPr>
        <w:tblW w:w="0" w:type="auto"/>
        <w:tblLayout w:type="fixed"/>
        <w:tblCellMar>
          <w:left w:w="62" w:type="dxa"/>
          <w:right w:w="62" w:type="dxa"/>
        </w:tblCellMar>
        <w:tblLook w:val="0000"/>
      </w:tblPr>
      <w:tblGrid>
        <w:gridCol w:w="2654"/>
        <w:gridCol w:w="5868"/>
      </w:tblGrid>
      <w:tr w:rsidTr="0037766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13" w:name="O_153965"/>
      <w:bookmarkEnd w:id="13"/>
      <w:r w:rsidRPr="00B369B7">
        <w:t>Competency field</w:t>
      </w:r>
    </w:p>
    <w:tbl>
      <w:tblPr>
        <w:tblW w:w="0" w:type="auto"/>
        <w:tblLayout w:type="fixed"/>
        <w:tblCellMar>
          <w:left w:w="62" w:type="dxa"/>
          <w:right w:w="62" w:type="dxa"/>
        </w:tblCellMar>
        <w:tblLook w:val="0000"/>
      </w:tblPr>
      <w:tblGrid>
        <w:gridCol w:w="2778"/>
        <w:gridCol w:w="5744"/>
      </w:tblGrid>
      <w:tr w:rsidTr="0037766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r w:rsidRPr="00B369B7">
              <w:t>Finance - Financial Management</w:t>
            </w:r>
          </w:p>
        </w:tc>
      </w:tr>
    </w:tbl>
    <w:p w:rsidR="00000000" w:rsidRPr="00B369B7" w:rsidP="00B369B7">
      <w:pPr>
        <w:pStyle w:val="BodyText"/>
      </w:pPr>
    </w:p>
    <w:p w:rsidR="00000000" w:rsidRPr="00B369B7" w:rsidP="00B369B7">
      <w:pPr>
        <w:pStyle w:val="AllowPageBreak"/>
      </w:pPr>
    </w:p>
    <w:p w:rsidR="00000000" w:rsidRPr="00B369B7" w:rsidP="00B369B7">
      <w:pPr>
        <w:pStyle w:val="Heading1"/>
      </w:pPr>
      <w:bookmarkStart w:id="14" w:name="O_153964"/>
      <w:bookmarkEnd w:id="14"/>
      <w:r w:rsidRPr="00B369B7">
        <w:t>Co-requisite units</w:t>
      </w:r>
    </w:p>
    <w:tbl>
      <w:tblPr>
        <w:tblW w:w="0" w:type="auto"/>
        <w:tblLayout w:type="fixed"/>
        <w:tblCellMar>
          <w:left w:w="62" w:type="dxa"/>
          <w:right w:w="62" w:type="dxa"/>
        </w:tblCellMar>
        <w:tblLook w:val="0000"/>
      </w:tblPr>
      <w:tblGrid>
        <w:gridCol w:w="2641"/>
        <w:gridCol w:w="1322"/>
        <w:gridCol w:w="4559"/>
      </w:tblGrid>
      <w:tr w:rsidTr="0037766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r w:rsidRPr="00B369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p>
        </w:tc>
      </w:tr>
      <w:tr w:rsidTr="003776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69B7">
            <w:pPr>
              <w:pStyle w:val="BodyText"/>
              <w:rPr>
                <w:lang w:val="en-NZ"/>
              </w:rPr>
            </w:pPr>
          </w:p>
        </w:tc>
      </w:tr>
      <w:tr w:rsidTr="0037766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69B7" w:rsidP="00B369B7">
            <w:pPr>
              <w:pStyle w:val="BodyText"/>
            </w:pPr>
          </w:p>
        </w:tc>
      </w:tr>
    </w:tbl>
    <w:p w:rsidR="00000000" w:rsidRPr="00B369B7" w:rsidP="00B369B7">
      <w:pPr>
        <w:pStyle w:val="BodyText"/>
      </w:pPr>
    </w:p>
    <w:p w:rsidR="00000000" w:rsidRPr="00B369B7" w:rsidP="00B369B7"/>
    <w:sectPr w:rsidSect="00B369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66F" w:rsidP="00377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6F" w:rsidP="00B36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766F" w:rsidP="00B369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766F" w:rsidP="00B369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66F" w:rsidP="003776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66F" w:rsidP="00B369B7">
    <w:pPr>
      <w:pStyle w:val="Header"/>
      <w:framePr w:wrap="around"/>
    </w:pPr>
    <w:r>
      <w:fldChar w:fldCharType="begin"/>
    </w:r>
    <w:r>
      <w:instrText xml:space="preserve"> TITLE   \* MERGEFORMAT </w:instrText>
    </w:r>
    <w:r>
      <w:fldChar w:fldCharType="separate"/>
    </w:r>
    <w:r>
      <w:t>BSBFIM502A Manage payroll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766F" w:rsidP="00B369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70B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0F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5E2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9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69B7"/>
    <w:pPr>
      <w:spacing w:before="360" w:after="60"/>
      <w:outlineLvl w:val="0"/>
    </w:pPr>
    <w:rPr>
      <w:sz w:val="32"/>
    </w:rPr>
  </w:style>
  <w:style w:type="paragraph" w:styleId="Heading2">
    <w:name w:val="heading 2"/>
    <w:basedOn w:val="HeadingBase"/>
    <w:next w:val="BodyText"/>
    <w:link w:val="Heading2Char"/>
    <w:qFormat/>
    <w:rsid w:val="00B369B7"/>
    <w:pPr>
      <w:keepLines/>
      <w:spacing w:before="240" w:after="120"/>
      <w:outlineLvl w:val="1"/>
    </w:pPr>
    <w:rPr>
      <w:sz w:val="28"/>
      <w:szCs w:val="40"/>
    </w:rPr>
  </w:style>
  <w:style w:type="paragraph" w:styleId="Heading3">
    <w:name w:val="heading 3"/>
    <w:basedOn w:val="HeadingBase"/>
    <w:next w:val="BodyText"/>
    <w:link w:val="Heading3Char"/>
    <w:qFormat/>
    <w:rsid w:val="00B369B7"/>
    <w:pPr>
      <w:spacing w:before="180" w:after="120"/>
      <w:outlineLvl w:val="2"/>
    </w:pPr>
    <w:rPr>
      <w:spacing w:val="-10"/>
      <w:kern w:val="32"/>
    </w:rPr>
  </w:style>
  <w:style w:type="paragraph" w:styleId="Heading4">
    <w:name w:val="heading 4"/>
    <w:basedOn w:val="HeadingBase"/>
    <w:next w:val="BodyText"/>
    <w:link w:val="Heading4Char"/>
    <w:qFormat/>
    <w:rsid w:val="00B369B7"/>
    <w:pPr>
      <w:spacing w:before="160" w:after="120"/>
      <w:outlineLvl w:val="3"/>
    </w:pPr>
    <w:rPr>
      <w:sz w:val="22"/>
    </w:rPr>
  </w:style>
  <w:style w:type="paragraph" w:styleId="Heading5">
    <w:name w:val="heading 5"/>
    <w:basedOn w:val="HeadingBase"/>
    <w:next w:val="Normal"/>
    <w:link w:val="Heading5Char"/>
    <w:qFormat/>
    <w:rsid w:val="00B369B7"/>
    <w:pPr>
      <w:spacing w:before="80"/>
      <w:outlineLvl w:val="4"/>
    </w:pPr>
    <w:rPr>
      <w:color w:val="918585"/>
      <w:sz w:val="20"/>
    </w:rPr>
  </w:style>
  <w:style w:type="paragraph" w:styleId="Heading6">
    <w:name w:val="heading 6"/>
    <w:basedOn w:val="HeadingBase"/>
    <w:next w:val="Normal"/>
    <w:link w:val="Heading6Char"/>
    <w:qFormat/>
    <w:rsid w:val="00B369B7"/>
    <w:pPr>
      <w:spacing w:before="60"/>
      <w:outlineLvl w:val="5"/>
    </w:pPr>
    <w:rPr>
      <w:color w:val="918585"/>
      <w:sz w:val="20"/>
    </w:rPr>
  </w:style>
  <w:style w:type="paragraph" w:styleId="Heading7">
    <w:name w:val="heading 7"/>
    <w:basedOn w:val="Normal"/>
    <w:next w:val="Normal"/>
    <w:link w:val="Heading7Char"/>
    <w:qFormat/>
    <w:rsid w:val="00B369B7"/>
    <w:pPr>
      <w:ind w:left="720"/>
      <w:outlineLvl w:val="6"/>
    </w:pPr>
    <w:rPr>
      <w:i/>
    </w:rPr>
  </w:style>
  <w:style w:type="paragraph" w:styleId="Heading8">
    <w:name w:val="heading 8"/>
    <w:basedOn w:val="Normal"/>
    <w:next w:val="Normal"/>
    <w:link w:val="Heading8Char"/>
    <w:qFormat/>
    <w:rsid w:val="00B369B7"/>
    <w:pPr>
      <w:ind w:left="720"/>
      <w:outlineLvl w:val="7"/>
    </w:pPr>
    <w:rPr>
      <w:i/>
    </w:rPr>
  </w:style>
  <w:style w:type="paragraph" w:styleId="Heading9">
    <w:name w:val="heading 9"/>
    <w:basedOn w:val="Normal"/>
    <w:next w:val="Normal"/>
    <w:link w:val="Heading9Char"/>
    <w:qFormat/>
    <w:rsid w:val="00B369B7"/>
    <w:pPr>
      <w:ind w:left="720"/>
      <w:outlineLvl w:val="8"/>
    </w:pPr>
    <w:rPr>
      <w:i/>
    </w:rPr>
  </w:style>
  <w:style w:type="character" w:default="1" w:styleId="DefaultParagraphFont">
    <w:name w:val="Default Paragraph Font"/>
    <w:uiPriority w:val="1"/>
    <w:unhideWhenUsed/>
    <w:rsid w:val="00B36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9B7"/>
  </w:style>
  <w:style w:type="character" w:customStyle="1" w:styleId="Heading1Char">
    <w:name w:val="Heading 1 Char"/>
    <w:link w:val="Heading1"/>
    <w:rsid w:val="00B369B7"/>
    <w:rPr>
      <w:rFonts w:ascii="Times New Roman" w:eastAsia="Times New Roman" w:hAnsi="Times New Roman" w:cs="Times New Roman"/>
      <w:b/>
      <w:sz w:val="32"/>
      <w:szCs w:val="20"/>
      <w:lang w:eastAsia="en-US"/>
    </w:rPr>
  </w:style>
  <w:style w:type="paragraph" w:styleId="BodyText">
    <w:name w:val="Body Text"/>
    <w:basedOn w:val="Normal"/>
    <w:link w:val="BodyTextChar"/>
    <w:rsid w:val="00B369B7"/>
    <w:pPr>
      <w:spacing w:before="120" w:after="120"/>
      <w:contextualSpacing/>
    </w:pPr>
    <w:rPr>
      <w:rFonts w:ascii="Times New Roman" w:hAnsi="Times New Roman"/>
      <w:sz w:val="24"/>
      <w:szCs w:val="22"/>
    </w:rPr>
  </w:style>
  <w:style w:type="character" w:customStyle="1" w:styleId="BodyTextChar">
    <w:name w:val="Body Text Char"/>
    <w:link w:val="BodyText"/>
    <w:rsid w:val="00B369B7"/>
    <w:rPr>
      <w:rFonts w:ascii="Times New Roman" w:eastAsia="Times New Roman" w:hAnsi="Times New Roman" w:cs="Times New Roman"/>
      <w:sz w:val="24"/>
      <w:lang w:val="en-US" w:eastAsia="en-US"/>
    </w:rPr>
  </w:style>
  <w:style w:type="paragraph" w:styleId="Footer">
    <w:name w:val="footer"/>
    <w:basedOn w:val="Normal"/>
    <w:link w:val="FooterChar"/>
    <w:rsid w:val="00B36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69B7"/>
    <w:rPr>
      <w:rFonts w:ascii="Times New Roman" w:eastAsia="Times New Roman" w:hAnsi="Times New Roman" w:cs="Times New Roman"/>
      <w:sz w:val="16"/>
      <w:lang w:val="en-US" w:eastAsia="en-US"/>
    </w:rPr>
  </w:style>
  <w:style w:type="paragraph" w:styleId="List">
    <w:name w:val="List"/>
    <w:basedOn w:val="BodyText"/>
    <w:next w:val="BodyText"/>
    <w:rsid w:val="00B369B7"/>
    <w:pPr>
      <w:tabs>
        <w:tab w:val="left" w:pos="340"/>
      </w:tabs>
      <w:spacing w:before="60" w:after="60"/>
      <w:ind w:left="340" w:hanging="340"/>
    </w:pPr>
  </w:style>
  <w:style w:type="paragraph" w:styleId="ListBullet">
    <w:name w:val="List Bullet"/>
    <w:basedOn w:val="List"/>
    <w:rsid w:val="00B369B7"/>
    <w:pPr>
      <w:numPr>
        <w:numId w:val="13"/>
      </w:numPr>
      <w:tabs>
        <w:tab w:val="clear" w:pos="340"/>
      </w:tabs>
      <w:spacing w:before="40" w:after="40"/>
    </w:pPr>
  </w:style>
  <w:style w:type="character" w:customStyle="1" w:styleId="SpecialBold">
    <w:name w:val="Special Bold"/>
    <w:rsid w:val="00B369B7"/>
    <w:rPr>
      <w:b/>
      <w:spacing w:val="0"/>
    </w:rPr>
  </w:style>
  <w:style w:type="paragraph" w:styleId="ListBullet2">
    <w:name w:val="List Bullet 2"/>
    <w:basedOn w:val="List2"/>
    <w:rsid w:val="00B369B7"/>
    <w:pPr>
      <w:numPr>
        <w:numId w:val="14"/>
      </w:numPr>
      <w:tabs>
        <w:tab w:val="clear" w:pos="680"/>
      </w:tabs>
    </w:pPr>
  </w:style>
  <w:style w:type="paragraph" w:styleId="Header">
    <w:name w:val="header"/>
    <w:basedOn w:val="Normal"/>
    <w:link w:val="HeaderChar"/>
    <w:rsid w:val="00B36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69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69B7"/>
    <w:pPr>
      <w:spacing w:before="240" w:after="120"/>
      <w:outlineLvl w:val="0"/>
    </w:pPr>
    <w:rPr>
      <w:rFonts w:ascii="Times New Roman" w:hAnsi="Times New Roman"/>
      <w:b/>
      <w:sz w:val="28"/>
    </w:rPr>
  </w:style>
  <w:style w:type="paragraph" w:customStyle="1" w:styleId="AllowPageBreak">
    <w:name w:val="AllowPageBreak"/>
    <w:rsid w:val="00B369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69B7"/>
    <w:pPr>
      <w:tabs>
        <w:tab w:val="left" w:pos="680"/>
      </w:tabs>
      <w:spacing w:before="60" w:after="60"/>
      <w:ind w:left="680" w:hanging="340"/>
    </w:pPr>
  </w:style>
  <w:style w:type="character" w:customStyle="1" w:styleId="BoldandItalics">
    <w:name w:val="Bold and Italics"/>
    <w:qFormat/>
    <w:rsid w:val="00B369B7"/>
    <w:rPr>
      <w:b/>
      <w:i/>
      <w:u w:val="none"/>
    </w:rPr>
  </w:style>
  <w:style w:type="character" w:customStyle="1" w:styleId="Heading2Char">
    <w:name w:val="Heading 2 Char"/>
    <w:link w:val="Heading2"/>
    <w:rsid w:val="00B369B7"/>
    <w:rPr>
      <w:rFonts w:ascii="Times New Roman" w:eastAsia="Times New Roman" w:hAnsi="Times New Roman" w:cs="Times New Roman"/>
      <w:b/>
      <w:sz w:val="28"/>
      <w:szCs w:val="40"/>
      <w:lang w:eastAsia="en-US"/>
    </w:rPr>
  </w:style>
  <w:style w:type="character" w:customStyle="1" w:styleId="Heading3Char">
    <w:name w:val="Heading 3 Char"/>
    <w:link w:val="Heading3"/>
    <w:rsid w:val="00B369B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69B7"/>
    <w:rPr>
      <w:rFonts w:ascii="Times New Roman" w:eastAsia="Times New Roman" w:hAnsi="Times New Roman" w:cs="Times New Roman"/>
      <w:b/>
      <w:szCs w:val="20"/>
      <w:lang w:eastAsia="en-US"/>
    </w:rPr>
  </w:style>
  <w:style w:type="character" w:customStyle="1" w:styleId="Heading5Char">
    <w:name w:val="Heading 5 Char"/>
    <w:link w:val="Heading5"/>
    <w:rsid w:val="00B369B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6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9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69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69B7"/>
    <w:rPr>
      <w:rFonts w:ascii="Courier New" w:eastAsia="Times New Roman" w:hAnsi="Courier New" w:cs="Times New Roman"/>
      <w:i/>
      <w:szCs w:val="20"/>
      <w:lang w:val="en-US" w:eastAsia="en-US"/>
    </w:rPr>
  </w:style>
  <w:style w:type="paragraph" w:customStyle="1" w:styleId="HeadingBase">
    <w:name w:val="Heading Base"/>
    <w:rsid w:val="00B36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9B7"/>
    <w:pPr>
      <w:tabs>
        <w:tab w:val="right" w:leader="dot" w:pos="9072"/>
      </w:tabs>
      <w:ind w:left="567"/>
    </w:pPr>
    <w:rPr>
      <w:szCs w:val="22"/>
    </w:rPr>
  </w:style>
  <w:style w:type="paragraph" w:customStyle="1" w:styleId="TOCBase">
    <w:name w:val="TOC Base"/>
    <w:rsid w:val="00B36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9B7"/>
    <w:pPr>
      <w:tabs>
        <w:tab w:val="right" w:leader="dot" w:pos="9072"/>
      </w:tabs>
      <w:spacing w:before="40" w:after="40"/>
      <w:ind w:left="284"/>
    </w:pPr>
    <w:rPr>
      <w:rFonts w:ascii="Times New Roman" w:hAnsi="Times New Roman"/>
    </w:rPr>
  </w:style>
  <w:style w:type="paragraph" w:styleId="TOC1">
    <w:name w:val="toc 1"/>
    <w:basedOn w:val="TOCBase"/>
    <w:next w:val="Normal"/>
    <w:rsid w:val="00B369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69B7"/>
    <w:pPr>
      <w:spacing w:before="5040"/>
      <w:jc w:val="center"/>
    </w:pPr>
    <w:rPr>
      <w:sz w:val="48"/>
      <w:szCs w:val="72"/>
      <w:lang w:val="en-US"/>
    </w:rPr>
  </w:style>
  <w:style w:type="character" w:customStyle="1" w:styleId="TitleChar">
    <w:name w:val="Title Char"/>
    <w:link w:val="Title"/>
    <w:rsid w:val="00B36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9B7"/>
    <w:pPr>
      <w:tabs>
        <w:tab w:val="left" w:pos="3600"/>
        <w:tab w:val="left" w:pos="3958"/>
      </w:tabs>
    </w:pPr>
  </w:style>
  <w:style w:type="paragraph" w:customStyle="1" w:styleId="Note">
    <w:name w:val="Note"/>
    <w:basedOn w:val="BodyText"/>
    <w:rsid w:val="00B36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9B7"/>
    <w:pPr>
      <w:framePr w:wrap="auto" w:hAnchor="text" w:y="6049"/>
    </w:pPr>
    <w:rPr>
      <w:color w:val="000000"/>
      <w:sz w:val="40"/>
    </w:rPr>
  </w:style>
  <w:style w:type="paragraph" w:customStyle="1" w:styleId="TOCTitle">
    <w:name w:val="TOCTitle"/>
    <w:basedOn w:val="Heading1"/>
    <w:rsid w:val="00B369B7"/>
    <w:pPr>
      <w:spacing w:after="240"/>
      <w:jc w:val="center"/>
      <w:outlineLvl w:val="9"/>
    </w:pPr>
    <w:rPr>
      <w:caps/>
    </w:rPr>
  </w:style>
  <w:style w:type="paragraph" w:customStyle="1" w:styleId="Version">
    <w:name w:val="Version"/>
    <w:rsid w:val="00B36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9B7"/>
    <w:pPr>
      <w:keepNext w:val="0"/>
      <w:tabs>
        <w:tab w:val="right" w:pos="4176"/>
      </w:tabs>
      <w:ind w:left="198" w:hanging="198"/>
    </w:pPr>
    <w:rPr>
      <w:rFonts w:ascii="Garamond" w:hAnsi="Garamond"/>
    </w:rPr>
  </w:style>
  <w:style w:type="paragraph" w:styleId="IndexHeading">
    <w:name w:val="index heading"/>
    <w:basedOn w:val="Normal"/>
    <w:next w:val="Index1"/>
    <w:semiHidden/>
    <w:rsid w:val="00B369B7"/>
    <w:pPr>
      <w:spacing w:before="120" w:after="120"/>
    </w:pPr>
    <w:rPr>
      <w:rFonts w:ascii="Arial" w:hAnsi="Arial"/>
      <w:b/>
      <w:color w:val="918585"/>
      <w:sz w:val="24"/>
    </w:rPr>
  </w:style>
  <w:style w:type="paragraph" w:customStyle="1" w:styleId="Chapter">
    <w:name w:val="Chapter"/>
    <w:basedOn w:val="Normal"/>
    <w:rsid w:val="00B369B7"/>
    <w:pPr>
      <w:spacing w:before="240"/>
    </w:pPr>
    <w:rPr>
      <w:rFonts w:ascii="Times New Roman" w:hAnsi="Times New Roman"/>
      <w:smallCaps/>
      <w:spacing w:val="80"/>
      <w:sz w:val="28"/>
    </w:rPr>
  </w:style>
  <w:style w:type="paragraph" w:customStyle="1" w:styleId="InChapter">
    <w:name w:val="InChapter"/>
    <w:basedOn w:val="Heading3"/>
    <w:rsid w:val="00B369B7"/>
    <w:pPr>
      <w:spacing w:after="240"/>
      <w:outlineLvl w:val="9"/>
    </w:pPr>
    <w:rPr>
      <w:noProof/>
    </w:rPr>
  </w:style>
  <w:style w:type="paragraph" w:styleId="Index2">
    <w:name w:val="index 2"/>
    <w:basedOn w:val="Normal"/>
    <w:next w:val="Normal"/>
    <w:semiHidden/>
    <w:rsid w:val="00B369B7"/>
    <w:pPr>
      <w:tabs>
        <w:tab w:val="right" w:pos="4176"/>
      </w:tabs>
      <w:ind w:left="568" w:hanging="284"/>
    </w:pPr>
    <w:rPr>
      <w:rFonts w:ascii="Garamond" w:hAnsi="Garamond"/>
    </w:rPr>
  </w:style>
  <w:style w:type="paragraph" w:customStyle="1" w:styleId="Byline">
    <w:name w:val="Byline"/>
    <w:rsid w:val="00B36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9B7"/>
    <w:pPr>
      <w:tabs>
        <w:tab w:val="clear" w:pos="3600"/>
        <w:tab w:val="clear" w:pos="3958"/>
      </w:tabs>
      <w:jc w:val="right"/>
    </w:pPr>
  </w:style>
  <w:style w:type="character" w:styleId="Emphasis">
    <w:name w:val="Emphasis"/>
    <w:qFormat/>
    <w:rsid w:val="00B369B7"/>
    <w:rPr>
      <w:i/>
    </w:rPr>
  </w:style>
  <w:style w:type="paragraph" w:styleId="Caption">
    <w:name w:val="caption"/>
    <w:basedOn w:val="BodyText"/>
    <w:next w:val="Normal"/>
    <w:qFormat/>
    <w:rsid w:val="00B369B7"/>
    <w:pPr>
      <w:framePr w:w="2268" w:hSpace="181" w:vSpace="181" w:wrap="around" w:vAnchor="text" w:hAnchor="page" w:x="1135" w:y="285" w:anchorLock="1"/>
    </w:pPr>
    <w:rPr>
      <w:i/>
    </w:rPr>
  </w:style>
  <w:style w:type="paragraph" w:customStyle="1" w:styleId="MiniTOCTitle">
    <w:name w:val="MiniTOCTitle"/>
    <w:basedOn w:val="Heading4"/>
    <w:rsid w:val="00B369B7"/>
    <w:pPr>
      <w:spacing w:before="240"/>
      <w:outlineLvl w:val="9"/>
    </w:pPr>
    <w:rPr>
      <w:noProof/>
      <w:sz w:val="24"/>
    </w:rPr>
  </w:style>
  <w:style w:type="paragraph" w:customStyle="1" w:styleId="MiniTOCItem">
    <w:name w:val="MiniTOCItem"/>
    <w:basedOn w:val="ListBullet"/>
    <w:rsid w:val="00B369B7"/>
    <w:pPr>
      <w:numPr>
        <w:numId w:val="0"/>
      </w:numPr>
      <w:tabs>
        <w:tab w:val="right" w:leader="dot" w:pos="6521"/>
      </w:tabs>
      <w:spacing w:before="0" w:after="0"/>
    </w:pPr>
  </w:style>
  <w:style w:type="paragraph" w:customStyle="1" w:styleId="TOFTitle">
    <w:name w:val="TOFTitle"/>
    <w:basedOn w:val="TOCTitle"/>
    <w:rsid w:val="00B369B7"/>
  </w:style>
  <w:style w:type="paragraph" w:styleId="TableofFigures">
    <w:name w:val="table of figures"/>
    <w:basedOn w:val="Normal"/>
    <w:next w:val="Normal"/>
    <w:semiHidden/>
    <w:rsid w:val="00B369B7"/>
    <w:pPr>
      <w:tabs>
        <w:tab w:val="right" w:leader="dot" w:pos="9072"/>
      </w:tabs>
      <w:ind w:left="970" w:hanging="403"/>
    </w:pPr>
    <w:rPr>
      <w:rFonts w:ascii="Times New Roman" w:hAnsi="Times New Roman"/>
      <w:b/>
    </w:rPr>
  </w:style>
  <w:style w:type="paragraph" w:styleId="ListNumber">
    <w:name w:val="List Number"/>
    <w:basedOn w:val="List"/>
    <w:rsid w:val="00B369B7"/>
    <w:pPr>
      <w:numPr>
        <w:numId w:val="11"/>
      </w:numPr>
    </w:pPr>
  </w:style>
  <w:style w:type="character" w:customStyle="1" w:styleId="WingdingSymbols">
    <w:name w:val="Wingding Symbols"/>
    <w:rsid w:val="00B369B7"/>
    <w:rPr>
      <w:rFonts w:ascii="Wingdings" w:hAnsi="Wingdings"/>
    </w:rPr>
  </w:style>
  <w:style w:type="paragraph" w:customStyle="1" w:styleId="TableHeading">
    <w:name w:val="Table Heading"/>
    <w:basedOn w:val="HeadingBase"/>
    <w:rsid w:val="00B369B7"/>
    <w:pPr>
      <w:keepLines/>
      <w:pBdr>
        <w:bottom w:val="single" w:sz="6" w:space="1" w:color="918585"/>
      </w:pBdr>
      <w:spacing w:before="240"/>
    </w:pPr>
  </w:style>
  <w:style w:type="character" w:customStyle="1" w:styleId="HotSpot">
    <w:name w:val="HotSpot"/>
    <w:rsid w:val="00B369B7"/>
    <w:rPr>
      <w:color w:val="0033CC"/>
      <w:u w:val="none"/>
    </w:rPr>
  </w:style>
  <w:style w:type="paragraph" w:customStyle="1" w:styleId="BodyTextRight">
    <w:name w:val="Body Text Right"/>
    <w:basedOn w:val="BodyText"/>
    <w:rsid w:val="00B369B7"/>
    <w:pPr>
      <w:spacing w:before="0" w:after="0"/>
      <w:jc w:val="right"/>
    </w:pPr>
  </w:style>
  <w:style w:type="paragraph" w:styleId="Index3">
    <w:name w:val="index 3"/>
    <w:basedOn w:val="ListNumber2"/>
    <w:next w:val="Normal"/>
    <w:semiHidden/>
    <w:rsid w:val="00B369B7"/>
    <w:pPr>
      <w:numPr>
        <w:numId w:val="0"/>
      </w:numPr>
      <w:tabs>
        <w:tab w:val="right" w:leader="dot" w:pos="4176"/>
      </w:tabs>
    </w:pPr>
  </w:style>
  <w:style w:type="paragraph" w:styleId="ListNumber2">
    <w:name w:val="List Number 2"/>
    <w:basedOn w:val="List2"/>
    <w:rsid w:val="00B369B7"/>
    <w:pPr>
      <w:numPr>
        <w:numId w:val="10"/>
      </w:numPr>
      <w:tabs>
        <w:tab w:val="clear" w:pos="1060"/>
      </w:tabs>
    </w:pPr>
  </w:style>
  <w:style w:type="paragraph" w:customStyle="1" w:styleId="MarginNote">
    <w:name w:val="Margin Note"/>
    <w:basedOn w:val="BodyText"/>
    <w:rsid w:val="00B36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69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69B7"/>
    <w:rPr>
      <w:sz w:val="32"/>
    </w:rPr>
  </w:style>
  <w:style w:type="paragraph" w:customStyle="1" w:styleId="HeadingProcedure">
    <w:name w:val="Heading Procedure"/>
    <w:basedOn w:val="HeadingBase"/>
    <w:next w:val="Normal"/>
    <w:rsid w:val="00B369B7"/>
    <w:pPr>
      <w:tabs>
        <w:tab w:val="left" w:pos="0"/>
      </w:tabs>
      <w:spacing w:before="120" w:after="60"/>
    </w:pPr>
    <w:rPr>
      <w:i/>
      <w:color w:val="918585"/>
      <w:sz w:val="22"/>
    </w:rPr>
  </w:style>
  <w:style w:type="paragraph" w:customStyle="1" w:styleId="TableBodyText">
    <w:name w:val="Table Body Text"/>
    <w:basedOn w:val="BodyText"/>
    <w:rsid w:val="00B369B7"/>
    <w:pPr>
      <w:spacing w:before="60" w:after="60"/>
    </w:pPr>
  </w:style>
  <w:style w:type="paragraph" w:styleId="ListContinue">
    <w:name w:val="List Continue"/>
    <w:basedOn w:val="List"/>
    <w:rsid w:val="00B369B7"/>
    <w:pPr>
      <w:ind w:firstLine="0"/>
    </w:pPr>
  </w:style>
  <w:style w:type="paragraph" w:customStyle="1" w:styleId="ListNote">
    <w:name w:val="List Note"/>
    <w:basedOn w:val="List"/>
    <w:rsid w:val="00B369B7"/>
    <w:pPr>
      <w:pBdr>
        <w:top w:val="single" w:sz="6" w:space="2" w:color="918585"/>
        <w:bottom w:val="single" w:sz="6" w:space="2" w:color="918585"/>
      </w:pBdr>
      <w:tabs>
        <w:tab w:val="left" w:pos="1021"/>
      </w:tabs>
      <w:ind w:firstLine="0"/>
    </w:pPr>
  </w:style>
  <w:style w:type="paragraph" w:customStyle="1" w:styleId="Warning">
    <w:name w:val="Warning"/>
    <w:basedOn w:val="BodyText"/>
    <w:rsid w:val="00B369B7"/>
    <w:pPr>
      <w:shd w:val="clear" w:color="auto" w:fill="D9D9D9"/>
      <w:tabs>
        <w:tab w:val="left" w:pos="992"/>
      </w:tabs>
      <w:ind w:left="119" w:right="119"/>
    </w:pPr>
    <w:rPr>
      <w:sz w:val="20"/>
    </w:rPr>
  </w:style>
  <w:style w:type="paragraph" w:customStyle="1" w:styleId="MarginIcons">
    <w:name w:val="Margin Icons"/>
    <w:basedOn w:val="BodyText"/>
    <w:rsid w:val="00B369B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69B7"/>
    <w:rPr>
      <w:rFonts w:ascii="Courier New" w:hAnsi="Courier New"/>
    </w:rPr>
  </w:style>
  <w:style w:type="paragraph" w:customStyle="1" w:styleId="NoteBullet">
    <w:name w:val="Note Bullet"/>
    <w:basedOn w:val="Note"/>
    <w:rsid w:val="00B369B7"/>
    <w:pPr>
      <w:tabs>
        <w:tab w:val="clear" w:pos="680"/>
      </w:tabs>
      <w:spacing w:before="60" w:after="60"/>
    </w:pPr>
  </w:style>
  <w:style w:type="paragraph" w:customStyle="1" w:styleId="SubHeading2">
    <w:name w:val="SubHeading2"/>
    <w:basedOn w:val="HeadingBase"/>
    <w:rsid w:val="00B369B7"/>
    <w:pPr>
      <w:spacing w:before="240" w:after="60"/>
    </w:pPr>
    <w:rPr>
      <w:sz w:val="20"/>
    </w:rPr>
  </w:style>
  <w:style w:type="paragraph" w:customStyle="1" w:styleId="SubHeading1">
    <w:name w:val="SubHeading1"/>
    <w:basedOn w:val="HeadingBase"/>
    <w:rsid w:val="00B369B7"/>
    <w:pPr>
      <w:spacing w:before="240" w:after="60"/>
    </w:pPr>
    <w:rPr>
      <w:color w:val="918585"/>
      <w:sz w:val="22"/>
    </w:rPr>
  </w:style>
  <w:style w:type="paragraph" w:customStyle="1" w:styleId="SideHeading">
    <w:name w:val="Side Heading"/>
    <w:basedOn w:val="HeadingBase"/>
    <w:rsid w:val="00B36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9B7"/>
    <w:pPr>
      <w:numPr>
        <w:numId w:val="12"/>
      </w:numPr>
    </w:pPr>
  </w:style>
  <w:style w:type="paragraph" w:styleId="PlainText">
    <w:name w:val="Plain Text"/>
    <w:basedOn w:val="Normal"/>
    <w:link w:val="PlainTextChar"/>
    <w:rsid w:val="00B369B7"/>
    <w:rPr>
      <w:sz w:val="20"/>
    </w:rPr>
  </w:style>
  <w:style w:type="character" w:customStyle="1" w:styleId="PlainTextChar">
    <w:name w:val="Plain Text Char"/>
    <w:basedOn w:val="DefaultParagraphFont"/>
    <w:link w:val="PlainText"/>
    <w:rsid w:val="00B369B7"/>
    <w:rPr>
      <w:rFonts w:ascii="Courier New" w:eastAsia="Times New Roman" w:hAnsi="Courier New" w:cs="Times New Roman"/>
      <w:sz w:val="20"/>
      <w:szCs w:val="20"/>
      <w:lang w:val="en-US" w:eastAsia="en-US"/>
    </w:rPr>
  </w:style>
  <w:style w:type="character" w:customStyle="1" w:styleId="MenuOption">
    <w:name w:val="Menu Option"/>
    <w:rsid w:val="00B369B7"/>
    <w:rPr>
      <w:b/>
      <w:smallCaps/>
    </w:rPr>
  </w:style>
  <w:style w:type="paragraph" w:customStyle="1" w:styleId="TableListNumber">
    <w:name w:val="Table List Number"/>
    <w:basedOn w:val="ListNumber"/>
    <w:rsid w:val="00B369B7"/>
    <w:pPr>
      <w:numPr>
        <w:numId w:val="0"/>
      </w:numPr>
    </w:pPr>
  </w:style>
  <w:style w:type="paragraph" w:styleId="TOC4">
    <w:name w:val="toc 4"/>
    <w:basedOn w:val="TOCBase"/>
    <w:next w:val="Normal"/>
    <w:semiHidden/>
    <w:rsid w:val="00B369B7"/>
    <w:pPr>
      <w:tabs>
        <w:tab w:val="right" w:leader="dot" w:pos="9071"/>
      </w:tabs>
      <w:ind w:left="1701"/>
    </w:pPr>
  </w:style>
  <w:style w:type="paragraph" w:customStyle="1" w:styleId="ListAlpha">
    <w:name w:val="List Alpha"/>
    <w:basedOn w:val="List"/>
    <w:rsid w:val="00B369B7"/>
    <w:pPr>
      <w:numPr>
        <w:numId w:val="9"/>
      </w:numPr>
    </w:pPr>
  </w:style>
  <w:style w:type="paragraph" w:customStyle="1" w:styleId="ListAlpha2">
    <w:name w:val="List Alpha 2"/>
    <w:basedOn w:val="List2"/>
    <w:rsid w:val="00B369B7"/>
    <w:pPr>
      <w:numPr>
        <w:numId w:val="8"/>
      </w:numPr>
    </w:pPr>
  </w:style>
  <w:style w:type="paragraph" w:styleId="List3">
    <w:name w:val="List 3"/>
    <w:basedOn w:val="BodyText"/>
    <w:rsid w:val="00B369B7"/>
    <w:pPr>
      <w:tabs>
        <w:tab w:val="left" w:pos="1021"/>
      </w:tabs>
      <w:spacing w:before="60" w:after="60"/>
      <w:ind w:left="1020" w:hanging="340"/>
    </w:pPr>
  </w:style>
  <w:style w:type="paragraph" w:styleId="List4">
    <w:name w:val="List 4"/>
    <w:basedOn w:val="BodyText"/>
    <w:rsid w:val="00B369B7"/>
    <w:pPr>
      <w:tabs>
        <w:tab w:val="left" w:pos="1361"/>
      </w:tabs>
      <w:spacing w:before="60" w:after="60"/>
      <w:ind w:left="1361" w:hanging="340"/>
    </w:pPr>
  </w:style>
  <w:style w:type="paragraph" w:styleId="List5">
    <w:name w:val="List 5"/>
    <w:basedOn w:val="BodyText"/>
    <w:rsid w:val="00B369B7"/>
    <w:pPr>
      <w:tabs>
        <w:tab w:val="left" w:pos="1701"/>
      </w:tabs>
      <w:spacing w:before="60" w:after="60"/>
      <w:ind w:left="1701" w:hanging="340"/>
    </w:pPr>
  </w:style>
  <w:style w:type="paragraph" w:styleId="ListBullet3">
    <w:name w:val="List Bullet 3"/>
    <w:basedOn w:val="List3"/>
    <w:rsid w:val="00B369B7"/>
    <w:pPr>
      <w:numPr>
        <w:numId w:val="15"/>
      </w:numPr>
      <w:tabs>
        <w:tab w:val="clear" w:pos="1021"/>
      </w:tabs>
      <w:ind w:left="1037" w:hanging="357"/>
    </w:pPr>
  </w:style>
  <w:style w:type="paragraph" w:styleId="ListBullet4">
    <w:name w:val="List Bullet 4"/>
    <w:basedOn w:val="List4"/>
    <w:rsid w:val="00B369B7"/>
    <w:pPr>
      <w:numPr>
        <w:numId w:val="3"/>
      </w:numPr>
    </w:pPr>
  </w:style>
  <w:style w:type="paragraph" w:styleId="ListBullet5">
    <w:name w:val="List Bullet 5"/>
    <w:basedOn w:val="List5"/>
    <w:rsid w:val="00B369B7"/>
    <w:pPr>
      <w:numPr>
        <w:numId w:val="4"/>
      </w:numPr>
    </w:pPr>
  </w:style>
  <w:style w:type="paragraph" w:styleId="ListContinue2">
    <w:name w:val="List Continue 2"/>
    <w:basedOn w:val="List2"/>
    <w:rsid w:val="00B369B7"/>
    <w:pPr>
      <w:ind w:firstLine="0"/>
    </w:pPr>
  </w:style>
  <w:style w:type="paragraph" w:styleId="ListContinue3">
    <w:name w:val="List Continue 3"/>
    <w:basedOn w:val="List3"/>
    <w:rsid w:val="00B369B7"/>
    <w:pPr>
      <w:ind w:left="1021" w:firstLine="0"/>
    </w:pPr>
  </w:style>
  <w:style w:type="paragraph" w:styleId="ListContinue4">
    <w:name w:val="List Continue 4"/>
    <w:basedOn w:val="List4"/>
    <w:rsid w:val="00B369B7"/>
    <w:pPr>
      <w:ind w:firstLine="0"/>
    </w:pPr>
  </w:style>
  <w:style w:type="paragraph" w:styleId="ListContinue5">
    <w:name w:val="List Continue 5"/>
    <w:basedOn w:val="List5"/>
    <w:rsid w:val="00B369B7"/>
    <w:pPr>
      <w:ind w:firstLine="0"/>
    </w:pPr>
  </w:style>
  <w:style w:type="paragraph" w:styleId="ListNumber3">
    <w:name w:val="List Number 3"/>
    <w:basedOn w:val="List3"/>
    <w:rsid w:val="00B369B7"/>
    <w:pPr>
      <w:numPr>
        <w:numId w:val="5"/>
      </w:numPr>
    </w:pPr>
  </w:style>
  <w:style w:type="paragraph" w:styleId="ListNumber4">
    <w:name w:val="List Number 4"/>
    <w:basedOn w:val="List4"/>
    <w:rsid w:val="00B369B7"/>
    <w:pPr>
      <w:numPr>
        <w:numId w:val="6"/>
      </w:numPr>
    </w:pPr>
  </w:style>
  <w:style w:type="paragraph" w:styleId="ListNumber5">
    <w:name w:val="List Number 5"/>
    <w:basedOn w:val="List5"/>
    <w:rsid w:val="00B369B7"/>
    <w:pPr>
      <w:numPr>
        <w:numId w:val="7"/>
      </w:numPr>
    </w:pPr>
  </w:style>
  <w:style w:type="paragraph" w:styleId="BlockText">
    <w:name w:val="Block Text"/>
    <w:basedOn w:val="Normal"/>
    <w:rsid w:val="00B369B7"/>
    <w:pPr>
      <w:spacing w:after="120"/>
      <w:ind w:left="1440" w:right="1440"/>
    </w:pPr>
  </w:style>
  <w:style w:type="character" w:customStyle="1" w:styleId="Subscript">
    <w:name w:val="Subscript"/>
    <w:rsid w:val="00B369B7"/>
    <w:rPr>
      <w:sz w:val="16"/>
      <w:vertAlign w:val="subscript"/>
    </w:rPr>
  </w:style>
  <w:style w:type="character" w:customStyle="1" w:styleId="Superscript">
    <w:name w:val="Superscript"/>
    <w:rsid w:val="00B369B7"/>
    <w:rPr>
      <w:sz w:val="16"/>
      <w:vertAlign w:val="superscript"/>
    </w:rPr>
  </w:style>
  <w:style w:type="character" w:customStyle="1" w:styleId="Symbols">
    <w:name w:val="Symbols"/>
    <w:rsid w:val="00B369B7"/>
    <w:rPr>
      <w:rFonts w:ascii="Symbol" w:hAnsi="Symbol"/>
    </w:rPr>
  </w:style>
  <w:style w:type="character" w:customStyle="1" w:styleId="MenuOptions">
    <w:name w:val="Menu Options"/>
    <w:rsid w:val="00B369B7"/>
    <w:rPr>
      <w:rFonts w:ascii="Arial Narrow" w:hAnsi="Arial Narrow"/>
      <w:smallCaps/>
    </w:rPr>
  </w:style>
  <w:style w:type="character" w:customStyle="1" w:styleId="Buttons">
    <w:name w:val="Buttons"/>
    <w:rsid w:val="00B369B7"/>
    <w:rPr>
      <w:b/>
    </w:rPr>
  </w:style>
  <w:style w:type="character" w:customStyle="1" w:styleId="Underlined">
    <w:name w:val="Underlined"/>
    <w:rsid w:val="00B369B7"/>
    <w:rPr>
      <w:u w:val="single"/>
    </w:rPr>
  </w:style>
  <w:style w:type="paragraph" w:customStyle="1" w:styleId="TableBodyTextRight">
    <w:name w:val="Table Body Text Right"/>
    <w:basedOn w:val="TableBodyText"/>
    <w:rsid w:val="00B369B7"/>
    <w:pPr>
      <w:widowControl w:val="0"/>
      <w:autoSpaceDE w:val="0"/>
      <w:autoSpaceDN w:val="0"/>
      <w:adjustRightInd w:val="0"/>
      <w:jc w:val="right"/>
    </w:pPr>
    <w:rPr>
      <w:rFonts w:cs="Arial"/>
      <w:szCs w:val="18"/>
    </w:rPr>
  </w:style>
  <w:style w:type="paragraph" w:customStyle="1" w:styleId="CopyrightText">
    <w:name w:val="Copyright Text"/>
    <w:basedOn w:val="BodyText"/>
    <w:rsid w:val="00B369B7"/>
    <w:rPr>
      <w:sz w:val="18"/>
    </w:rPr>
  </w:style>
  <w:style w:type="paragraph" w:customStyle="1" w:styleId="BodySmallRight">
    <w:name w:val="Body Small Right"/>
    <w:basedOn w:val="BodyTextRight"/>
    <w:rsid w:val="00B369B7"/>
    <w:rPr>
      <w:sz w:val="18"/>
      <w:szCs w:val="18"/>
    </w:rPr>
  </w:style>
  <w:style w:type="paragraph" w:customStyle="1" w:styleId="MarginEdition">
    <w:name w:val="Margin Edition"/>
    <w:basedOn w:val="MarginNote"/>
    <w:rsid w:val="00B369B7"/>
    <w:pPr>
      <w:spacing w:before="0" w:after="0"/>
    </w:pPr>
    <w:rPr>
      <w:rFonts w:ascii="Times New Roman" w:hAnsi="Times New Roman"/>
      <w:color w:val="999999"/>
    </w:rPr>
  </w:style>
  <w:style w:type="paragraph" w:customStyle="1" w:styleId="Spacer">
    <w:name w:val="Spacer"/>
    <w:basedOn w:val="Normal"/>
    <w:rsid w:val="00B369B7"/>
    <w:rPr>
      <w:sz w:val="2"/>
      <w:szCs w:val="2"/>
    </w:rPr>
  </w:style>
  <w:style w:type="character" w:customStyle="1" w:styleId="Small">
    <w:name w:val="Small"/>
    <w:rsid w:val="00B369B7"/>
    <w:rPr>
      <w:sz w:val="16"/>
    </w:rPr>
  </w:style>
  <w:style w:type="paragraph" w:customStyle="1" w:styleId="WideTable">
    <w:name w:val="Wide Table"/>
    <w:basedOn w:val="Normal"/>
    <w:rsid w:val="00B369B7"/>
    <w:pPr>
      <w:ind w:left="-1418"/>
    </w:pPr>
    <w:rPr>
      <w:sz w:val="2"/>
      <w:szCs w:val="2"/>
    </w:rPr>
  </w:style>
  <w:style w:type="character" w:styleId="PageNumber">
    <w:name w:val="page number"/>
    <w:rsid w:val="00B369B7"/>
  </w:style>
  <w:style w:type="paragraph" w:styleId="Quote">
    <w:name w:val="Quote"/>
    <w:basedOn w:val="Heading1"/>
    <w:link w:val="QuoteChar"/>
    <w:qFormat/>
    <w:rsid w:val="00B369B7"/>
    <w:rPr>
      <w:b w:val="0"/>
      <w:sz w:val="72"/>
      <w:szCs w:val="72"/>
      <w:lang w:val="en-NZ"/>
    </w:rPr>
  </w:style>
  <w:style w:type="character" w:customStyle="1" w:styleId="QuoteChar">
    <w:name w:val="Quote Char"/>
    <w:link w:val="Quote"/>
    <w:rsid w:val="00B36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9B7"/>
    <w:pPr>
      <w:pageBreakBefore/>
    </w:pPr>
  </w:style>
  <w:style w:type="paragraph" w:customStyle="1" w:styleId="Border">
    <w:name w:val="Border"/>
    <w:basedOn w:val="Normal"/>
    <w:qFormat/>
    <w:rsid w:val="00B369B7"/>
    <w:pPr>
      <w:pBdr>
        <w:top w:val="single" w:sz="18" w:space="1" w:color="auto"/>
      </w:pBdr>
    </w:pPr>
    <w:rPr>
      <w:rFonts w:ascii="Times New Roman" w:hAnsi="Times New Roman"/>
      <w:color w:val="FFFFFF"/>
      <w:sz w:val="2"/>
    </w:rPr>
  </w:style>
  <w:style w:type="character" w:styleId="IntenseEmphasis">
    <w:name w:val="Intense Emphasis"/>
    <w:uiPriority w:val="21"/>
    <w:qFormat/>
    <w:rsid w:val="00B369B7"/>
    <w:rPr>
      <w:b/>
      <w:bCs/>
      <w:i/>
      <w:iCs/>
      <w:color w:val="auto"/>
    </w:rPr>
  </w:style>
  <w:style w:type="paragraph" w:styleId="IntenseQuote">
    <w:name w:val="Intense Quote"/>
    <w:basedOn w:val="Normal"/>
    <w:next w:val="Normal"/>
    <w:link w:val="IntenseQuoteChar"/>
    <w:uiPriority w:val="30"/>
    <w:qFormat/>
    <w:rsid w:val="00B369B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69B7"/>
    <w:rPr>
      <w:rFonts w:ascii="Courier New" w:eastAsia="Times New Roman" w:hAnsi="Courier New" w:cs="Times New Roman"/>
      <w:b/>
      <w:bCs/>
      <w:i/>
      <w:iCs/>
      <w:szCs w:val="20"/>
      <w:lang w:val="en-US" w:eastAsia="en-US"/>
    </w:rPr>
  </w:style>
  <w:style w:type="character" w:styleId="SubtleReference">
    <w:name w:val="Subtle Reference"/>
    <w:uiPriority w:val="31"/>
    <w:qFormat/>
    <w:rsid w:val="00B369B7"/>
    <w:rPr>
      <w:smallCaps/>
      <w:color w:val="auto"/>
      <w:u w:val="single"/>
    </w:rPr>
  </w:style>
  <w:style w:type="character" w:styleId="IntenseReference">
    <w:name w:val="Intense Reference"/>
    <w:uiPriority w:val="32"/>
    <w:qFormat/>
    <w:rsid w:val="00B369B7"/>
    <w:rPr>
      <w:b/>
      <w:bCs/>
      <w:smallCaps/>
      <w:color w:val="auto"/>
      <w:spacing w:val="5"/>
      <w:u w:val="single"/>
    </w:rPr>
  </w:style>
  <w:style w:type="paragraph" w:customStyle="1" w:styleId="2ColumnHeading">
    <w:name w:val="2Column Heading"/>
    <w:basedOn w:val="BodyText"/>
    <w:qFormat/>
    <w:rsid w:val="00B369B7"/>
    <w:pPr>
      <w:spacing w:after="60"/>
      <w:ind w:left="-2268"/>
    </w:pPr>
    <w:rPr>
      <w:b/>
    </w:rPr>
  </w:style>
  <w:style w:type="paragraph" w:customStyle="1" w:styleId="Heading1TOC">
    <w:name w:val="Heading1 TOC"/>
    <w:basedOn w:val="Normal"/>
    <w:qFormat/>
    <w:rsid w:val="00B369B7"/>
    <w:pPr>
      <w:spacing w:before="240" w:after="120"/>
    </w:pPr>
    <w:rPr>
      <w:rFonts w:ascii="Times New Roman" w:hAnsi="Times New Roman"/>
      <w:b/>
      <w:sz w:val="32"/>
    </w:rPr>
  </w:style>
  <w:style w:type="paragraph" w:customStyle="1" w:styleId="Heading2TOC">
    <w:name w:val="Heading2 TOC"/>
    <w:basedOn w:val="Normal"/>
    <w:qFormat/>
    <w:rsid w:val="00B369B7"/>
    <w:pPr>
      <w:spacing w:before="240" w:after="60"/>
    </w:pPr>
    <w:rPr>
      <w:rFonts w:ascii="Times New Roman" w:hAnsi="Times New Roman"/>
      <w:b/>
      <w:sz w:val="28"/>
    </w:rPr>
  </w:style>
  <w:style w:type="character" w:customStyle="1" w:styleId="Underline">
    <w:name w:val="Underline"/>
    <w:qFormat/>
    <w:rsid w:val="00B369B7"/>
    <w:rPr>
      <w:u w:val="single"/>
    </w:rPr>
  </w:style>
  <w:style w:type="paragraph" w:styleId="BalloonText">
    <w:name w:val="Balloon Text"/>
    <w:basedOn w:val="Normal"/>
    <w:link w:val="BalloonTextChar"/>
    <w:rsid w:val="00B369B7"/>
    <w:rPr>
      <w:rFonts w:ascii="Tahoma" w:hAnsi="Tahoma" w:cs="Tahoma"/>
      <w:sz w:val="16"/>
      <w:szCs w:val="16"/>
    </w:rPr>
  </w:style>
  <w:style w:type="character" w:customStyle="1" w:styleId="BalloonTextChar">
    <w:name w:val="Balloon Text Char"/>
    <w:link w:val="BalloonText"/>
    <w:rsid w:val="00B369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69B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69B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1224</Words>
  <Characters>8131</Characters>
  <Application>Microsoft Office Word</Application>
  <DocSecurity>0</DocSecurity>
  <Lines>321</Lines>
  <Paragraphs>189</Paragraphs>
  <ScaleCrop>false</ScaleCrop>
  <Company>Author-it Software Corporation Ltd.</Company>
  <LinksUpToDate>false</LinksUpToDate>
  <CharactersWithSpaces>9288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BSBFIM502A Manage payroll</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2012-05-26T13:48:00Z</dcterms:created>
  <dcterms:modified xsi:type="dcterms:W3CDTF">2012-05-26T13:48:00Z</dcterms:modified>
</cp:coreProperties>
</file>