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E1E" w:rsidP="00901E1E">
      <w:pPr>
        <w:pStyle w:val="Title"/>
      </w:pPr>
      <w:r>
        <w:fldChar w:fldCharType="begin"/>
      </w:r>
      <w:r>
        <w:instrText xml:space="preserve"> TITLE   \* MERGEFORMAT </w:instrText>
      </w:r>
      <w:r>
        <w:fldChar w:fldCharType="separate"/>
      </w:r>
      <w:r>
        <w:t>BSBEDU703A Establish transnational offshore education initiatives</w:t>
      </w:r>
      <w:r>
        <w:fldChar w:fldCharType="end"/>
      </w:r>
    </w:p>
    <w:p w:rsidR="00901E1E" w:rsidP="00901E1E">
      <w:pPr>
        <w:pStyle w:val="Version"/>
        <w:sectPr w:rsidSect="00F034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34B9" w:rsidP="00F034B9">
      <w:pPr>
        <w:pStyle w:val="SuperHeading"/>
      </w:pPr>
      <w:r w:rsidRPr="00F034B9">
        <w:t>BSBEDU703A Establish transnational offshore education initiatives</w:t>
      </w:r>
    </w:p>
    <w:p w:rsidR="00000000" w:rsidRPr="00F034B9" w:rsidP="00F034B9">
      <w:pPr>
        <w:pStyle w:val="SuperHeading"/>
      </w:pPr>
    </w:p>
    <w:p w:rsidR="00000000" w:rsidRPr="00F034B9" w:rsidP="00F034B9">
      <w:pPr>
        <w:pStyle w:val="Heading1"/>
      </w:pPr>
      <w:bookmarkStart w:id="1" w:name="O_63867"/>
      <w:bookmarkEnd w:id="1"/>
      <w:r w:rsidRPr="00F034B9">
        <w:t>Modification History</w:t>
      </w:r>
    </w:p>
    <w:p w:rsidR="00000000" w:rsidRPr="00F034B9" w:rsidP="00F034B9">
      <w:pPr>
        <w:pStyle w:val="BodyText"/>
      </w:pPr>
      <w:r w:rsidRPr="00F034B9">
        <w:t>Not applicable.</w:t>
      </w:r>
    </w:p>
    <w:p w:rsidR="00000000" w:rsidRPr="00F034B9" w:rsidP="00F034B9">
      <w:pPr>
        <w:pStyle w:val="AllowPageBreak"/>
      </w:pPr>
    </w:p>
    <w:p w:rsidR="00000000" w:rsidRPr="00F034B9" w:rsidP="00F034B9">
      <w:pPr>
        <w:pStyle w:val="Heading1"/>
      </w:pPr>
      <w:bookmarkStart w:id="2" w:name="O_63868"/>
      <w:bookmarkEnd w:id="2"/>
      <w:r w:rsidRPr="00F034B9">
        <w:t>Unit Descriptor</w:t>
      </w:r>
    </w:p>
    <w:tbl>
      <w:tblPr>
        <w:tblW w:w="0" w:type="auto"/>
        <w:tblLayout w:type="fixed"/>
        <w:tblCellMar>
          <w:left w:w="62" w:type="dxa"/>
          <w:right w:w="62" w:type="dxa"/>
        </w:tblCellMar>
        <w:tblLook w:val="0000"/>
      </w:tblPr>
      <w:tblGrid>
        <w:gridCol w:w="2668"/>
        <w:gridCol w:w="5854"/>
      </w:tblGrid>
      <w:tr w:rsidTr="00901E1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t>This unit describes the performance outcomes, skills and knowledge required to develop,</w:t>
            </w:r>
            <w:r w:rsidRPr="00F034B9">
              <w:t xml:space="preserve"> implement and evaluate transnational offshore education initiatives in one or more education sectors and within relevant international, cultural, legal and political contexts.</w:t>
            </w:r>
          </w:p>
          <w:p w:rsidR="00000000" w:rsidRPr="00F034B9" w:rsidP="00F034B9">
            <w:pPr>
              <w:pStyle w:val="BodyText"/>
            </w:pPr>
            <w:r w:rsidRPr="00F034B9">
              <w:t>No licensing, legislative, regulatory or certification requirements apply to th</w:t>
            </w:r>
            <w:r w:rsidRPr="00F034B9">
              <w:t>is unit at the time of endorsement.</w:t>
            </w: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3" w:name="O_63869"/>
      <w:bookmarkEnd w:id="3"/>
      <w:r w:rsidRPr="00F034B9">
        <w:t>Application of the Unit</w:t>
      </w:r>
    </w:p>
    <w:tbl>
      <w:tblPr>
        <w:tblW w:w="0" w:type="auto"/>
        <w:tblLayout w:type="fixed"/>
        <w:tblCellMar>
          <w:left w:w="62" w:type="dxa"/>
          <w:right w:w="62" w:type="dxa"/>
        </w:tblCellMar>
        <w:tblLook w:val="0000"/>
      </w:tblPr>
      <w:tblGrid>
        <w:gridCol w:w="2753"/>
        <w:gridCol w:w="5769"/>
      </w:tblGrid>
      <w:tr w:rsidTr="00901E1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t xml:space="preserve">This unit relates to administrators with managerial responsibility who are required to establish and evaluate transnational offshore education </w:t>
            </w:r>
            <w:r w:rsidRPr="00F034B9">
              <w:t>initiatives. They will be managing education programs and projects in organisations from one or more international education sectors (schools, English language training organisations, vocational education and training, higher education, postgraduate educat</w:t>
            </w:r>
            <w:r w:rsidRPr="00F034B9">
              <w:t>ion). These organisations could be onshore or offshore and could be public or private.</w:t>
            </w: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4" w:name="O_63870"/>
      <w:bookmarkEnd w:id="4"/>
      <w:r w:rsidRPr="00F034B9">
        <w:t>Licensing/Regulatory Information</w:t>
      </w:r>
    </w:p>
    <w:p w:rsidR="00000000" w:rsidRPr="00F034B9" w:rsidP="00F034B9">
      <w:pPr>
        <w:pStyle w:val="BodyText"/>
      </w:pPr>
      <w:r w:rsidRPr="00F034B9">
        <w:t>Not applicable.</w:t>
      </w:r>
    </w:p>
    <w:p w:rsidR="00000000" w:rsidRPr="00F034B9" w:rsidP="00F034B9">
      <w:pPr>
        <w:pStyle w:val="AllowPageBreak"/>
      </w:pPr>
    </w:p>
    <w:p w:rsidR="00000000" w:rsidRPr="00F034B9" w:rsidP="00F034B9">
      <w:pPr>
        <w:pStyle w:val="Heading1"/>
      </w:pPr>
      <w:bookmarkStart w:id="5" w:name="O_63871"/>
      <w:bookmarkEnd w:id="5"/>
      <w:r w:rsidRPr="00F034B9">
        <w:t>Pre-Requisites</w:t>
      </w:r>
    </w:p>
    <w:tbl>
      <w:tblPr>
        <w:tblW w:w="0" w:type="auto"/>
        <w:tblLayout w:type="fixed"/>
        <w:tblCellMar>
          <w:left w:w="62" w:type="dxa"/>
          <w:right w:w="62" w:type="dxa"/>
        </w:tblCellMar>
        <w:tblLook w:val="0000"/>
      </w:tblPr>
      <w:tblGrid>
        <w:gridCol w:w="2775"/>
        <w:gridCol w:w="1295"/>
        <w:gridCol w:w="4452"/>
      </w:tblGrid>
      <w:tr w:rsidTr="00901E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p>
        </w:tc>
      </w:tr>
      <w:tr w:rsidTr="00901E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p>
        </w:tc>
      </w:tr>
      <w:tr w:rsidTr="00901E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6" w:name="O_63872"/>
      <w:bookmarkEnd w:id="6"/>
      <w:r w:rsidRPr="00F034B9">
        <w:t>Employability Skills Information</w:t>
      </w:r>
    </w:p>
    <w:tbl>
      <w:tblPr>
        <w:tblW w:w="0" w:type="auto"/>
        <w:tblLayout w:type="fixed"/>
        <w:tblCellMar>
          <w:left w:w="62" w:type="dxa"/>
          <w:right w:w="62" w:type="dxa"/>
        </w:tblCellMar>
        <w:tblLook w:val="0000"/>
      </w:tblPr>
      <w:tblGrid>
        <w:gridCol w:w="2802"/>
        <w:gridCol w:w="5720"/>
      </w:tblGrid>
      <w:tr w:rsidTr="00901E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t>This unit contains employability skills.</w:t>
            </w: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7" w:name="O_63873"/>
      <w:bookmarkEnd w:id="7"/>
      <w:r w:rsidRPr="00F034B9">
        <w:t>Elements and Performance Criteria Pre-Content</w:t>
      </w:r>
    </w:p>
    <w:tbl>
      <w:tblPr>
        <w:tblW w:w="0" w:type="auto"/>
        <w:tblLayout w:type="fixed"/>
        <w:tblCellMar>
          <w:left w:w="62" w:type="dxa"/>
          <w:right w:w="62" w:type="dxa"/>
        </w:tblCellMar>
        <w:tblLook w:val="0000"/>
      </w:tblPr>
      <w:tblGrid>
        <w:gridCol w:w="2595"/>
        <w:gridCol w:w="5927"/>
      </w:tblGrid>
      <w:tr w:rsidTr="00901E1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t>Performance criteria describe the performance needed to demonstrate achievement of the element. Where bold italicised text is used, further information is detailed in the required skills and knowledge section and the range statement. Assessment of performa</w:t>
            </w:r>
            <w:r w:rsidRPr="00F034B9">
              <w:t>nce is to be consistent with the evidence guide.</w:t>
            </w: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8" w:name="O_63874"/>
      <w:bookmarkEnd w:id="8"/>
      <w:r w:rsidRPr="00F034B9">
        <w:t>Elements and Performance Criteria</w:t>
      </w:r>
    </w:p>
    <w:tbl>
      <w:tblPr>
        <w:tblW w:w="0" w:type="auto"/>
        <w:tblLayout w:type="fixed"/>
        <w:tblCellMar>
          <w:left w:w="62" w:type="dxa"/>
          <w:right w:w="62" w:type="dxa"/>
        </w:tblCellMar>
        <w:tblLook w:val="0000"/>
      </w:tblPr>
      <w:tblGrid>
        <w:gridCol w:w="2595"/>
        <w:gridCol w:w="5927"/>
      </w:tblGrid>
      <w:tr w:rsidTr="00901E1E">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PERFORMANCE CRITERIA</w:t>
            </w:r>
          </w:p>
        </w:tc>
      </w:tr>
      <w:tr w:rsidTr="00901E1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List"/>
              <w:rPr>
                <w:lang w:val="en-NZ"/>
              </w:rPr>
            </w:pPr>
            <w:r w:rsidRPr="00F034B9">
              <w:t>1.</w:t>
            </w:r>
            <w:r w:rsidRPr="00F034B9">
              <w:tab/>
              <w:t>Propose strategic directions for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2"/>
            </w:pPr>
            <w:r w:rsidRPr="00F034B9">
              <w:t>1.1.</w:t>
            </w:r>
            <w:r w:rsidRPr="00F034B9">
              <w:tab/>
            </w:r>
            <w:r w:rsidRPr="00F034B9">
              <w:t xml:space="preserve">Review the diversity and economic significance of Australian </w:t>
            </w:r>
            <w:r w:rsidRPr="00F034B9">
              <w:rPr>
                <w:rStyle w:val="BoldandItalics"/>
              </w:rPr>
              <w:t>transnational offshore education initiatives</w:t>
            </w:r>
          </w:p>
          <w:p w:rsidR="00000000" w:rsidRPr="00F034B9" w:rsidP="00F034B9">
            <w:pPr>
              <w:pStyle w:val="List2"/>
            </w:pPr>
            <w:r w:rsidRPr="00F034B9">
              <w:t>1.2.</w:t>
            </w:r>
            <w:r w:rsidRPr="00F034B9">
              <w:tab/>
              <w:t>Distinguish trends in the activities of competitors</w:t>
            </w:r>
          </w:p>
          <w:p w:rsidR="00000000" w:rsidRPr="00F034B9" w:rsidP="00F034B9">
            <w:pPr>
              <w:pStyle w:val="List2"/>
            </w:pPr>
            <w:r w:rsidRPr="00F034B9">
              <w:t>1.3.</w:t>
            </w:r>
            <w:r w:rsidRPr="00F034B9">
              <w:tab/>
              <w:t xml:space="preserve">Analyse </w:t>
            </w:r>
            <w:r w:rsidRPr="00F034B9">
              <w:rPr>
                <w:rStyle w:val="BoldandItalics"/>
              </w:rPr>
              <w:t>factors impacting positively and negatively</w:t>
            </w:r>
            <w:r w:rsidRPr="00F034B9">
              <w:t xml:space="preserve"> on transnational offshore education </w:t>
            </w:r>
            <w:r w:rsidRPr="00F034B9">
              <w:t xml:space="preserve">initiatives </w:t>
            </w:r>
          </w:p>
          <w:p w:rsidR="00000000" w:rsidP="00F034B9">
            <w:pPr>
              <w:pStyle w:val="List2"/>
              <w:rPr>
                <w:lang w:val="en-NZ"/>
              </w:rPr>
            </w:pPr>
            <w:r w:rsidRPr="00F034B9">
              <w:t>1.4.</w:t>
            </w:r>
            <w:r w:rsidRPr="00F034B9">
              <w:tab/>
              <w:t xml:space="preserve">Identify </w:t>
            </w:r>
            <w:r w:rsidRPr="00F034B9">
              <w:rPr>
                <w:rStyle w:val="BoldandItalics"/>
              </w:rPr>
              <w:t>innovative possibilities</w:t>
            </w:r>
            <w:r w:rsidRPr="00F034B9">
              <w:t xml:space="preserve"> in offshore education for Australian entrepreneurs</w:t>
            </w:r>
          </w:p>
        </w:tc>
      </w:tr>
      <w:tr w:rsidTr="00901E1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List"/>
              <w:rPr>
                <w:lang w:val="en-NZ"/>
              </w:rPr>
            </w:pPr>
            <w:r w:rsidRPr="00F034B9">
              <w:t>2.</w:t>
            </w:r>
            <w:r w:rsidRPr="00F034B9">
              <w:tab/>
              <w:t>Develop marketing strategies appropriate for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2"/>
            </w:pPr>
            <w:r w:rsidRPr="00F034B9">
              <w:t>2.1.</w:t>
            </w:r>
            <w:r w:rsidRPr="00F034B9">
              <w:tab/>
              <w:t>Determine roles and responsibilities of participants i</w:t>
            </w:r>
            <w:r w:rsidRPr="00F034B9">
              <w:t>n international bidding processes</w:t>
            </w:r>
          </w:p>
          <w:p w:rsidR="00000000" w:rsidRPr="00F034B9" w:rsidP="00F034B9">
            <w:pPr>
              <w:pStyle w:val="List2"/>
            </w:pPr>
            <w:r w:rsidRPr="00F034B9">
              <w:t>2.2.</w:t>
            </w:r>
            <w:r w:rsidRPr="00F034B9">
              <w:tab/>
              <w:t>Develop protocols for effective communication with relevant agencies and bureaucracies</w:t>
            </w:r>
          </w:p>
          <w:p w:rsidR="00000000" w:rsidRPr="00F034B9" w:rsidP="00F034B9">
            <w:pPr>
              <w:pStyle w:val="List2"/>
            </w:pPr>
            <w:r w:rsidRPr="00F034B9">
              <w:t>2.3.</w:t>
            </w:r>
            <w:r w:rsidRPr="00F034B9">
              <w:tab/>
              <w:t>Investigate curriculum and qualification issues for potential clients</w:t>
            </w:r>
          </w:p>
          <w:p w:rsidR="00000000" w:rsidRPr="00F034B9" w:rsidP="00F034B9">
            <w:pPr>
              <w:pStyle w:val="List2"/>
            </w:pPr>
            <w:r w:rsidRPr="00F034B9">
              <w:t>2.4.</w:t>
            </w:r>
            <w:r w:rsidRPr="00F034B9">
              <w:tab/>
              <w:t>Review Australian education marketing strengths in</w:t>
            </w:r>
            <w:r w:rsidRPr="00F034B9">
              <w:t xml:space="preserve"> relation to specific customer focus</w:t>
            </w:r>
          </w:p>
          <w:p w:rsidR="00000000" w:rsidRPr="00F034B9" w:rsidP="00F034B9">
            <w:pPr>
              <w:pStyle w:val="List2"/>
            </w:pPr>
            <w:r w:rsidRPr="00F034B9">
              <w:t>2.5.</w:t>
            </w:r>
            <w:r w:rsidRPr="00F034B9">
              <w:tab/>
              <w:t xml:space="preserve">Determine </w:t>
            </w:r>
            <w:r w:rsidRPr="00F034B9">
              <w:rPr>
                <w:rStyle w:val="BoldandItalics"/>
              </w:rPr>
              <w:t>appropriate product development and customisation</w:t>
            </w:r>
            <w:r w:rsidRPr="00F034B9">
              <w:t xml:space="preserve"> to address specific transnational offshore education opportunities</w:t>
            </w:r>
          </w:p>
          <w:p w:rsidR="00000000" w:rsidP="00F034B9">
            <w:pPr>
              <w:pStyle w:val="List2"/>
              <w:rPr>
                <w:lang w:val="en-NZ"/>
              </w:rPr>
            </w:pPr>
            <w:r w:rsidRPr="00F034B9">
              <w:t>2.6.</w:t>
            </w:r>
            <w:r w:rsidRPr="00F034B9">
              <w:tab/>
              <w:t xml:space="preserve">Develop </w:t>
            </w:r>
            <w:r w:rsidRPr="00F034B9">
              <w:rPr>
                <w:rStyle w:val="BoldandItalics"/>
              </w:rPr>
              <w:t>appropriate documentation</w:t>
            </w:r>
            <w:r w:rsidRPr="00F034B9">
              <w:t xml:space="preserve"> relating to an offshore education initiative</w:t>
            </w:r>
          </w:p>
        </w:tc>
      </w:tr>
      <w:tr w:rsidTr="00901E1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List"/>
              <w:rPr>
                <w:lang w:val="en-NZ"/>
              </w:rPr>
            </w:pPr>
            <w:r w:rsidRPr="00F034B9">
              <w:t>3.</w:t>
            </w:r>
            <w:r w:rsidRPr="00F034B9">
              <w:tab/>
              <w:t>Develop strategies to deal with legal and financial issues associated with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2"/>
            </w:pPr>
            <w:r w:rsidRPr="00F034B9">
              <w:t>3.1.</w:t>
            </w:r>
            <w:r w:rsidRPr="00F034B9">
              <w:tab/>
              <w:t>Compare a range of funding models, networks and partnerships that support offshore education ventures</w:t>
            </w:r>
          </w:p>
          <w:p w:rsidR="00000000" w:rsidRPr="00F034B9" w:rsidP="00F034B9">
            <w:pPr>
              <w:pStyle w:val="List2"/>
            </w:pPr>
            <w:r w:rsidRPr="00F034B9">
              <w:t>3.2.</w:t>
            </w:r>
            <w:r w:rsidRPr="00F034B9">
              <w:tab/>
              <w:t>Determine the tax impli</w:t>
            </w:r>
            <w:r w:rsidRPr="00F034B9">
              <w:t>cations associated with transnational offshore education projects</w:t>
            </w:r>
          </w:p>
          <w:p w:rsidR="00000000" w:rsidRPr="00F034B9" w:rsidP="00F034B9">
            <w:pPr>
              <w:pStyle w:val="List2"/>
            </w:pPr>
            <w:r w:rsidRPr="00F034B9">
              <w:t>3.3.</w:t>
            </w:r>
            <w:r w:rsidRPr="00F034B9">
              <w:tab/>
              <w:t>Develop a process for costing offshore initiatives</w:t>
            </w:r>
          </w:p>
          <w:p w:rsidR="00000000" w:rsidRPr="00F034B9" w:rsidP="00F034B9">
            <w:pPr>
              <w:pStyle w:val="List2"/>
            </w:pPr>
            <w:r w:rsidRPr="00F034B9">
              <w:t>3.4.</w:t>
            </w:r>
            <w:r w:rsidRPr="00F034B9">
              <w:tab/>
              <w:t xml:space="preserve">Determine the </w:t>
            </w:r>
            <w:r w:rsidRPr="00F034B9">
              <w:rPr>
                <w:rStyle w:val="BoldandItalics"/>
              </w:rPr>
              <w:t>impact</w:t>
            </w:r>
            <w:r w:rsidRPr="00F034B9">
              <w:t xml:space="preserve"> of local infrastructures and bureaucratic practices on transnational offshore education initiatives</w:t>
            </w:r>
          </w:p>
          <w:p w:rsidR="00000000" w:rsidP="00F034B9">
            <w:pPr>
              <w:pStyle w:val="List2"/>
              <w:rPr>
                <w:lang w:val="en-NZ"/>
              </w:rPr>
            </w:pPr>
            <w:r w:rsidRPr="00F034B9">
              <w:t>3.5.</w:t>
            </w:r>
            <w:r w:rsidRPr="00F034B9">
              <w:tab/>
              <w:t>Dev</w:t>
            </w:r>
            <w:r w:rsidRPr="00F034B9">
              <w:t xml:space="preserve">elop procedures to comply with and take account of, </w:t>
            </w:r>
            <w:r w:rsidRPr="00F034B9">
              <w:rPr>
                <w:rStyle w:val="BoldandItalics"/>
              </w:rPr>
              <w:t>Australian and local legal and regulatory requirements</w:t>
            </w:r>
            <w:r w:rsidRPr="00F034B9">
              <w:t xml:space="preserve"> that could affect transnational offshore education projects</w:t>
            </w:r>
          </w:p>
        </w:tc>
      </w:tr>
      <w:tr w:rsidTr="00901E1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List"/>
              <w:rPr>
                <w:lang w:val="en-NZ"/>
              </w:rPr>
            </w:pPr>
            <w:r w:rsidRPr="00F034B9">
              <w:t>4.</w:t>
            </w:r>
            <w:r w:rsidRPr="00F034B9">
              <w:tab/>
              <w:t>Develop an implementation plan for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2"/>
            </w:pPr>
            <w:r w:rsidRPr="00F034B9">
              <w:t>4.1.</w:t>
            </w:r>
            <w:r w:rsidRPr="00F034B9">
              <w:tab/>
            </w:r>
            <w:r w:rsidRPr="00F034B9">
              <w:t>Identify business imperatives and best practice for transnational offshore education initiatives</w:t>
            </w:r>
          </w:p>
          <w:p w:rsidR="00000000" w:rsidRPr="00F034B9" w:rsidP="00F034B9">
            <w:pPr>
              <w:pStyle w:val="List2"/>
            </w:pPr>
            <w:r w:rsidRPr="00F034B9">
              <w:t>4.2.</w:t>
            </w:r>
            <w:r w:rsidRPr="00F034B9">
              <w:tab/>
              <w:t>Determine the resources and infrastructure required by transnational offshore education initiative</w:t>
            </w:r>
          </w:p>
          <w:p w:rsidR="00000000" w:rsidRPr="00F034B9" w:rsidP="00F034B9">
            <w:pPr>
              <w:pStyle w:val="List2"/>
            </w:pPr>
            <w:r w:rsidRPr="00F034B9">
              <w:t>4.3.</w:t>
            </w:r>
            <w:r w:rsidRPr="00F034B9">
              <w:tab/>
              <w:t xml:space="preserve">Develop </w:t>
            </w:r>
            <w:r w:rsidRPr="00F034B9">
              <w:rPr>
                <w:rStyle w:val="BoldandItalics"/>
              </w:rPr>
              <w:t>communication guidelines</w:t>
            </w:r>
            <w:r w:rsidRPr="00F034B9">
              <w:t xml:space="preserve"> for transnational</w:t>
            </w:r>
            <w:r w:rsidRPr="00F034B9">
              <w:t xml:space="preserve"> offshore education personnel </w:t>
            </w:r>
          </w:p>
          <w:p w:rsidR="00000000" w:rsidRPr="00F034B9" w:rsidP="00F034B9">
            <w:pPr>
              <w:pStyle w:val="List2"/>
            </w:pPr>
            <w:r w:rsidRPr="00F034B9">
              <w:t>4.4.</w:t>
            </w:r>
            <w:r w:rsidRPr="00F034B9">
              <w:tab/>
              <w:t>Develop procedures to select and manage local and expatriate personnel</w:t>
            </w:r>
          </w:p>
          <w:p w:rsidR="00000000" w:rsidP="00F034B9">
            <w:pPr>
              <w:pStyle w:val="List2"/>
              <w:rPr>
                <w:lang w:val="en-NZ"/>
              </w:rPr>
            </w:pPr>
            <w:r w:rsidRPr="00F034B9">
              <w:t>4.5.</w:t>
            </w:r>
            <w:r w:rsidRPr="00F034B9">
              <w:tab/>
              <w:t>Determine appropriate implementation strategies, contingency plans, risk assessment strategies and quality management procedures for transnation</w:t>
            </w:r>
            <w:r w:rsidRPr="00F034B9">
              <w:t>al offshore education initiatives</w:t>
            </w:r>
          </w:p>
        </w:tc>
      </w:tr>
      <w:tr w:rsidTr="00901E1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List"/>
              <w:rPr>
                <w:lang w:val="en-NZ"/>
              </w:rPr>
            </w:pPr>
            <w:r w:rsidRPr="00F034B9">
              <w:t>5.</w:t>
            </w:r>
            <w:r w:rsidRPr="00F034B9">
              <w:tab/>
              <w:t>Develop evaluation procedures for transnational offshore education initiatives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2"/>
            </w:pPr>
            <w:r w:rsidRPr="00F034B9">
              <w:t>5.1.</w:t>
            </w:r>
            <w:r w:rsidRPr="00F034B9">
              <w:tab/>
              <w:t>Identify key areas of activity to be monitored and evaluated</w:t>
            </w:r>
          </w:p>
          <w:p w:rsidR="00000000" w:rsidRPr="00F034B9" w:rsidP="00F034B9">
            <w:pPr>
              <w:pStyle w:val="List2"/>
            </w:pPr>
            <w:r w:rsidRPr="00F034B9">
              <w:t>5.2.</w:t>
            </w:r>
            <w:r w:rsidRPr="00F034B9">
              <w:tab/>
              <w:t xml:space="preserve">Determine an </w:t>
            </w:r>
            <w:r w:rsidRPr="00F034B9">
              <w:rPr>
                <w:rStyle w:val="BoldandItalics"/>
              </w:rPr>
              <w:t>appropriate evaluation methodology</w:t>
            </w:r>
          </w:p>
          <w:p w:rsidR="00000000" w:rsidRPr="00F034B9" w:rsidP="00F034B9">
            <w:pPr>
              <w:pStyle w:val="List2"/>
            </w:pPr>
            <w:r w:rsidRPr="00F034B9">
              <w:t>5.3.</w:t>
            </w:r>
            <w:r w:rsidRPr="00F034B9">
              <w:tab/>
              <w:t>Determine sourc</w:t>
            </w:r>
            <w:r w:rsidRPr="00F034B9">
              <w:t>es and type of information to be used in evaluating the initiative</w:t>
            </w:r>
          </w:p>
          <w:p w:rsidR="00000000" w:rsidRPr="00F034B9" w:rsidP="00F034B9">
            <w:pPr>
              <w:pStyle w:val="List2"/>
            </w:pPr>
            <w:r w:rsidRPr="00F034B9">
              <w:t>5.4.</w:t>
            </w:r>
            <w:r w:rsidRPr="00F034B9">
              <w:tab/>
              <w:t xml:space="preserve">Develop appropriate </w:t>
            </w:r>
            <w:r w:rsidRPr="00F034B9">
              <w:rPr>
                <w:rStyle w:val="BoldandItalics"/>
              </w:rPr>
              <w:t>tools and processes to gather and analyse information</w:t>
            </w:r>
          </w:p>
          <w:p w:rsidR="00000000" w:rsidRPr="00F034B9" w:rsidP="00F034B9">
            <w:pPr>
              <w:pStyle w:val="List2"/>
            </w:pPr>
            <w:r w:rsidRPr="00F034B9">
              <w:t>5.5.</w:t>
            </w:r>
            <w:r w:rsidRPr="00F034B9">
              <w:tab/>
              <w:t>Identify possible actions that effectivel</w:t>
            </w:r>
            <w:r w:rsidRPr="00F034B9">
              <w:t>y respond to an evaluation process and implement within organisational guidelines</w:t>
            </w: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9" w:name="O_63875"/>
      <w:bookmarkEnd w:id="9"/>
      <w:r w:rsidRPr="00F034B9">
        <w:t>Required Skills and Knowledge</w:t>
      </w:r>
    </w:p>
    <w:tbl>
      <w:tblPr>
        <w:tblW w:w="0" w:type="auto"/>
        <w:tblLayout w:type="fixed"/>
        <w:tblCellMar>
          <w:left w:w="62" w:type="dxa"/>
          <w:right w:w="62" w:type="dxa"/>
        </w:tblCellMar>
        <w:tblLook w:val="0000"/>
      </w:tblPr>
      <w:tblGrid>
        <w:gridCol w:w="8522"/>
      </w:tblGrid>
      <w:tr w:rsidTr="00901E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REQUIRED SKILLS AND KNOWLEDGE</w:t>
            </w:r>
          </w:p>
        </w:tc>
      </w:tr>
      <w:tr w:rsidTr="00901E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t>This section describes the skills and knowledge required for this unit.</w:t>
            </w:r>
          </w:p>
        </w:tc>
      </w:tr>
      <w:tr w:rsidTr="00901E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Required skills</w:t>
            </w:r>
          </w:p>
        </w:tc>
      </w:tr>
      <w:tr w:rsidTr="00901E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communication skills to interact appropriately with students, co-workers, partners and other stakeholders</w:t>
            </w:r>
          </w:p>
          <w:p w:rsidR="00000000" w:rsidRPr="00F034B9" w:rsidP="00F034B9">
            <w:pPr>
              <w:pStyle w:val="ListBullet"/>
            </w:pPr>
            <w:r w:rsidRPr="00F034B9">
              <w:t>initiative and enterprise skills to identify innovative approaches to transnational offshore education challenges</w:t>
            </w:r>
          </w:p>
          <w:p w:rsidR="00000000" w:rsidRPr="00F034B9" w:rsidP="00F034B9">
            <w:pPr>
              <w:pStyle w:val="ListBullet"/>
            </w:pPr>
            <w:r w:rsidRPr="00F034B9">
              <w:t xml:space="preserve">learning skills to familiarise self </w:t>
            </w:r>
            <w:r w:rsidRPr="00F034B9">
              <w:t>and colleagues with needs of a range of country and cultural contexts</w:t>
            </w:r>
          </w:p>
          <w:p w:rsidR="00000000" w:rsidRPr="00F034B9" w:rsidP="00F034B9">
            <w:pPr>
              <w:pStyle w:val="ListBullet"/>
            </w:pPr>
            <w:r w:rsidRPr="00F034B9">
              <w:t>literacy skills to record and report information accurately</w:t>
            </w:r>
          </w:p>
          <w:p w:rsidR="00000000" w:rsidRPr="00F034B9" w:rsidP="00F034B9">
            <w:pPr>
              <w:pStyle w:val="ListBullet"/>
            </w:pPr>
            <w:r w:rsidRPr="00F034B9">
              <w:t>numeracy skills to understand and analyse financial and budgetary requirements of transnational offshore education programs an</w:t>
            </w:r>
            <w:r w:rsidRPr="00F034B9">
              <w:t>d projects</w:t>
            </w:r>
          </w:p>
          <w:p w:rsidR="00000000" w:rsidRPr="00F034B9" w:rsidP="00F034B9">
            <w:pPr>
              <w:pStyle w:val="ListBullet"/>
            </w:pPr>
            <w:r w:rsidRPr="00F034B9">
              <w:t xml:space="preserve">planning and organising skills to plan and deliver transnational offshore education program support </w:t>
            </w:r>
          </w:p>
          <w:p w:rsidR="00000000" w:rsidRPr="00F034B9" w:rsidP="00F034B9">
            <w:pPr>
              <w:pStyle w:val="ListBullet"/>
            </w:pPr>
            <w:r w:rsidRPr="00F034B9">
              <w:t>problem-solving skills to resolve conflict and to negotiate outcomes</w:t>
            </w:r>
          </w:p>
          <w:p w:rsidR="00000000" w:rsidRPr="00F034B9" w:rsidP="00F034B9">
            <w:pPr>
              <w:pStyle w:val="ListBullet"/>
            </w:pPr>
            <w:r w:rsidRPr="00F034B9">
              <w:t>self-management skills to mange own work and performance</w:t>
            </w:r>
          </w:p>
          <w:p w:rsidR="00000000" w:rsidRPr="00F034B9" w:rsidP="00F034B9">
            <w:pPr>
              <w:pStyle w:val="ListBullet"/>
            </w:pPr>
            <w:r w:rsidRPr="00F034B9">
              <w:t>teamwork skills to work effectively with groups and teams in offshore settings</w:t>
            </w:r>
          </w:p>
          <w:p w:rsidR="00000000" w:rsidP="00F034B9">
            <w:pPr>
              <w:pStyle w:val="ListBullet"/>
              <w:rPr>
                <w:lang w:val="en-NZ"/>
              </w:rPr>
            </w:pPr>
            <w:r w:rsidRPr="00F034B9">
              <w:t>technology skills to use the internet to research relevant information and to communicate internationally.</w:t>
            </w:r>
          </w:p>
        </w:tc>
      </w:tr>
      <w:tr w:rsidTr="00901E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Required knowledge</w:t>
            </w:r>
          </w:p>
        </w:tc>
      </w:tr>
      <w:tr w:rsidTr="00901E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best practice in transnational offshore educatio</w:t>
            </w:r>
            <w:r w:rsidRPr="00F034B9">
              <w:t>n management</w:t>
            </w:r>
          </w:p>
          <w:p w:rsidR="00000000" w:rsidRPr="00F034B9" w:rsidP="00F034B9">
            <w:pPr>
              <w:pStyle w:val="ListBullet"/>
            </w:pPr>
            <w:r w:rsidRPr="00F034B9">
              <w:t>evaluation methodologies and tools</w:t>
            </w:r>
          </w:p>
          <w:p w:rsidR="00000000" w:rsidRPr="00F034B9" w:rsidP="00F034B9">
            <w:pPr>
              <w:pStyle w:val="ListBullet"/>
            </w:pPr>
            <w:r w:rsidRPr="00F034B9">
              <w:t>factors influencing strategic directions in transnational offshore education</w:t>
            </w:r>
          </w:p>
          <w:p w:rsidR="00000000" w:rsidRPr="00F034B9" w:rsidP="00F034B9">
            <w:pPr>
              <w:pStyle w:val="ListBullet"/>
            </w:pPr>
            <w:r w:rsidRPr="00F034B9">
              <w:t xml:space="preserve">marketing processes and strategies for transnational offshore education initiatives </w:t>
            </w:r>
          </w:p>
          <w:p w:rsidR="00000000" w:rsidRPr="00F034B9" w:rsidP="00F034B9">
            <w:pPr>
              <w:pStyle w:val="ListBullet"/>
            </w:pPr>
            <w:r w:rsidRPr="00F034B9">
              <w:t>relevant requirements of Australian and offsho</w:t>
            </w:r>
            <w:r w:rsidRPr="00F034B9">
              <w:t>re legislation and regulations; organisational policies, procedures and guidelines; standards, codes and industry codes of practice; duty of care and visa requirements.</w:t>
            </w: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10" w:name="O_63876"/>
      <w:bookmarkEnd w:id="10"/>
      <w:r w:rsidRPr="00F034B9">
        <w:t>Evidence Guide</w:t>
      </w:r>
    </w:p>
    <w:tbl>
      <w:tblPr>
        <w:tblW w:w="9570" w:type="dxa"/>
        <w:tblLayout w:type="fixed"/>
        <w:tblCellMar>
          <w:left w:w="62" w:type="dxa"/>
          <w:right w:w="62" w:type="dxa"/>
        </w:tblCellMar>
        <w:tblLook w:val="0000"/>
      </w:tblPr>
      <w:tblGrid>
        <w:gridCol w:w="3908"/>
        <w:gridCol w:w="5662"/>
      </w:tblGrid>
      <w:tr w:rsidTr="00901E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EVIDENCE GUIDE</w:t>
            </w:r>
          </w:p>
        </w:tc>
      </w:tr>
      <w:tr w:rsidTr="00901E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t>The Evidence Guide provides advice on assessment and must be read in conjunction with the performance criteria, required skills and knowledge, range statement and the Assessment Guidelines for the Training Package.</w:t>
            </w:r>
          </w:p>
        </w:tc>
      </w:tr>
      <w:tr w:rsidTr="00901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p>
        </w:tc>
      </w:tr>
      <w:tr w:rsidTr="00901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t>Evidence of the following is essential:</w:t>
            </w:r>
          </w:p>
          <w:p w:rsidR="00000000" w:rsidRPr="00F034B9" w:rsidP="00F034B9">
            <w:pPr>
              <w:pStyle w:val="ListBullet"/>
            </w:pPr>
            <w:r w:rsidRPr="00F034B9">
              <w:t xml:space="preserve">identifying, researching, reviewing and evaluating transnational offshore education </w:t>
            </w:r>
            <w:r w:rsidRPr="00F034B9">
              <w:t>initiatives including marketing and meeting, regulatory and financial requirements</w:t>
            </w:r>
          </w:p>
          <w:p w:rsidR="00000000" w:rsidP="00F034B9">
            <w:pPr>
              <w:pStyle w:val="ListBullet"/>
              <w:rPr>
                <w:lang w:val="en-NZ"/>
              </w:rPr>
            </w:pPr>
            <w:r w:rsidRPr="00F034B9">
              <w:t xml:space="preserve">knowledge of relevant requirements of Australian and offshore legislation and regulations; organisational policies, procedures and guidelines; standards, codes and industry </w:t>
            </w:r>
            <w:r w:rsidRPr="00F034B9">
              <w:t>codes of practice; duty of care and visa requirements.</w:t>
            </w:r>
          </w:p>
        </w:tc>
      </w:tr>
      <w:tr w:rsidTr="00901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t>Assessment must ensure:</w:t>
            </w:r>
          </w:p>
          <w:p w:rsidR="00000000" w:rsidRPr="00F034B9" w:rsidP="00F034B9">
            <w:pPr>
              <w:pStyle w:val="ListBullet"/>
            </w:pPr>
            <w:r w:rsidRPr="00F034B9">
              <w:t xml:space="preserve">activities are related to a transnational offshore education context </w:t>
            </w:r>
          </w:p>
          <w:p w:rsidR="00000000" w:rsidP="00F034B9">
            <w:pPr>
              <w:pStyle w:val="ListBullet"/>
              <w:rPr>
                <w:lang w:val="en-NZ"/>
              </w:rPr>
            </w:pPr>
            <w:r w:rsidRPr="00F034B9">
              <w:t>access to a range of practical exercises and other pract</w:t>
            </w:r>
            <w:r w:rsidRPr="00F034B9">
              <w:t>ical and knowledge assessments.</w:t>
            </w:r>
          </w:p>
        </w:tc>
      </w:tr>
      <w:tr w:rsidTr="00901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t>A range of assessment methods should be used to assess practical skills and knowledge. The following examples are appropriate for this unit:</w:t>
            </w:r>
          </w:p>
          <w:p w:rsidR="00000000" w:rsidRPr="00F034B9" w:rsidP="00F034B9">
            <w:pPr>
              <w:pStyle w:val="ListBullet"/>
            </w:pPr>
            <w:r w:rsidRPr="00F034B9">
              <w:t>direct questioning combined with review of portfolios of evi</w:t>
            </w:r>
            <w:r w:rsidRPr="00F034B9">
              <w:t xml:space="preserve">dence and third party workplace reports of on-the-job performance by the candidate </w:t>
            </w:r>
          </w:p>
          <w:p w:rsidR="00000000" w:rsidRPr="00F034B9" w:rsidP="00F034B9">
            <w:pPr>
              <w:pStyle w:val="ListBullet"/>
            </w:pPr>
            <w:r w:rsidRPr="00F034B9">
              <w:t>evaluation of supervisor's reports</w:t>
            </w:r>
          </w:p>
          <w:p w:rsidR="00000000" w:rsidRPr="00F034B9" w:rsidP="00F034B9">
            <w:pPr>
              <w:pStyle w:val="ListBullet"/>
            </w:pPr>
            <w:r w:rsidRPr="00F034B9">
              <w:t>analysis of projects, responses to a problem-based case study-related task, completed records and reports developed by the candidate</w:t>
            </w:r>
          </w:p>
          <w:p w:rsidR="00000000" w:rsidRPr="00F034B9" w:rsidP="00F034B9">
            <w:pPr>
              <w:pStyle w:val="ListBullet"/>
            </w:pPr>
            <w:r w:rsidRPr="00F034B9">
              <w:t>review of marketing strategies and implementation plan developed for transnational offshore education initiatives</w:t>
            </w:r>
          </w:p>
          <w:p w:rsidR="00000000" w:rsidRPr="00F034B9" w:rsidP="00F034B9">
            <w:pPr>
              <w:pStyle w:val="ListBullet"/>
            </w:pPr>
            <w:r w:rsidRPr="00F034B9">
              <w:t>oral or written questioning to assess knowledge of factors influencing strategic directions in transnational offshore education</w:t>
            </w:r>
          </w:p>
          <w:p w:rsidR="00000000" w:rsidP="00F034B9">
            <w:pPr>
              <w:pStyle w:val="ListBullet"/>
              <w:rPr>
                <w:lang w:val="en-NZ"/>
              </w:rPr>
            </w:pPr>
            <w:r w:rsidRPr="00F034B9">
              <w:t>review of eval</w:t>
            </w:r>
            <w:r w:rsidRPr="00F034B9">
              <w:t>uation methodology.</w:t>
            </w:r>
          </w:p>
        </w:tc>
      </w:tr>
      <w:tr w:rsidTr="00901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Holistic assessment with other units relevant to the industry sector, workplace and job role is recommended, for example:</w:t>
            </w:r>
          </w:p>
          <w:p w:rsidR="00000000" w:rsidRPr="00F034B9" w:rsidP="00F034B9">
            <w:pPr>
              <w:pStyle w:val="ListBullet"/>
            </w:pPr>
            <w:r w:rsidRPr="00F034B9">
              <w:t>with other units in the qualification in which this unit is packaged.</w:t>
            </w: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11" w:name="O_63877"/>
      <w:bookmarkEnd w:id="11"/>
      <w:r w:rsidRPr="00F034B9">
        <w:t>Range Statement</w:t>
      </w:r>
    </w:p>
    <w:tbl>
      <w:tblPr>
        <w:tblW w:w="0" w:type="auto"/>
        <w:tblLayout w:type="fixed"/>
        <w:tblCellMar>
          <w:left w:w="62" w:type="dxa"/>
          <w:right w:w="62" w:type="dxa"/>
        </w:tblCellMar>
        <w:tblLook w:val="0000"/>
      </w:tblPr>
      <w:tblGrid>
        <w:gridCol w:w="3448"/>
        <w:gridCol w:w="5074"/>
      </w:tblGrid>
      <w:tr w:rsidTr="00901E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RANGE STATEMENT</w:t>
            </w:r>
          </w:p>
        </w:tc>
      </w:tr>
      <w:tr w:rsidTr="00901E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t xml:space="preserve">The range statement relates to the unit of competency as a whole. It allows for different work environments and situations that may affect </w:t>
            </w:r>
            <w:r w:rsidRPr="00F034B9">
              <w:t>performance. Bold italicised wording, if used in the performance criteria, is detailed below. Essential operating conditions that may be present with training and assessment (depending on the work situation, needs of the candidate, accessibility of the ite</w:t>
            </w:r>
            <w:r w:rsidRPr="00F034B9">
              <w:t>m, and local industry and regional contexts) may also be included.</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Transnational offshore education initiatives</w:t>
            </w:r>
            <w:r w:rsidRPr="00F034B9">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AUSAID and Australian government department educational programs</w:t>
            </w:r>
          </w:p>
          <w:p w:rsidR="00000000" w:rsidRPr="00F034B9" w:rsidP="00F034B9">
            <w:pPr>
              <w:pStyle w:val="ListBullet"/>
            </w:pPr>
            <w:r w:rsidRPr="00F034B9">
              <w:t>industry placements</w:t>
            </w:r>
          </w:p>
          <w:p w:rsidR="00000000" w:rsidRPr="00F034B9" w:rsidP="00F034B9">
            <w:pPr>
              <w:pStyle w:val="ListBullet"/>
            </w:pPr>
            <w:r w:rsidRPr="00F034B9">
              <w:t>licensing arrangements with overseas instit</w:t>
            </w:r>
            <w:r w:rsidRPr="00F034B9">
              <w:t>utions</w:t>
            </w:r>
          </w:p>
          <w:p w:rsidR="00000000" w:rsidRPr="00F034B9" w:rsidP="00F034B9">
            <w:pPr>
              <w:pStyle w:val="ListBullet"/>
            </w:pPr>
            <w:r w:rsidRPr="00F034B9">
              <w:t>offshore campuses</w:t>
            </w:r>
          </w:p>
          <w:p w:rsidR="00000000" w:rsidRPr="00F034B9" w:rsidP="00F034B9">
            <w:pPr>
              <w:pStyle w:val="ListBullet"/>
            </w:pPr>
            <w:r w:rsidRPr="00F034B9">
              <w:t>partnerships</w:t>
            </w:r>
          </w:p>
          <w:p w:rsidR="00000000" w:rsidRPr="00F034B9" w:rsidP="00F034B9">
            <w:pPr>
              <w:pStyle w:val="ListBullet"/>
            </w:pPr>
            <w:r w:rsidRPr="00F034B9">
              <w:t>program delivery</w:t>
            </w:r>
          </w:p>
          <w:p w:rsidR="00000000" w:rsidRPr="00F034B9" w:rsidP="00F034B9">
            <w:pPr>
              <w:pStyle w:val="ListBullet"/>
            </w:pPr>
            <w:r w:rsidRPr="00F034B9">
              <w:t>projects</w:t>
            </w:r>
          </w:p>
          <w:p w:rsidR="00000000" w:rsidRPr="00F034B9" w:rsidP="00F034B9">
            <w:pPr>
              <w:pStyle w:val="ListBullet"/>
            </w:pPr>
            <w:r w:rsidRPr="00F034B9">
              <w:t>study abroad programs</w:t>
            </w:r>
          </w:p>
          <w:p w:rsidR="00000000" w:rsidRPr="00F034B9" w:rsidP="00F034B9">
            <w:pPr>
              <w:pStyle w:val="ListBullet"/>
            </w:pPr>
            <w:r w:rsidRPr="00F034B9">
              <w:t>study tours</w:t>
            </w:r>
          </w:p>
          <w:p w:rsidR="00000000" w:rsidP="00F034B9">
            <w:pPr>
              <w:pStyle w:val="ListBullet"/>
              <w:rPr>
                <w:lang w:val="en-NZ"/>
              </w:rPr>
            </w:pPr>
            <w:r w:rsidRPr="00F034B9">
              <w:t>twinning arrangements</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Factors impacting positively and negatively</w:t>
            </w:r>
            <w:r w:rsidRPr="00F034B9">
              <w:t xml:space="preserve"> on transnational offshore education initiatives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competition</w:t>
            </w:r>
          </w:p>
          <w:p w:rsidR="00000000" w:rsidRPr="00F034B9" w:rsidP="00F034B9">
            <w:pPr>
              <w:pStyle w:val="ListBullet"/>
            </w:pPr>
            <w:r w:rsidRPr="00F034B9">
              <w:t>economic and financial factors</w:t>
            </w:r>
          </w:p>
          <w:p w:rsidR="00000000" w:rsidRPr="00F034B9" w:rsidP="00F034B9">
            <w:pPr>
              <w:pStyle w:val="ListBullet"/>
            </w:pPr>
            <w:r w:rsidRPr="00F034B9">
              <w:t>language</w:t>
            </w:r>
          </w:p>
          <w:p w:rsidR="00000000" w:rsidRPr="00F034B9" w:rsidP="00F034B9">
            <w:pPr>
              <w:pStyle w:val="ListBullet"/>
            </w:pPr>
            <w:r w:rsidRPr="00F034B9">
              <w:t>long-term outlook</w:t>
            </w:r>
          </w:p>
          <w:p w:rsidR="00000000" w:rsidRPr="00F034B9" w:rsidP="00F034B9">
            <w:pPr>
              <w:pStyle w:val="ListBullet"/>
            </w:pPr>
            <w:r w:rsidRPr="00F034B9">
              <w:t>political and social factors</w:t>
            </w:r>
          </w:p>
          <w:p w:rsidR="00000000" w:rsidP="00F034B9">
            <w:pPr>
              <w:pStyle w:val="ListBullet"/>
              <w:rPr>
                <w:lang w:val="en-NZ"/>
              </w:rPr>
            </w:pPr>
            <w:r w:rsidRPr="00F034B9">
              <w:t>stakeholders</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Innovative possibilities</w:t>
            </w:r>
            <w:r w:rsidRPr="00F034B9">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new arrangements</w:t>
            </w:r>
          </w:p>
          <w:p w:rsidR="00000000" w:rsidRPr="00F034B9" w:rsidP="00F034B9">
            <w:pPr>
              <w:pStyle w:val="ListBullet"/>
            </w:pPr>
            <w:r w:rsidRPr="00F034B9">
              <w:t>new clients</w:t>
            </w:r>
          </w:p>
          <w:p w:rsidR="00000000" w:rsidRPr="00F034B9" w:rsidP="00F034B9">
            <w:pPr>
              <w:pStyle w:val="ListBullet"/>
            </w:pPr>
            <w:r w:rsidRPr="00F034B9">
              <w:t>new pedagogical and curriculum-related concepts</w:t>
            </w:r>
          </w:p>
          <w:p w:rsidR="00000000" w:rsidP="00F034B9">
            <w:pPr>
              <w:pStyle w:val="ListBullet"/>
              <w:rPr>
                <w:lang w:val="en-NZ"/>
              </w:rPr>
            </w:pPr>
            <w:r w:rsidRPr="00F034B9">
              <w:t>new programs and projects</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Appropriate product development and customisation</w:t>
            </w:r>
            <w:r w:rsidRPr="00F034B9">
              <w:t xml:space="preserve"> may include addressing:</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cultural factors</w:t>
            </w:r>
          </w:p>
          <w:p w:rsidR="00000000" w:rsidRPr="00F034B9" w:rsidP="00F034B9">
            <w:pPr>
              <w:pStyle w:val="ListBullet"/>
            </w:pPr>
            <w:r w:rsidRPr="00F034B9">
              <w:t>language requirements</w:t>
            </w:r>
          </w:p>
          <w:p w:rsidR="00000000" w:rsidRPr="00F034B9" w:rsidP="00F034B9">
            <w:pPr>
              <w:pStyle w:val="ListBullet"/>
            </w:pPr>
            <w:r w:rsidRPr="00F034B9">
              <w:t>pedagogical and curriculum-related requirements</w:t>
            </w:r>
          </w:p>
          <w:p w:rsidR="00000000" w:rsidP="00F034B9">
            <w:pPr>
              <w:pStyle w:val="ListBullet"/>
              <w:rPr>
                <w:lang w:val="en-NZ"/>
              </w:rPr>
            </w:pPr>
            <w:r w:rsidRPr="00F034B9">
              <w:t xml:space="preserve">pricing requirements </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Appropriate documentation</w:t>
            </w:r>
            <w:r w:rsidRPr="00F034B9">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concept proposal</w:t>
            </w:r>
          </w:p>
          <w:p w:rsidR="00000000" w:rsidRPr="00F034B9" w:rsidP="00F034B9">
            <w:pPr>
              <w:pStyle w:val="ListBullet"/>
            </w:pPr>
            <w:r w:rsidRPr="00F034B9">
              <w:t>expression of interest</w:t>
            </w:r>
          </w:p>
          <w:p w:rsidR="00000000" w:rsidRPr="00F034B9" w:rsidP="00F034B9">
            <w:pPr>
              <w:pStyle w:val="ListBullet"/>
            </w:pPr>
            <w:r w:rsidRPr="00F034B9">
              <w:t xml:space="preserve">Memorandum of Agreement </w:t>
            </w:r>
          </w:p>
          <w:p w:rsidR="00000000" w:rsidRPr="00F034B9" w:rsidP="00F034B9">
            <w:pPr>
              <w:pStyle w:val="ListBullet"/>
            </w:pPr>
            <w:r w:rsidRPr="00F034B9">
              <w:t>Memorandum of Understanding</w:t>
            </w:r>
          </w:p>
          <w:p w:rsidR="00000000" w:rsidP="00F034B9">
            <w:pPr>
              <w:pStyle w:val="ListBullet"/>
              <w:rPr>
                <w:lang w:val="en-NZ"/>
              </w:rPr>
            </w:pPr>
            <w:r w:rsidRPr="00F034B9">
              <w:t xml:space="preserve">tender </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Impact</w:t>
            </w:r>
            <w:r w:rsidRPr="00F034B9">
              <w:t xml:space="preserve"> of local infrastructures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ListBullet"/>
              <w:rPr>
                <w:lang w:val="en-NZ"/>
              </w:rPr>
            </w:pPr>
            <w:r w:rsidRPr="00F034B9">
              <w:t>communications and information technologies</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Australian and local legal and regulatory requirements</w:t>
            </w:r>
            <w:r w:rsidRPr="00F034B9">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current rel</w:t>
            </w:r>
            <w:r w:rsidRPr="00F034B9">
              <w:t>evant legislation, regulations, industry codes of practice and policy (commonwealth and state/territory) relating to:</w:t>
            </w:r>
          </w:p>
          <w:p w:rsidR="00000000" w:rsidRPr="00F034B9" w:rsidP="00F034B9">
            <w:pPr>
              <w:pStyle w:val="ListBullet2"/>
            </w:pPr>
            <w:r w:rsidRPr="00F034B9">
              <w:t>anti-discrimination including equal opportunity and equal employment opportunity, disability discrimination, racial intolerance</w:t>
            </w:r>
          </w:p>
          <w:p w:rsidR="00000000" w:rsidRPr="00F034B9" w:rsidP="00F034B9">
            <w:pPr>
              <w:pStyle w:val="ListBullet2"/>
            </w:pPr>
            <w:r w:rsidRPr="00F034B9">
              <w:t>business compliance relevant to work roles</w:t>
            </w:r>
          </w:p>
          <w:p w:rsidR="00000000" w:rsidRPr="00F034B9" w:rsidP="00F034B9">
            <w:pPr>
              <w:pStyle w:val="ListBullet2"/>
            </w:pPr>
            <w:r w:rsidRPr="00F034B9">
              <w:t>Education Services for Overseas Students (ESOS) Act 2000, subsequent amendments and related legislation</w:t>
            </w:r>
          </w:p>
          <w:p w:rsidR="00000000" w:rsidRPr="00F034B9" w:rsidP="00F034B9">
            <w:pPr>
              <w:pStyle w:val="ListBullet2"/>
            </w:pPr>
            <w:r w:rsidRPr="00F034B9">
              <w:t xml:space="preserve">employment, education and training - relevant to onshore and offshore provision </w:t>
            </w:r>
          </w:p>
          <w:p w:rsidR="00000000" w:rsidRPr="00F034B9" w:rsidP="00F034B9">
            <w:pPr>
              <w:pStyle w:val="ListBullet2"/>
            </w:pPr>
            <w:r w:rsidRPr="00F034B9">
              <w:t>environmental issues</w:t>
            </w:r>
          </w:p>
          <w:p w:rsidR="00000000" w:rsidRPr="00F034B9" w:rsidP="00F034B9">
            <w:pPr>
              <w:pStyle w:val="ListBullet2"/>
            </w:pPr>
            <w:r w:rsidRPr="00F034B9">
              <w:t>immigra</w:t>
            </w:r>
            <w:r w:rsidRPr="00F034B9">
              <w:t xml:space="preserve">tion related policies and procedures for example from commonwealth government departments such as Department of Education, Science and Training (DEST), Department of Immigration and Citizenship (DIAC), Department of Health and Ageing (DOHA), Department of </w:t>
            </w:r>
            <w:r w:rsidRPr="00F034B9">
              <w:t>Foreign Affairs and Trade (DFAT )</w:t>
            </w:r>
          </w:p>
          <w:p w:rsidR="00000000" w:rsidRPr="00F034B9" w:rsidP="00F034B9">
            <w:pPr>
              <w:pStyle w:val="ListBullet2"/>
            </w:pPr>
            <w:r w:rsidRPr="00F034B9">
              <w:t>National Code of Practice for Registration Authorities and Providers of International Education and Training</w:t>
            </w:r>
          </w:p>
          <w:p w:rsidR="00000000" w:rsidRPr="00F034B9" w:rsidP="00F034B9">
            <w:pPr>
              <w:pStyle w:val="ListBullet2"/>
            </w:pPr>
            <w:r w:rsidRPr="00F034B9">
              <w:t>occupational health and safety</w:t>
            </w:r>
          </w:p>
          <w:p w:rsidR="00000000" w:rsidRPr="00F034B9" w:rsidP="00F034B9">
            <w:pPr>
              <w:pStyle w:val="ListBullet2"/>
            </w:pPr>
            <w:r w:rsidRPr="00F034B9">
              <w:t>privacy and confidentiality</w:t>
            </w:r>
          </w:p>
          <w:p w:rsidR="00000000" w:rsidRPr="00F034B9" w:rsidP="00F034B9">
            <w:pPr>
              <w:pStyle w:val="ListBullet2"/>
            </w:pPr>
            <w:r w:rsidRPr="00F034B9">
              <w:t>Transnational Quality Strategy (2005)</w:t>
            </w:r>
          </w:p>
          <w:p w:rsidR="00000000" w:rsidRPr="00F034B9" w:rsidP="00F034B9">
            <w:pPr>
              <w:pStyle w:val="ListBullet2"/>
            </w:pPr>
            <w:r w:rsidRPr="00F034B9">
              <w:t>workplace employ</w:t>
            </w:r>
            <w:r w:rsidRPr="00F034B9">
              <w:t>ment practices and industrial relations</w:t>
            </w:r>
          </w:p>
          <w:p w:rsidR="00000000" w:rsidRPr="00F034B9" w:rsidP="00F034B9">
            <w:pPr>
              <w:pStyle w:val="ListBullet"/>
            </w:pPr>
            <w:r w:rsidRPr="00F034B9">
              <w:t>legislation, regulations, codes, standards and protocols that apply in offshore location</w:t>
            </w:r>
          </w:p>
          <w:p w:rsidR="00000000" w:rsidRPr="00F034B9" w:rsidP="00F034B9">
            <w:pPr>
              <w:pStyle w:val="ListBullet"/>
            </w:pPr>
            <w:r w:rsidRPr="00F034B9">
              <w:t>National ELT Accreditation Scheme (NEAS) standards for young learners and for teaching English language to international stude</w:t>
            </w:r>
            <w:r w:rsidRPr="00F034B9">
              <w:t>nts</w:t>
            </w:r>
          </w:p>
          <w:p w:rsidR="00000000" w:rsidP="00F034B9">
            <w:pPr>
              <w:pStyle w:val="ListBullet"/>
              <w:rPr>
                <w:lang w:val="en-NZ"/>
              </w:rPr>
            </w:pPr>
            <w:r w:rsidRPr="00F034B9">
              <w:t>quality assurance guidelines set by particular organisations e.g. cultural diversity, equity and access, critical incidents and workplace practices</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Communication guidelines</w:t>
            </w:r>
            <w:r w:rsidRPr="00F034B9">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ListBullet"/>
              <w:rPr>
                <w:lang w:val="en-NZ"/>
              </w:rPr>
            </w:pPr>
            <w:r w:rsidRPr="00F034B9">
              <w:t>reference to local protocols and cross-cultural communication and issues</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Appropriate evaluation methodology</w:t>
            </w:r>
            <w:r w:rsidRPr="00F034B9">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 xml:space="preserve">custom-designed program-specific methodologies </w:t>
            </w:r>
          </w:p>
          <w:p w:rsidR="00000000" w:rsidP="00F034B9">
            <w:pPr>
              <w:pStyle w:val="ListBullet"/>
              <w:rPr>
                <w:lang w:val="en-NZ"/>
              </w:rPr>
            </w:pPr>
            <w:r w:rsidRPr="00F034B9">
              <w:t>standardised in-house evaluation methodologies</w:t>
            </w:r>
          </w:p>
        </w:tc>
      </w:tr>
      <w:tr w:rsidTr="00901E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BoldandItalics"/>
              </w:rPr>
              <w:t>Tools and processes to gather and ana</w:t>
            </w:r>
            <w:r w:rsidRPr="00F034B9">
              <w:rPr>
                <w:rStyle w:val="BoldandItalics"/>
              </w:rPr>
              <w:t>lyse information</w:t>
            </w:r>
            <w:r w:rsidRPr="00F034B9">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ListBullet"/>
            </w:pPr>
            <w:r w:rsidRPr="00F034B9">
              <w:t>interviews</w:t>
            </w:r>
          </w:p>
          <w:p w:rsidR="00000000" w:rsidRPr="00F034B9" w:rsidP="00F034B9">
            <w:pPr>
              <w:pStyle w:val="ListBullet"/>
            </w:pPr>
            <w:r w:rsidRPr="00F034B9">
              <w:t>online feedback forms</w:t>
            </w:r>
          </w:p>
          <w:p w:rsidR="00000000" w:rsidRPr="00F034B9" w:rsidP="00F034B9">
            <w:pPr>
              <w:pStyle w:val="ListBullet"/>
            </w:pPr>
            <w:r w:rsidRPr="00F034B9">
              <w:t>questionnaires</w:t>
            </w:r>
          </w:p>
          <w:p w:rsidR="00000000" w:rsidRPr="00F034B9" w:rsidP="00F034B9">
            <w:pPr>
              <w:pStyle w:val="ListBullet"/>
            </w:pPr>
            <w:r w:rsidRPr="00F034B9">
              <w:t>structured focus group tools</w:t>
            </w:r>
          </w:p>
          <w:p w:rsidR="00000000" w:rsidRPr="00F034B9" w:rsidP="00F034B9">
            <w:pPr>
              <w:pStyle w:val="ListBullet"/>
            </w:pPr>
            <w:r w:rsidRPr="00F034B9">
              <w:t>surveys</w:t>
            </w:r>
          </w:p>
        </w:tc>
      </w:tr>
    </w:tbl>
    <w:p w:rsidR="00901E1E" w:rsidP="00F034B9">
      <w:pPr>
        <w:pStyle w:val="BodyText"/>
      </w:pPr>
    </w:p>
    <w:p w:rsidR="00901E1E" w:rsidP="00F034B9">
      <w:pPr>
        <w:pStyle w:val="BodyText"/>
      </w:pPr>
    </w:p>
    <w:p w:rsidR="00000000" w:rsidRPr="00F034B9" w:rsidP="00F034B9">
      <w:pPr>
        <w:pStyle w:val="Heading1"/>
      </w:pPr>
      <w:bookmarkStart w:id="12" w:name="O_63878"/>
      <w:bookmarkEnd w:id="12"/>
      <w:r w:rsidRPr="00F034B9">
        <w:t>Unit Sector(s)</w:t>
      </w:r>
    </w:p>
    <w:tbl>
      <w:tblPr>
        <w:tblW w:w="0" w:type="auto"/>
        <w:tblLayout w:type="fixed"/>
        <w:tblCellMar>
          <w:left w:w="62" w:type="dxa"/>
          <w:right w:w="62" w:type="dxa"/>
        </w:tblCellMar>
        <w:tblLook w:val="0000"/>
      </w:tblPr>
      <w:tblGrid>
        <w:gridCol w:w="2654"/>
        <w:gridCol w:w="5868"/>
      </w:tblGrid>
      <w:tr w:rsidTr="00901E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13" w:name="O_153937"/>
      <w:bookmarkEnd w:id="13"/>
      <w:r w:rsidRPr="00F034B9">
        <w:t>Competency field</w:t>
      </w:r>
    </w:p>
    <w:tbl>
      <w:tblPr>
        <w:tblW w:w="0" w:type="auto"/>
        <w:tblLayout w:type="fixed"/>
        <w:tblCellMar>
          <w:left w:w="62" w:type="dxa"/>
          <w:right w:w="62" w:type="dxa"/>
        </w:tblCellMar>
        <w:tblLook w:val="0000"/>
      </w:tblPr>
      <w:tblGrid>
        <w:gridCol w:w="2774"/>
        <w:gridCol w:w="5748"/>
      </w:tblGrid>
      <w:tr w:rsidTr="00901E1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r w:rsidRPr="00F034B9">
              <w:t>Administration - Educational Administration</w:t>
            </w:r>
          </w:p>
        </w:tc>
      </w:tr>
    </w:tbl>
    <w:p w:rsidR="00000000" w:rsidRPr="00F034B9" w:rsidP="00F034B9">
      <w:pPr>
        <w:pStyle w:val="BodyText"/>
      </w:pPr>
    </w:p>
    <w:p w:rsidR="00000000" w:rsidRPr="00F034B9" w:rsidP="00F034B9">
      <w:pPr>
        <w:pStyle w:val="AllowPageBreak"/>
      </w:pPr>
    </w:p>
    <w:p w:rsidR="00000000" w:rsidRPr="00F034B9" w:rsidP="00F034B9">
      <w:pPr>
        <w:pStyle w:val="Heading1"/>
      </w:pPr>
      <w:bookmarkStart w:id="14" w:name="O_153936"/>
      <w:bookmarkEnd w:id="14"/>
      <w:r w:rsidRPr="00F034B9">
        <w:t>Co-requisite units</w:t>
      </w:r>
    </w:p>
    <w:tbl>
      <w:tblPr>
        <w:tblW w:w="0" w:type="auto"/>
        <w:tblLayout w:type="fixed"/>
        <w:tblCellMar>
          <w:left w:w="62" w:type="dxa"/>
          <w:right w:w="62" w:type="dxa"/>
        </w:tblCellMar>
        <w:tblLook w:val="0000"/>
      </w:tblPr>
      <w:tblGrid>
        <w:gridCol w:w="2641"/>
        <w:gridCol w:w="1322"/>
        <w:gridCol w:w="4559"/>
      </w:tblGrid>
      <w:tr w:rsidTr="00901E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r w:rsidRPr="00F034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01E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4B9">
            <w:pPr>
              <w:pStyle w:val="BodyText"/>
              <w:rPr>
                <w:lang w:val="en-NZ"/>
              </w:rPr>
            </w:pPr>
          </w:p>
        </w:tc>
      </w:tr>
      <w:tr w:rsidTr="00901E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4B9" w:rsidP="00F034B9">
            <w:pPr>
              <w:pStyle w:val="BodyText"/>
            </w:pPr>
          </w:p>
        </w:tc>
      </w:tr>
    </w:tbl>
    <w:p w:rsidR="00000000" w:rsidRPr="00F034B9" w:rsidP="00F034B9">
      <w:pPr>
        <w:pStyle w:val="BodyText"/>
      </w:pPr>
    </w:p>
    <w:p w:rsidR="00000000" w:rsidRPr="00F034B9" w:rsidP="00F034B9"/>
    <w:sectPr w:rsidSect="00F034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E1E" w:rsidP="00901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1E" w:rsidP="00F03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1E1E" w:rsidP="00F034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1E1E" w:rsidP="00F034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E1E" w:rsidP="00901E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1E" w:rsidP="00F034B9">
    <w:pPr>
      <w:pStyle w:val="Header"/>
      <w:framePr w:wrap="around"/>
    </w:pPr>
    <w:r>
      <w:fldChar w:fldCharType="begin"/>
    </w:r>
    <w:r>
      <w:instrText xml:space="preserve"> TITLE   \* MERGEFORMAT </w:instrText>
    </w:r>
    <w:r>
      <w:fldChar w:fldCharType="separate"/>
    </w:r>
    <w:r>
      <w:t>BSBEDU703A Establish transnational offshore education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1E1E" w:rsidP="00F034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A7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63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4B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4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34B9"/>
    <w:pPr>
      <w:spacing w:before="360" w:after="60"/>
      <w:outlineLvl w:val="0"/>
    </w:pPr>
    <w:rPr>
      <w:sz w:val="32"/>
    </w:rPr>
  </w:style>
  <w:style w:type="paragraph" w:styleId="Heading2">
    <w:name w:val="heading 2"/>
    <w:basedOn w:val="HeadingBase"/>
    <w:next w:val="BodyText"/>
    <w:link w:val="Heading2Char"/>
    <w:qFormat/>
    <w:rsid w:val="00F034B9"/>
    <w:pPr>
      <w:keepLines/>
      <w:spacing w:before="240" w:after="120"/>
      <w:outlineLvl w:val="1"/>
    </w:pPr>
    <w:rPr>
      <w:sz w:val="28"/>
      <w:szCs w:val="40"/>
    </w:rPr>
  </w:style>
  <w:style w:type="paragraph" w:styleId="Heading3">
    <w:name w:val="heading 3"/>
    <w:basedOn w:val="HeadingBase"/>
    <w:next w:val="BodyText"/>
    <w:link w:val="Heading3Char"/>
    <w:qFormat/>
    <w:rsid w:val="00F034B9"/>
    <w:pPr>
      <w:spacing w:before="180" w:after="120"/>
      <w:outlineLvl w:val="2"/>
    </w:pPr>
    <w:rPr>
      <w:spacing w:val="-10"/>
      <w:kern w:val="32"/>
    </w:rPr>
  </w:style>
  <w:style w:type="paragraph" w:styleId="Heading4">
    <w:name w:val="heading 4"/>
    <w:basedOn w:val="HeadingBase"/>
    <w:next w:val="BodyText"/>
    <w:link w:val="Heading4Char"/>
    <w:qFormat/>
    <w:rsid w:val="00F034B9"/>
    <w:pPr>
      <w:spacing w:before="160" w:after="120"/>
      <w:outlineLvl w:val="3"/>
    </w:pPr>
    <w:rPr>
      <w:sz w:val="22"/>
    </w:rPr>
  </w:style>
  <w:style w:type="paragraph" w:styleId="Heading5">
    <w:name w:val="heading 5"/>
    <w:basedOn w:val="HeadingBase"/>
    <w:next w:val="Normal"/>
    <w:link w:val="Heading5Char"/>
    <w:qFormat/>
    <w:rsid w:val="00F034B9"/>
    <w:pPr>
      <w:spacing w:before="80"/>
      <w:outlineLvl w:val="4"/>
    </w:pPr>
    <w:rPr>
      <w:color w:val="918585"/>
      <w:sz w:val="20"/>
    </w:rPr>
  </w:style>
  <w:style w:type="paragraph" w:styleId="Heading6">
    <w:name w:val="heading 6"/>
    <w:basedOn w:val="HeadingBase"/>
    <w:next w:val="Normal"/>
    <w:link w:val="Heading6Char"/>
    <w:qFormat/>
    <w:rsid w:val="00F034B9"/>
    <w:pPr>
      <w:spacing w:before="60"/>
      <w:outlineLvl w:val="5"/>
    </w:pPr>
    <w:rPr>
      <w:color w:val="918585"/>
      <w:sz w:val="20"/>
    </w:rPr>
  </w:style>
  <w:style w:type="paragraph" w:styleId="Heading7">
    <w:name w:val="heading 7"/>
    <w:basedOn w:val="Normal"/>
    <w:next w:val="Normal"/>
    <w:link w:val="Heading7Char"/>
    <w:qFormat/>
    <w:rsid w:val="00F034B9"/>
    <w:pPr>
      <w:ind w:left="720"/>
      <w:outlineLvl w:val="6"/>
    </w:pPr>
    <w:rPr>
      <w:i/>
    </w:rPr>
  </w:style>
  <w:style w:type="paragraph" w:styleId="Heading8">
    <w:name w:val="heading 8"/>
    <w:basedOn w:val="Normal"/>
    <w:next w:val="Normal"/>
    <w:link w:val="Heading8Char"/>
    <w:qFormat/>
    <w:rsid w:val="00F034B9"/>
    <w:pPr>
      <w:ind w:left="720"/>
      <w:outlineLvl w:val="7"/>
    </w:pPr>
    <w:rPr>
      <w:i/>
    </w:rPr>
  </w:style>
  <w:style w:type="paragraph" w:styleId="Heading9">
    <w:name w:val="heading 9"/>
    <w:basedOn w:val="Normal"/>
    <w:next w:val="Normal"/>
    <w:link w:val="Heading9Char"/>
    <w:qFormat/>
    <w:rsid w:val="00F034B9"/>
    <w:pPr>
      <w:ind w:left="720"/>
      <w:outlineLvl w:val="8"/>
    </w:pPr>
    <w:rPr>
      <w:i/>
    </w:rPr>
  </w:style>
  <w:style w:type="character" w:default="1" w:styleId="DefaultParagraphFont">
    <w:name w:val="Default Paragraph Font"/>
    <w:uiPriority w:val="1"/>
    <w:unhideWhenUsed/>
    <w:rsid w:val="00F03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4B9"/>
  </w:style>
  <w:style w:type="character" w:customStyle="1" w:styleId="Heading1Char">
    <w:name w:val="Heading 1 Char"/>
    <w:basedOn w:val="DefaultParagraphFont"/>
    <w:link w:val="Heading1"/>
    <w:rsid w:val="00F034B9"/>
    <w:rPr>
      <w:rFonts w:ascii="Times New Roman" w:eastAsia="Times New Roman" w:hAnsi="Times New Roman" w:cs="Times New Roman"/>
      <w:b/>
      <w:sz w:val="32"/>
      <w:szCs w:val="20"/>
      <w:lang w:eastAsia="en-US"/>
    </w:rPr>
  </w:style>
  <w:style w:type="paragraph" w:styleId="BodyText">
    <w:name w:val="Body Text"/>
    <w:basedOn w:val="Normal"/>
    <w:link w:val="BodyTextChar"/>
    <w:rsid w:val="00F034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4B9"/>
    <w:rPr>
      <w:rFonts w:ascii="Times New Roman" w:eastAsia="Times New Roman" w:hAnsi="Times New Roman" w:cs="Times New Roman"/>
      <w:sz w:val="24"/>
      <w:lang w:val="en-US" w:eastAsia="en-US"/>
    </w:rPr>
  </w:style>
  <w:style w:type="paragraph" w:styleId="Footer">
    <w:name w:val="footer"/>
    <w:basedOn w:val="Normal"/>
    <w:link w:val="FooterChar"/>
    <w:rsid w:val="00F03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4B9"/>
    <w:rPr>
      <w:rFonts w:ascii="Times New Roman" w:eastAsia="Times New Roman" w:hAnsi="Times New Roman" w:cs="Times New Roman"/>
      <w:sz w:val="16"/>
      <w:lang w:val="en-US" w:eastAsia="en-US"/>
    </w:rPr>
  </w:style>
  <w:style w:type="paragraph" w:styleId="List">
    <w:name w:val="List"/>
    <w:basedOn w:val="BodyText"/>
    <w:next w:val="BodyText"/>
    <w:rsid w:val="00F034B9"/>
    <w:pPr>
      <w:tabs>
        <w:tab w:val="left" w:pos="340"/>
      </w:tabs>
      <w:spacing w:before="60" w:after="60"/>
      <w:ind w:left="340" w:hanging="340"/>
    </w:pPr>
  </w:style>
  <w:style w:type="paragraph" w:styleId="ListBullet">
    <w:name w:val="List Bullet"/>
    <w:basedOn w:val="List"/>
    <w:rsid w:val="00F034B9"/>
    <w:pPr>
      <w:numPr>
        <w:numId w:val="13"/>
      </w:numPr>
      <w:tabs>
        <w:tab w:val="clear" w:pos="340"/>
      </w:tabs>
      <w:spacing w:before="40" w:after="40"/>
    </w:pPr>
  </w:style>
  <w:style w:type="character" w:customStyle="1" w:styleId="SpecialBold">
    <w:name w:val="Special Bold"/>
    <w:basedOn w:val="DefaultParagraphFont"/>
    <w:rsid w:val="00F034B9"/>
    <w:rPr>
      <w:b/>
      <w:spacing w:val="0"/>
    </w:rPr>
  </w:style>
  <w:style w:type="paragraph" w:styleId="ListBullet2">
    <w:name w:val="List Bullet 2"/>
    <w:basedOn w:val="List2"/>
    <w:rsid w:val="00F034B9"/>
    <w:pPr>
      <w:numPr>
        <w:numId w:val="14"/>
      </w:numPr>
      <w:tabs>
        <w:tab w:val="clear" w:pos="680"/>
      </w:tabs>
    </w:pPr>
  </w:style>
  <w:style w:type="paragraph" w:styleId="Header">
    <w:name w:val="header"/>
    <w:basedOn w:val="Normal"/>
    <w:link w:val="HeaderChar"/>
    <w:rsid w:val="00F03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4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34B9"/>
    <w:pPr>
      <w:spacing w:before="240" w:after="120"/>
      <w:outlineLvl w:val="0"/>
    </w:pPr>
    <w:rPr>
      <w:rFonts w:ascii="Times New Roman" w:hAnsi="Times New Roman"/>
      <w:b/>
      <w:sz w:val="28"/>
    </w:rPr>
  </w:style>
  <w:style w:type="paragraph" w:customStyle="1" w:styleId="AllowPageBreak">
    <w:name w:val="AllowPageBreak"/>
    <w:rsid w:val="00F034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34B9"/>
    <w:pPr>
      <w:tabs>
        <w:tab w:val="left" w:pos="680"/>
      </w:tabs>
      <w:spacing w:before="60" w:after="60"/>
      <w:ind w:left="680" w:hanging="340"/>
    </w:pPr>
  </w:style>
  <w:style w:type="character" w:customStyle="1" w:styleId="BoldandItalics">
    <w:name w:val="Bold and Italics"/>
    <w:qFormat/>
    <w:rsid w:val="00F034B9"/>
    <w:rPr>
      <w:b/>
      <w:i/>
      <w:u w:val="none"/>
    </w:rPr>
  </w:style>
  <w:style w:type="character" w:customStyle="1" w:styleId="Heading2Char">
    <w:name w:val="Heading 2 Char"/>
    <w:basedOn w:val="DefaultParagraphFont"/>
    <w:link w:val="Heading2"/>
    <w:rsid w:val="00F03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4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34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34B9"/>
    <w:rPr>
      <w:rFonts w:ascii="Courier New" w:eastAsia="Times New Roman" w:hAnsi="Courier New" w:cs="Times New Roman"/>
      <w:i/>
      <w:szCs w:val="20"/>
      <w:lang w:val="en-US" w:eastAsia="en-US"/>
    </w:rPr>
  </w:style>
  <w:style w:type="paragraph" w:customStyle="1" w:styleId="HeadingBase">
    <w:name w:val="Heading Base"/>
    <w:rsid w:val="00F03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4B9"/>
    <w:pPr>
      <w:tabs>
        <w:tab w:val="right" w:leader="dot" w:pos="9072"/>
      </w:tabs>
      <w:ind w:left="567"/>
    </w:pPr>
    <w:rPr>
      <w:szCs w:val="22"/>
    </w:rPr>
  </w:style>
  <w:style w:type="paragraph" w:customStyle="1" w:styleId="TOCBase">
    <w:name w:val="TOC Base"/>
    <w:rsid w:val="00F03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4B9"/>
    <w:pPr>
      <w:tabs>
        <w:tab w:val="right" w:leader="dot" w:pos="9072"/>
      </w:tabs>
      <w:spacing w:before="40" w:after="40"/>
      <w:ind w:left="284"/>
    </w:pPr>
    <w:rPr>
      <w:rFonts w:ascii="Times New Roman" w:hAnsi="Times New Roman"/>
    </w:rPr>
  </w:style>
  <w:style w:type="paragraph" w:styleId="TOC1">
    <w:name w:val="toc 1"/>
    <w:basedOn w:val="TOCBase"/>
    <w:next w:val="Normal"/>
    <w:rsid w:val="00F034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34B9"/>
    <w:pPr>
      <w:spacing w:before="5040"/>
      <w:jc w:val="center"/>
    </w:pPr>
    <w:rPr>
      <w:sz w:val="48"/>
      <w:szCs w:val="72"/>
      <w:lang w:val="en-US"/>
    </w:rPr>
  </w:style>
  <w:style w:type="character" w:customStyle="1" w:styleId="TitleChar">
    <w:name w:val="Title Char"/>
    <w:basedOn w:val="DefaultParagraphFont"/>
    <w:link w:val="Title"/>
    <w:rsid w:val="00F03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4B9"/>
    <w:pPr>
      <w:tabs>
        <w:tab w:val="left" w:pos="3600"/>
        <w:tab w:val="left" w:pos="3958"/>
      </w:tabs>
    </w:pPr>
  </w:style>
  <w:style w:type="paragraph" w:customStyle="1" w:styleId="Note">
    <w:name w:val="Note"/>
    <w:basedOn w:val="BodyText"/>
    <w:rsid w:val="00F03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4B9"/>
    <w:pPr>
      <w:framePr w:wrap="auto" w:hAnchor="text" w:y="6049"/>
    </w:pPr>
    <w:rPr>
      <w:color w:val="000000"/>
      <w:sz w:val="40"/>
    </w:rPr>
  </w:style>
  <w:style w:type="paragraph" w:customStyle="1" w:styleId="TOCTitle">
    <w:name w:val="TOCTitle"/>
    <w:basedOn w:val="Heading1"/>
    <w:rsid w:val="00F034B9"/>
    <w:pPr>
      <w:spacing w:after="240"/>
      <w:jc w:val="center"/>
      <w:outlineLvl w:val="9"/>
    </w:pPr>
    <w:rPr>
      <w:caps/>
    </w:rPr>
  </w:style>
  <w:style w:type="paragraph" w:customStyle="1" w:styleId="Version">
    <w:name w:val="Version"/>
    <w:rsid w:val="00F03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4B9"/>
    <w:pPr>
      <w:keepNext w:val="0"/>
      <w:tabs>
        <w:tab w:val="right" w:pos="4176"/>
      </w:tabs>
      <w:ind w:left="198" w:hanging="198"/>
    </w:pPr>
    <w:rPr>
      <w:rFonts w:ascii="Garamond" w:hAnsi="Garamond"/>
    </w:rPr>
  </w:style>
  <w:style w:type="paragraph" w:styleId="IndexHeading">
    <w:name w:val="index heading"/>
    <w:basedOn w:val="Normal"/>
    <w:next w:val="Index1"/>
    <w:semiHidden/>
    <w:rsid w:val="00F034B9"/>
    <w:pPr>
      <w:spacing w:before="120" w:after="120"/>
    </w:pPr>
    <w:rPr>
      <w:rFonts w:ascii="Arial" w:hAnsi="Arial"/>
      <w:b/>
      <w:color w:val="918585"/>
      <w:sz w:val="24"/>
    </w:rPr>
  </w:style>
  <w:style w:type="paragraph" w:customStyle="1" w:styleId="Chapter">
    <w:name w:val="Chapter"/>
    <w:basedOn w:val="Normal"/>
    <w:rsid w:val="00F034B9"/>
    <w:pPr>
      <w:spacing w:before="240"/>
    </w:pPr>
    <w:rPr>
      <w:rFonts w:ascii="Times New Roman" w:hAnsi="Times New Roman"/>
      <w:smallCaps/>
      <w:spacing w:val="80"/>
      <w:sz w:val="28"/>
    </w:rPr>
  </w:style>
  <w:style w:type="paragraph" w:customStyle="1" w:styleId="InChapter">
    <w:name w:val="InChapter"/>
    <w:basedOn w:val="Heading3"/>
    <w:rsid w:val="00F034B9"/>
    <w:pPr>
      <w:spacing w:after="240"/>
      <w:outlineLvl w:val="9"/>
    </w:pPr>
    <w:rPr>
      <w:noProof/>
    </w:rPr>
  </w:style>
  <w:style w:type="paragraph" w:styleId="Index2">
    <w:name w:val="index 2"/>
    <w:basedOn w:val="Normal"/>
    <w:next w:val="Normal"/>
    <w:semiHidden/>
    <w:rsid w:val="00F034B9"/>
    <w:pPr>
      <w:tabs>
        <w:tab w:val="right" w:pos="4176"/>
      </w:tabs>
      <w:ind w:left="568" w:hanging="284"/>
    </w:pPr>
    <w:rPr>
      <w:rFonts w:ascii="Garamond" w:hAnsi="Garamond"/>
    </w:rPr>
  </w:style>
  <w:style w:type="paragraph" w:customStyle="1" w:styleId="Byline">
    <w:name w:val="Byline"/>
    <w:rsid w:val="00F03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4B9"/>
    <w:pPr>
      <w:tabs>
        <w:tab w:val="clear" w:pos="3600"/>
        <w:tab w:val="clear" w:pos="3958"/>
      </w:tabs>
      <w:jc w:val="right"/>
    </w:pPr>
  </w:style>
  <w:style w:type="character" w:styleId="Emphasis">
    <w:name w:val="Emphasis"/>
    <w:basedOn w:val="DefaultParagraphFont"/>
    <w:qFormat/>
    <w:rsid w:val="00F034B9"/>
    <w:rPr>
      <w:i/>
    </w:rPr>
  </w:style>
  <w:style w:type="paragraph" w:styleId="Caption">
    <w:name w:val="caption"/>
    <w:basedOn w:val="BodyText"/>
    <w:next w:val="Normal"/>
    <w:qFormat/>
    <w:rsid w:val="00F034B9"/>
    <w:pPr>
      <w:framePr w:w="2268" w:hSpace="181" w:vSpace="181" w:wrap="around" w:vAnchor="text" w:hAnchor="page" w:x="1135" w:y="285" w:anchorLock="1"/>
    </w:pPr>
    <w:rPr>
      <w:i/>
    </w:rPr>
  </w:style>
  <w:style w:type="paragraph" w:customStyle="1" w:styleId="MiniTOCTitle">
    <w:name w:val="MiniTOCTitle"/>
    <w:basedOn w:val="Heading4"/>
    <w:rsid w:val="00F034B9"/>
    <w:pPr>
      <w:spacing w:before="240"/>
      <w:outlineLvl w:val="9"/>
    </w:pPr>
    <w:rPr>
      <w:noProof/>
      <w:sz w:val="24"/>
    </w:rPr>
  </w:style>
  <w:style w:type="paragraph" w:customStyle="1" w:styleId="MiniTOCItem">
    <w:name w:val="MiniTOCItem"/>
    <w:basedOn w:val="ListBullet"/>
    <w:rsid w:val="00F034B9"/>
    <w:pPr>
      <w:numPr>
        <w:numId w:val="0"/>
      </w:numPr>
      <w:tabs>
        <w:tab w:val="right" w:leader="dot" w:pos="6521"/>
      </w:tabs>
      <w:spacing w:before="0" w:after="0"/>
    </w:pPr>
  </w:style>
  <w:style w:type="paragraph" w:customStyle="1" w:styleId="TOFTitle">
    <w:name w:val="TOFTitle"/>
    <w:basedOn w:val="TOCTitle"/>
    <w:rsid w:val="00F034B9"/>
  </w:style>
  <w:style w:type="paragraph" w:styleId="TableofFigures">
    <w:name w:val="table of figures"/>
    <w:basedOn w:val="Normal"/>
    <w:next w:val="Normal"/>
    <w:semiHidden/>
    <w:rsid w:val="00F034B9"/>
    <w:pPr>
      <w:tabs>
        <w:tab w:val="right" w:leader="dot" w:pos="9072"/>
      </w:tabs>
      <w:ind w:left="970" w:hanging="403"/>
    </w:pPr>
    <w:rPr>
      <w:rFonts w:ascii="Times New Roman" w:hAnsi="Times New Roman"/>
      <w:b/>
    </w:rPr>
  </w:style>
  <w:style w:type="paragraph" w:styleId="ListNumber">
    <w:name w:val="List Number"/>
    <w:basedOn w:val="List"/>
    <w:rsid w:val="00F034B9"/>
    <w:pPr>
      <w:numPr>
        <w:numId w:val="11"/>
      </w:numPr>
    </w:pPr>
  </w:style>
  <w:style w:type="character" w:customStyle="1" w:styleId="WingdingSymbols">
    <w:name w:val="Wingding Symbols"/>
    <w:rsid w:val="00F034B9"/>
    <w:rPr>
      <w:rFonts w:ascii="Wingdings" w:hAnsi="Wingdings"/>
    </w:rPr>
  </w:style>
  <w:style w:type="paragraph" w:customStyle="1" w:styleId="TableHeading">
    <w:name w:val="Table Heading"/>
    <w:basedOn w:val="HeadingBase"/>
    <w:rsid w:val="00F034B9"/>
    <w:pPr>
      <w:keepLines/>
      <w:pBdr>
        <w:bottom w:val="single" w:sz="6" w:space="1" w:color="918585"/>
      </w:pBdr>
      <w:spacing w:before="240"/>
    </w:pPr>
  </w:style>
  <w:style w:type="character" w:customStyle="1" w:styleId="HotSpot">
    <w:name w:val="HotSpot"/>
    <w:rsid w:val="00F034B9"/>
    <w:rPr>
      <w:color w:val="0033CC"/>
      <w:u w:val="none"/>
    </w:rPr>
  </w:style>
  <w:style w:type="paragraph" w:customStyle="1" w:styleId="BodyTextRight">
    <w:name w:val="Body Text Right"/>
    <w:basedOn w:val="BodyText"/>
    <w:rsid w:val="00F034B9"/>
    <w:pPr>
      <w:spacing w:before="0" w:after="0"/>
      <w:jc w:val="right"/>
    </w:pPr>
  </w:style>
  <w:style w:type="paragraph" w:styleId="Index3">
    <w:name w:val="index 3"/>
    <w:basedOn w:val="ListNumber2"/>
    <w:next w:val="Normal"/>
    <w:semiHidden/>
    <w:rsid w:val="00F034B9"/>
    <w:pPr>
      <w:numPr>
        <w:numId w:val="0"/>
      </w:numPr>
      <w:tabs>
        <w:tab w:val="right" w:leader="dot" w:pos="4176"/>
      </w:tabs>
    </w:pPr>
  </w:style>
  <w:style w:type="paragraph" w:styleId="ListNumber2">
    <w:name w:val="List Number 2"/>
    <w:basedOn w:val="List2"/>
    <w:rsid w:val="00F034B9"/>
    <w:pPr>
      <w:numPr>
        <w:numId w:val="10"/>
      </w:numPr>
      <w:tabs>
        <w:tab w:val="clear" w:pos="1060"/>
      </w:tabs>
    </w:pPr>
  </w:style>
  <w:style w:type="paragraph" w:customStyle="1" w:styleId="MarginNote">
    <w:name w:val="Margin Note"/>
    <w:basedOn w:val="BodyText"/>
    <w:rsid w:val="00F03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4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34B9"/>
    <w:rPr>
      <w:sz w:val="32"/>
    </w:rPr>
  </w:style>
  <w:style w:type="paragraph" w:customStyle="1" w:styleId="HeadingProcedure">
    <w:name w:val="Heading Procedure"/>
    <w:basedOn w:val="HeadingBase"/>
    <w:next w:val="Normal"/>
    <w:rsid w:val="00F034B9"/>
    <w:pPr>
      <w:tabs>
        <w:tab w:val="left" w:pos="0"/>
      </w:tabs>
      <w:spacing w:before="120" w:after="60"/>
    </w:pPr>
    <w:rPr>
      <w:i/>
      <w:color w:val="918585"/>
      <w:sz w:val="22"/>
    </w:rPr>
  </w:style>
  <w:style w:type="paragraph" w:customStyle="1" w:styleId="TableBodyText">
    <w:name w:val="Table Body Text"/>
    <w:basedOn w:val="BodyText"/>
    <w:rsid w:val="00F034B9"/>
    <w:pPr>
      <w:spacing w:before="60" w:after="60"/>
    </w:pPr>
  </w:style>
  <w:style w:type="paragraph" w:styleId="ListContinue">
    <w:name w:val="List Continue"/>
    <w:basedOn w:val="List"/>
    <w:rsid w:val="00F034B9"/>
    <w:pPr>
      <w:ind w:firstLine="0"/>
    </w:pPr>
  </w:style>
  <w:style w:type="paragraph" w:customStyle="1" w:styleId="ListNote">
    <w:name w:val="List Note"/>
    <w:basedOn w:val="List"/>
    <w:rsid w:val="00F034B9"/>
    <w:pPr>
      <w:pBdr>
        <w:top w:val="single" w:sz="6" w:space="2" w:color="918585"/>
        <w:bottom w:val="single" w:sz="6" w:space="2" w:color="918585"/>
      </w:pBdr>
      <w:tabs>
        <w:tab w:val="left" w:pos="1021"/>
      </w:tabs>
      <w:ind w:firstLine="0"/>
    </w:pPr>
  </w:style>
  <w:style w:type="paragraph" w:customStyle="1" w:styleId="Warning">
    <w:name w:val="Warning"/>
    <w:basedOn w:val="BodyText"/>
    <w:rsid w:val="00F034B9"/>
    <w:pPr>
      <w:shd w:val="clear" w:color="auto" w:fill="D9D9D9"/>
      <w:tabs>
        <w:tab w:val="left" w:pos="992"/>
      </w:tabs>
      <w:ind w:left="119" w:right="119"/>
    </w:pPr>
    <w:rPr>
      <w:sz w:val="20"/>
    </w:rPr>
  </w:style>
  <w:style w:type="paragraph" w:customStyle="1" w:styleId="MarginIcons">
    <w:name w:val="Margin Icons"/>
    <w:basedOn w:val="BodyText"/>
    <w:rsid w:val="00F03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4B9"/>
    <w:rPr>
      <w:rFonts w:ascii="Courier New" w:hAnsi="Courier New"/>
    </w:rPr>
  </w:style>
  <w:style w:type="paragraph" w:customStyle="1" w:styleId="NoteBullet">
    <w:name w:val="Note Bullet"/>
    <w:basedOn w:val="Note"/>
    <w:rsid w:val="00F034B9"/>
    <w:pPr>
      <w:tabs>
        <w:tab w:val="clear" w:pos="680"/>
      </w:tabs>
      <w:spacing w:before="60" w:after="60"/>
    </w:pPr>
  </w:style>
  <w:style w:type="paragraph" w:customStyle="1" w:styleId="SubHeading2">
    <w:name w:val="SubHeading2"/>
    <w:basedOn w:val="HeadingBase"/>
    <w:rsid w:val="00F034B9"/>
    <w:pPr>
      <w:spacing w:before="240" w:after="60"/>
    </w:pPr>
    <w:rPr>
      <w:sz w:val="20"/>
    </w:rPr>
  </w:style>
  <w:style w:type="paragraph" w:customStyle="1" w:styleId="SubHeading1">
    <w:name w:val="SubHeading1"/>
    <w:basedOn w:val="HeadingBase"/>
    <w:rsid w:val="00F034B9"/>
    <w:pPr>
      <w:spacing w:before="240" w:after="60"/>
    </w:pPr>
    <w:rPr>
      <w:color w:val="918585"/>
      <w:sz w:val="22"/>
    </w:rPr>
  </w:style>
  <w:style w:type="paragraph" w:customStyle="1" w:styleId="SideHeading">
    <w:name w:val="Side Heading"/>
    <w:basedOn w:val="HeadingBase"/>
    <w:rsid w:val="00F03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4B9"/>
    <w:pPr>
      <w:numPr>
        <w:numId w:val="12"/>
      </w:numPr>
    </w:pPr>
  </w:style>
  <w:style w:type="paragraph" w:styleId="PlainText">
    <w:name w:val="Plain Text"/>
    <w:basedOn w:val="Normal"/>
    <w:link w:val="PlainTextChar"/>
    <w:rsid w:val="00F034B9"/>
    <w:rPr>
      <w:sz w:val="20"/>
    </w:rPr>
  </w:style>
  <w:style w:type="character" w:customStyle="1" w:styleId="PlainTextChar">
    <w:name w:val="Plain Text Char"/>
    <w:basedOn w:val="DefaultParagraphFont"/>
    <w:link w:val="PlainText"/>
    <w:rsid w:val="00F034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34B9"/>
    <w:rPr>
      <w:b/>
      <w:smallCaps/>
    </w:rPr>
  </w:style>
  <w:style w:type="paragraph" w:customStyle="1" w:styleId="TableListNumber">
    <w:name w:val="Table List Number"/>
    <w:basedOn w:val="ListNumber"/>
    <w:rsid w:val="00F034B9"/>
    <w:pPr>
      <w:numPr>
        <w:numId w:val="0"/>
      </w:numPr>
    </w:pPr>
  </w:style>
  <w:style w:type="paragraph" w:styleId="TOC4">
    <w:name w:val="toc 4"/>
    <w:basedOn w:val="TOCBase"/>
    <w:next w:val="Normal"/>
    <w:semiHidden/>
    <w:rsid w:val="00F034B9"/>
    <w:pPr>
      <w:tabs>
        <w:tab w:val="right" w:leader="dot" w:pos="9071"/>
      </w:tabs>
      <w:ind w:left="1701"/>
    </w:pPr>
  </w:style>
  <w:style w:type="paragraph" w:customStyle="1" w:styleId="ListAlpha">
    <w:name w:val="List Alpha"/>
    <w:basedOn w:val="List"/>
    <w:rsid w:val="00F034B9"/>
    <w:pPr>
      <w:numPr>
        <w:numId w:val="9"/>
      </w:numPr>
    </w:pPr>
  </w:style>
  <w:style w:type="paragraph" w:customStyle="1" w:styleId="ListAlpha2">
    <w:name w:val="List Alpha 2"/>
    <w:basedOn w:val="List2"/>
    <w:rsid w:val="00F034B9"/>
    <w:pPr>
      <w:numPr>
        <w:numId w:val="8"/>
      </w:numPr>
    </w:pPr>
  </w:style>
  <w:style w:type="paragraph" w:styleId="List3">
    <w:name w:val="List 3"/>
    <w:basedOn w:val="BodyText"/>
    <w:rsid w:val="00F034B9"/>
    <w:pPr>
      <w:tabs>
        <w:tab w:val="left" w:pos="1021"/>
      </w:tabs>
      <w:spacing w:before="60" w:after="60"/>
      <w:ind w:left="1020" w:hanging="340"/>
    </w:pPr>
  </w:style>
  <w:style w:type="paragraph" w:styleId="List4">
    <w:name w:val="List 4"/>
    <w:basedOn w:val="BodyText"/>
    <w:rsid w:val="00F034B9"/>
    <w:pPr>
      <w:tabs>
        <w:tab w:val="left" w:pos="1361"/>
      </w:tabs>
      <w:spacing w:before="60" w:after="60"/>
      <w:ind w:left="1361" w:hanging="340"/>
    </w:pPr>
  </w:style>
  <w:style w:type="paragraph" w:styleId="List5">
    <w:name w:val="List 5"/>
    <w:basedOn w:val="BodyText"/>
    <w:rsid w:val="00F034B9"/>
    <w:pPr>
      <w:tabs>
        <w:tab w:val="left" w:pos="1701"/>
      </w:tabs>
      <w:spacing w:before="60" w:after="60"/>
      <w:ind w:left="1701" w:hanging="340"/>
    </w:pPr>
  </w:style>
  <w:style w:type="paragraph" w:styleId="ListBullet3">
    <w:name w:val="List Bullet 3"/>
    <w:basedOn w:val="List3"/>
    <w:rsid w:val="00F034B9"/>
    <w:pPr>
      <w:numPr>
        <w:numId w:val="15"/>
      </w:numPr>
      <w:tabs>
        <w:tab w:val="clear" w:pos="1021"/>
      </w:tabs>
      <w:ind w:left="1037" w:hanging="357"/>
    </w:pPr>
  </w:style>
  <w:style w:type="paragraph" w:styleId="ListBullet4">
    <w:name w:val="List Bullet 4"/>
    <w:basedOn w:val="List4"/>
    <w:rsid w:val="00F034B9"/>
    <w:pPr>
      <w:numPr>
        <w:numId w:val="3"/>
      </w:numPr>
    </w:pPr>
  </w:style>
  <w:style w:type="paragraph" w:styleId="ListBullet5">
    <w:name w:val="List Bullet 5"/>
    <w:basedOn w:val="List5"/>
    <w:rsid w:val="00F034B9"/>
    <w:pPr>
      <w:numPr>
        <w:numId w:val="4"/>
      </w:numPr>
    </w:pPr>
  </w:style>
  <w:style w:type="paragraph" w:styleId="ListContinue2">
    <w:name w:val="List Continue 2"/>
    <w:basedOn w:val="List2"/>
    <w:rsid w:val="00F034B9"/>
    <w:pPr>
      <w:ind w:firstLine="0"/>
    </w:pPr>
  </w:style>
  <w:style w:type="paragraph" w:styleId="ListContinue3">
    <w:name w:val="List Continue 3"/>
    <w:basedOn w:val="List3"/>
    <w:rsid w:val="00F034B9"/>
    <w:pPr>
      <w:ind w:left="1021" w:firstLine="0"/>
    </w:pPr>
  </w:style>
  <w:style w:type="paragraph" w:styleId="ListContinue4">
    <w:name w:val="List Continue 4"/>
    <w:basedOn w:val="List4"/>
    <w:rsid w:val="00F034B9"/>
    <w:pPr>
      <w:ind w:firstLine="0"/>
    </w:pPr>
  </w:style>
  <w:style w:type="paragraph" w:styleId="ListContinue5">
    <w:name w:val="List Continue 5"/>
    <w:basedOn w:val="List5"/>
    <w:rsid w:val="00F034B9"/>
    <w:pPr>
      <w:ind w:firstLine="0"/>
    </w:pPr>
  </w:style>
  <w:style w:type="paragraph" w:styleId="ListNumber3">
    <w:name w:val="List Number 3"/>
    <w:basedOn w:val="List3"/>
    <w:rsid w:val="00F034B9"/>
    <w:pPr>
      <w:numPr>
        <w:numId w:val="5"/>
      </w:numPr>
    </w:pPr>
  </w:style>
  <w:style w:type="paragraph" w:styleId="ListNumber4">
    <w:name w:val="List Number 4"/>
    <w:basedOn w:val="List4"/>
    <w:rsid w:val="00F034B9"/>
    <w:pPr>
      <w:numPr>
        <w:numId w:val="6"/>
      </w:numPr>
    </w:pPr>
  </w:style>
  <w:style w:type="paragraph" w:styleId="ListNumber5">
    <w:name w:val="List Number 5"/>
    <w:basedOn w:val="List5"/>
    <w:rsid w:val="00F034B9"/>
    <w:pPr>
      <w:numPr>
        <w:numId w:val="7"/>
      </w:numPr>
    </w:pPr>
  </w:style>
  <w:style w:type="paragraph" w:styleId="BlockText">
    <w:name w:val="Block Text"/>
    <w:basedOn w:val="Normal"/>
    <w:rsid w:val="00F034B9"/>
    <w:pPr>
      <w:spacing w:after="120"/>
      <w:ind w:left="1440" w:right="1440"/>
    </w:pPr>
  </w:style>
  <w:style w:type="character" w:customStyle="1" w:styleId="Subscript">
    <w:name w:val="Subscript"/>
    <w:basedOn w:val="DefaultParagraphFont"/>
    <w:rsid w:val="00F034B9"/>
    <w:rPr>
      <w:sz w:val="16"/>
      <w:vertAlign w:val="subscript"/>
    </w:rPr>
  </w:style>
  <w:style w:type="character" w:customStyle="1" w:styleId="Superscript">
    <w:name w:val="Superscript"/>
    <w:basedOn w:val="DefaultParagraphFont"/>
    <w:rsid w:val="00F034B9"/>
    <w:rPr>
      <w:sz w:val="16"/>
      <w:vertAlign w:val="superscript"/>
    </w:rPr>
  </w:style>
  <w:style w:type="character" w:customStyle="1" w:styleId="Symbols">
    <w:name w:val="Symbols"/>
    <w:basedOn w:val="DefaultParagraphFont"/>
    <w:rsid w:val="00F034B9"/>
    <w:rPr>
      <w:rFonts w:ascii="Symbol" w:hAnsi="Symbol"/>
    </w:rPr>
  </w:style>
  <w:style w:type="character" w:customStyle="1" w:styleId="MenuOptions">
    <w:name w:val="Menu Options"/>
    <w:basedOn w:val="DefaultParagraphFont"/>
    <w:rsid w:val="00F034B9"/>
    <w:rPr>
      <w:rFonts w:ascii="Arial Narrow" w:hAnsi="Arial Narrow"/>
      <w:smallCaps/>
    </w:rPr>
  </w:style>
  <w:style w:type="character" w:customStyle="1" w:styleId="Buttons">
    <w:name w:val="Buttons"/>
    <w:basedOn w:val="DefaultParagraphFont"/>
    <w:rsid w:val="00F034B9"/>
    <w:rPr>
      <w:b/>
    </w:rPr>
  </w:style>
  <w:style w:type="character" w:customStyle="1" w:styleId="Underlined">
    <w:name w:val="Underlined"/>
    <w:basedOn w:val="DefaultParagraphFont"/>
    <w:rsid w:val="00F034B9"/>
    <w:rPr>
      <w:u w:val="single"/>
    </w:rPr>
  </w:style>
  <w:style w:type="paragraph" w:customStyle="1" w:styleId="TableBodyTextRight">
    <w:name w:val="Table Body Text Right"/>
    <w:basedOn w:val="TableBodyText"/>
    <w:rsid w:val="00F034B9"/>
    <w:pPr>
      <w:widowControl w:val="0"/>
      <w:autoSpaceDE w:val="0"/>
      <w:autoSpaceDN w:val="0"/>
      <w:adjustRightInd w:val="0"/>
      <w:jc w:val="right"/>
    </w:pPr>
    <w:rPr>
      <w:rFonts w:cs="Arial"/>
      <w:szCs w:val="18"/>
    </w:rPr>
  </w:style>
  <w:style w:type="paragraph" w:customStyle="1" w:styleId="CopyrightText">
    <w:name w:val="Copyright Text"/>
    <w:basedOn w:val="BodyText"/>
    <w:rsid w:val="00F034B9"/>
    <w:rPr>
      <w:sz w:val="18"/>
    </w:rPr>
  </w:style>
  <w:style w:type="paragraph" w:customStyle="1" w:styleId="BodySmallRight">
    <w:name w:val="Body Small Right"/>
    <w:basedOn w:val="BodyTextRight"/>
    <w:rsid w:val="00F034B9"/>
    <w:rPr>
      <w:sz w:val="18"/>
      <w:szCs w:val="18"/>
    </w:rPr>
  </w:style>
  <w:style w:type="paragraph" w:customStyle="1" w:styleId="MarginEdition">
    <w:name w:val="Margin Edition"/>
    <w:basedOn w:val="MarginNote"/>
    <w:rsid w:val="00F034B9"/>
    <w:pPr>
      <w:spacing w:before="0" w:after="0"/>
    </w:pPr>
    <w:rPr>
      <w:rFonts w:ascii="Times New Roman" w:hAnsi="Times New Roman"/>
      <w:color w:val="999999"/>
    </w:rPr>
  </w:style>
  <w:style w:type="paragraph" w:customStyle="1" w:styleId="Spacer">
    <w:name w:val="Spacer"/>
    <w:basedOn w:val="Normal"/>
    <w:rsid w:val="00F034B9"/>
    <w:rPr>
      <w:sz w:val="2"/>
      <w:szCs w:val="2"/>
    </w:rPr>
  </w:style>
  <w:style w:type="character" w:customStyle="1" w:styleId="Small">
    <w:name w:val="Small"/>
    <w:basedOn w:val="DefaultParagraphFont"/>
    <w:rsid w:val="00F034B9"/>
    <w:rPr>
      <w:sz w:val="16"/>
    </w:rPr>
  </w:style>
  <w:style w:type="paragraph" w:customStyle="1" w:styleId="WideTable">
    <w:name w:val="Wide Table"/>
    <w:basedOn w:val="Normal"/>
    <w:rsid w:val="00F034B9"/>
    <w:pPr>
      <w:ind w:left="-1418"/>
    </w:pPr>
    <w:rPr>
      <w:sz w:val="2"/>
      <w:szCs w:val="2"/>
    </w:rPr>
  </w:style>
  <w:style w:type="character" w:styleId="PageNumber">
    <w:name w:val="page number"/>
    <w:basedOn w:val="DefaultParagraphFont"/>
    <w:rsid w:val="00F034B9"/>
  </w:style>
  <w:style w:type="paragraph" w:styleId="Quote">
    <w:name w:val="Quote"/>
    <w:basedOn w:val="Heading1"/>
    <w:link w:val="QuoteChar"/>
    <w:qFormat/>
    <w:rsid w:val="00F034B9"/>
    <w:rPr>
      <w:b w:val="0"/>
      <w:sz w:val="72"/>
      <w:szCs w:val="72"/>
      <w:lang w:val="en-NZ"/>
    </w:rPr>
  </w:style>
  <w:style w:type="character" w:customStyle="1" w:styleId="QuoteChar">
    <w:name w:val="Quote Char"/>
    <w:basedOn w:val="DefaultParagraphFont"/>
    <w:link w:val="Quote"/>
    <w:rsid w:val="00F03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4B9"/>
    <w:pPr>
      <w:pageBreakBefore/>
    </w:pPr>
  </w:style>
  <w:style w:type="paragraph" w:customStyle="1" w:styleId="Border">
    <w:name w:val="Border"/>
    <w:basedOn w:val="Normal"/>
    <w:qFormat/>
    <w:rsid w:val="00F03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4B9"/>
    <w:rPr>
      <w:b/>
      <w:bCs/>
      <w:i/>
      <w:iCs/>
      <w:color w:val="auto"/>
    </w:rPr>
  </w:style>
  <w:style w:type="paragraph" w:styleId="IntenseQuote">
    <w:name w:val="Intense Quote"/>
    <w:basedOn w:val="Normal"/>
    <w:next w:val="Normal"/>
    <w:link w:val="IntenseQuoteChar"/>
    <w:uiPriority w:val="30"/>
    <w:qFormat/>
    <w:rsid w:val="00F03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4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34B9"/>
    <w:rPr>
      <w:smallCaps/>
      <w:color w:val="auto"/>
      <w:u w:val="single"/>
    </w:rPr>
  </w:style>
  <w:style w:type="character" w:styleId="IntenseReference">
    <w:name w:val="Intense Reference"/>
    <w:basedOn w:val="DefaultParagraphFont"/>
    <w:uiPriority w:val="32"/>
    <w:qFormat/>
    <w:rsid w:val="00F034B9"/>
    <w:rPr>
      <w:b/>
      <w:bCs/>
      <w:smallCaps/>
      <w:color w:val="auto"/>
      <w:spacing w:val="5"/>
      <w:u w:val="single"/>
    </w:rPr>
  </w:style>
  <w:style w:type="paragraph" w:customStyle="1" w:styleId="2ColumnHeading">
    <w:name w:val="2Column Heading"/>
    <w:basedOn w:val="BodyText"/>
    <w:qFormat/>
    <w:rsid w:val="00F034B9"/>
    <w:pPr>
      <w:spacing w:after="60"/>
      <w:ind w:left="-2268"/>
    </w:pPr>
    <w:rPr>
      <w:b/>
    </w:rPr>
  </w:style>
  <w:style w:type="paragraph" w:customStyle="1" w:styleId="Heading1TOC">
    <w:name w:val="Heading1 TOC"/>
    <w:basedOn w:val="Normal"/>
    <w:qFormat/>
    <w:rsid w:val="00F034B9"/>
    <w:pPr>
      <w:spacing w:before="240" w:after="120"/>
    </w:pPr>
    <w:rPr>
      <w:rFonts w:ascii="Times New Roman" w:hAnsi="Times New Roman"/>
      <w:b/>
      <w:sz w:val="32"/>
    </w:rPr>
  </w:style>
  <w:style w:type="paragraph" w:customStyle="1" w:styleId="Heading2TOC">
    <w:name w:val="Heading2 TOC"/>
    <w:basedOn w:val="Normal"/>
    <w:qFormat/>
    <w:rsid w:val="00F034B9"/>
    <w:pPr>
      <w:spacing w:before="240" w:after="60"/>
    </w:pPr>
    <w:rPr>
      <w:rFonts w:ascii="Times New Roman" w:hAnsi="Times New Roman"/>
      <w:b/>
      <w:sz w:val="28"/>
    </w:rPr>
  </w:style>
  <w:style w:type="character" w:customStyle="1" w:styleId="Underline">
    <w:name w:val="Underline"/>
    <w:basedOn w:val="DefaultParagraphFont"/>
    <w:qFormat/>
    <w:rsid w:val="00F034B9"/>
    <w:rPr>
      <w:u w:val="single"/>
    </w:rPr>
  </w:style>
  <w:style w:type="paragraph" w:styleId="BalloonText">
    <w:name w:val="Balloon Text"/>
    <w:basedOn w:val="Normal"/>
    <w:link w:val="BalloonTextChar"/>
    <w:rsid w:val="00F034B9"/>
    <w:rPr>
      <w:rFonts w:ascii="Tahoma" w:hAnsi="Tahoma" w:cs="Tahoma"/>
      <w:sz w:val="16"/>
      <w:szCs w:val="16"/>
    </w:rPr>
  </w:style>
  <w:style w:type="character" w:customStyle="1" w:styleId="BalloonTextChar">
    <w:name w:val="Balloon Text Char"/>
    <w:basedOn w:val="DefaultParagraphFont"/>
    <w:link w:val="BalloonText"/>
    <w:rsid w:val="00F034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34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4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10483</Characters>
  <Application>Microsoft Office Word</Application>
  <DocSecurity>0</DocSecurity>
  <Lines>372</Lines>
  <Paragraphs>171</Paragraphs>
  <ScaleCrop>false</ScaleCrop>
  <Company>Author-it Software Corporation Ltd.</Company>
  <LinksUpToDate>false</LinksUpToDate>
  <CharactersWithSpaces>11895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BSBEDU703A Establish transnational offshore education initiatives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2012-05-26T13:47:00Z</dcterms:created>
  <dcterms:modified xsi:type="dcterms:W3CDTF">2012-05-26T13:47:00Z</dcterms:modified>
</cp:coreProperties>
</file>