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D51" w:rsidP="00852D51">
      <w:pPr>
        <w:pStyle w:val="Title"/>
      </w:pPr>
      <w:bookmarkStart w:id="0" w:name="_GoBack"/>
      <w:bookmarkEnd w:id="0"/>
      <w:r>
        <w:fldChar w:fldCharType="begin"/>
      </w:r>
      <w:r>
        <w:instrText xml:space="preserve"> TITLE   \* MERGEFORMAT </w:instrText>
      </w:r>
      <w:r>
        <w:fldChar w:fldCharType="separate"/>
      </w:r>
      <w:r>
        <w:t>BSBEDU701A Investigate current trends in internationalisation of education</w:t>
      </w:r>
      <w:r>
        <w:fldChar w:fldCharType="end"/>
      </w:r>
    </w:p>
    <w:p w:rsidR="00852D51" w:rsidP="00852D51">
      <w:pPr>
        <w:pStyle w:val="Version"/>
        <w:sectPr w:rsidSect="00EE4D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D7E" w:rsidP="00EE4D7E">
      <w:pPr>
        <w:pStyle w:val="SuperHeading"/>
      </w:pPr>
      <w:r w:rsidRPr="00EE4D7E">
        <w:t>BSBEDU701A Investigate current trends in internationalisation of education</w:t>
      </w:r>
    </w:p>
    <w:p w:rsidR="00000000" w:rsidRPr="00EE4D7E" w:rsidP="00EE4D7E">
      <w:pPr>
        <w:pStyle w:val="SuperHeading"/>
      </w:pPr>
    </w:p>
    <w:p w:rsidR="00000000" w:rsidRPr="00EE4D7E" w:rsidP="00EE4D7E">
      <w:pPr>
        <w:pStyle w:val="Heading1"/>
      </w:pPr>
      <w:bookmarkStart w:id="1" w:name="O_63843"/>
      <w:bookmarkEnd w:id="1"/>
      <w:r w:rsidRPr="00EE4D7E">
        <w:t>Modification History</w:t>
      </w:r>
    </w:p>
    <w:p w:rsidR="00000000" w:rsidRPr="00EE4D7E" w:rsidP="00EE4D7E">
      <w:pPr>
        <w:pStyle w:val="BodyText"/>
      </w:pPr>
      <w:r w:rsidRPr="00EE4D7E">
        <w:t>Not applicable.</w:t>
      </w:r>
    </w:p>
    <w:p w:rsidR="00000000" w:rsidRPr="00EE4D7E" w:rsidP="00EE4D7E">
      <w:pPr>
        <w:pStyle w:val="AllowPageBreak"/>
      </w:pPr>
    </w:p>
    <w:p w:rsidR="00000000" w:rsidRPr="00EE4D7E" w:rsidP="00EE4D7E">
      <w:pPr>
        <w:pStyle w:val="Heading1"/>
      </w:pPr>
      <w:bookmarkStart w:id="2" w:name="O_63844"/>
      <w:bookmarkEnd w:id="2"/>
      <w:r w:rsidRPr="00EE4D7E">
        <w:t>Unit Descriptor</w:t>
      </w:r>
    </w:p>
    <w:tbl>
      <w:tblPr>
        <w:tblW w:w="0" w:type="auto"/>
        <w:tblLayout w:type="fixed"/>
        <w:tblCellMar>
          <w:left w:w="62" w:type="dxa"/>
          <w:right w:w="62" w:type="dxa"/>
        </w:tblCellMar>
        <w:tblLook w:val="0000"/>
      </w:tblPr>
      <w:tblGrid>
        <w:gridCol w:w="2655"/>
        <w:gridCol w:w="5867"/>
      </w:tblGrid>
      <w:tr w:rsidTr="00852D51">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Unit des</w:t>
            </w:r>
            <w:r w:rsidRPr="00EE4D7E">
              <w:rPr>
                <w:rStyle w:val="SpecialBold"/>
              </w:rPr>
              <w:t>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This unit describes the performance outcomes, skills and knowledge required to apply an overview of current trends in the internationalisation of education and its implications within a specific international education practice and international ed</w:t>
            </w:r>
            <w:r w:rsidRPr="00EE4D7E">
              <w:t>ucation sector.</w:t>
            </w:r>
          </w:p>
          <w:p w:rsidR="00000000" w:rsidRPr="00EE4D7E" w:rsidP="00EE4D7E">
            <w:pPr>
              <w:pStyle w:val="BodyText"/>
            </w:pPr>
            <w:r w:rsidRPr="00EE4D7E">
              <w:t>No licensing, legislative, regulatory or certification requirements apply to this unit at the time of endorsement.</w:t>
            </w:r>
          </w:p>
          <w:p w:rsidR="00000000" w:rsidRPr="00EE4D7E" w:rsidP="00EE4D7E">
            <w:pPr>
              <w:pStyle w:val="BodyText"/>
            </w:pPr>
            <w:r w:rsidRPr="00EE4D7E">
              <w:t>No licensing, legislative, regulatory or certification requirements apply to this unit at the time of endorsement.</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3" w:name="O_63845"/>
      <w:bookmarkEnd w:id="3"/>
      <w:r w:rsidRPr="00EE4D7E">
        <w:t>Application of the Unit</w:t>
      </w:r>
    </w:p>
    <w:tbl>
      <w:tblPr>
        <w:tblW w:w="0" w:type="auto"/>
        <w:tblLayout w:type="fixed"/>
        <w:tblCellMar>
          <w:left w:w="62" w:type="dxa"/>
          <w:right w:w="62" w:type="dxa"/>
        </w:tblCellMar>
        <w:tblLook w:val="0000"/>
      </w:tblPr>
      <w:tblGrid>
        <w:gridCol w:w="2753"/>
        <w:gridCol w:w="5769"/>
      </w:tblGrid>
      <w:tr w:rsidTr="00852D5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This unit applies to administrators with managerial responsibility who are required to apply sound knowledge of current trends in international education to their business practice. They will be managi</w:t>
            </w:r>
            <w:r w:rsidRPr="00EE4D7E">
              <w:t xml:space="preserve">ng education programs and projects in organisations from one or more international education sectors (schools, English language training organisations, vocational training and education, higher education, postgraduate education). These organisations could </w:t>
            </w:r>
            <w:r w:rsidRPr="00EE4D7E">
              <w:t>be onshore or offshore and could be public or private.</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4" w:name="O_63846"/>
      <w:bookmarkEnd w:id="4"/>
      <w:r w:rsidRPr="00EE4D7E">
        <w:t>Licensing/Regulatory Information</w:t>
      </w:r>
    </w:p>
    <w:p w:rsidR="00000000" w:rsidRPr="00EE4D7E" w:rsidP="00EE4D7E">
      <w:pPr>
        <w:pStyle w:val="BodyText"/>
      </w:pPr>
      <w:r w:rsidRPr="00EE4D7E">
        <w:t>Not applicable.</w:t>
      </w:r>
    </w:p>
    <w:p w:rsidR="00000000" w:rsidRPr="00EE4D7E" w:rsidP="00EE4D7E">
      <w:pPr>
        <w:pStyle w:val="AllowPageBreak"/>
      </w:pPr>
    </w:p>
    <w:p w:rsidR="00000000" w:rsidRPr="00EE4D7E" w:rsidP="00EE4D7E">
      <w:pPr>
        <w:pStyle w:val="Heading1"/>
      </w:pPr>
      <w:bookmarkStart w:id="5" w:name="O_63847"/>
      <w:bookmarkEnd w:id="5"/>
      <w:r w:rsidRPr="00EE4D7E">
        <w:t>Pre-Requisites</w:t>
      </w:r>
    </w:p>
    <w:tbl>
      <w:tblPr>
        <w:tblW w:w="0" w:type="auto"/>
        <w:tblLayout w:type="fixed"/>
        <w:tblCellMar>
          <w:left w:w="62" w:type="dxa"/>
          <w:right w:w="62" w:type="dxa"/>
        </w:tblCellMar>
        <w:tblLook w:val="0000"/>
      </w:tblPr>
      <w:tblGrid>
        <w:gridCol w:w="2775"/>
        <w:gridCol w:w="1295"/>
        <w:gridCol w:w="4452"/>
      </w:tblGrid>
      <w:tr w:rsidTr="00852D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p>
        </w:tc>
      </w:tr>
      <w:tr w:rsidTr="00852D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p>
        </w:tc>
      </w:tr>
      <w:tr w:rsidTr="00852D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6" w:name="O_63848"/>
      <w:bookmarkEnd w:id="6"/>
      <w:r w:rsidRPr="00EE4D7E">
        <w:t>Employability Skills Information</w:t>
      </w:r>
    </w:p>
    <w:tbl>
      <w:tblPr>
        <w:tblW w:w="0" w:type="auto"/>
        <w:tblLayout w:type="fixed"/>
        <w:tblCellMar>
          <w:left w:w="62" w:type="dxa"/>
          <w:right w:w="62" w:type="dxa"/>
        </w:tblCellMar>
        <w:tblLook w:val="0000"/>
      </w:tblPr>
      <w:tblGrid>
        <w:gridCol w:w="2802"/>
        <w:gridCol w:w="5720"/>
      </w:tblGrid>
      <w:tr w:rsidTr="00852D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This unit contains employability skills.</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7" w:name="O_63849"/>
      <w:bookmarkEnd w:id="7"/>
      <w:r w:rsidRPr="00EE4D7E">
        <w:t>Elements and Performance Criteria Pre-Content</w:t>
      </w:r>
    </w:p>
    <w:tbl>
      <w:tblPr>
        <w:tblW w:w="0" w:type="auto"/>
        <w:tblLayout w:type="fixed"/>
        <w:tblCellMar>
          <w:left w:w="62" w:type="dxa"/>
          <w:right w:w="62" w:type="dxa"/>
        </w:tblCellMar>
        <w:tblLook w:val="0000"/>
      </w:tblPr>
      <w:tblGrid>
        <w:gridCol w:w="2647"/>
        <w:gridCol w:w="5875"/>
      </w:tblGrid>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t>Elements describe the essential outcomes of a unit of competency.</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Performance criteria describe the performance needed to demonstrate achievement of the element. Where bold italicised text is used, further information is detailed in the required skills and knowledge section and the range statement. Assessment of performa</w:t>
            </w:r>
            <w:r w:rsidRPr="00EE4D7E">
              <w:t>nce is to be consistent with the evidence guide.</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8" w:name="O_63850"/>
      <w:bookmarkEnd w:id="8"/>
      <w:r w:rsidRPr="00EE4D7E">
        <w:t>Elements and Performance Criteria</w:t>
      </w:r>
    </w:p>
    <w:tbl>
      <w:tblPr>
        <w:tblW w:w="0" w:type="auto"/>
        <w:tblLayout w:type="fixed"/>
        <w:tblCellMar>
          <w:left w:w="62" w:type="dxa"/>
          <w:right w:w="62" w:type="dxa"/>
        </w:tblCellMar>
        <w:tblLook w:val="0000"/>
      </w:tblPr>
      <w:tblGrid>
        <w:gridCol w:w="2647"/>
        <w:gridCol w:w="5875"/>
      </w:tblGrid>
      <w:tr w:rsidTr="00852D51">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rPr>
                <w:rStyle w:val="SpecialBold"/>
              </w:rPr>
              <w:t>ELEMENT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PERFORMANCE CRITERIA</w:t>
            </w:r>
          </w:p>
        </w:tc>
      </w:tr>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List"/>
              <w:rPr>
                <w:lang w:val="en-NZ"/>
              </w:rPr>
            </w:pPr>
            <w:r w:rsidRPr="00EE4D7E">
              <w:t>1.</w:t>
            </w:r>
            <w:r w:rsidRPr="00EE4D7E">
              <w:tab/>
              <w:t>Analyse the key features of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2"/>
            </w:pPr>
            <w:r w:rsidRPr="00EE4D7E">
              <w:t>1.1.</w:t>
            </w:r>
            <w:r w:rsidRPr="00EE4D7E">
              <w:tab/>
            </w:r>
            <w:r w:rsidRPr="00EE4D7E">
              <w:t xml:space="preserve">Distinguish the representative characteristics of an Australian </w:t>
            </w:r>
            <w:r w:rsidRPr="00EE4D7E">
              <w:rPr>
                <w:rStyle w:val="BoldandItalics"/>
              </w:rPr>
              <w:t>education sector</w:t>
            </w:r>
          </w:p>
          <w:p w:rsidR="00000000" w:rsidRPr="00EE4D7E" w:rsidP="00EE4D7E">
            <w:pPr>
              <w:pStyle w:val="List2"/>
            </w:pPr>
            <w:r w:rsidRPr="00EE4D7E">
              <w:t>1.2.</w:t>
            </w:r>
            <w:r w:rsidRPr="00EE4D7E">
              <w:tab/>
              <w:t>Determine the relationships between the private and public facets of the selected education sector</w:t>
            </w:r>
          </w:p>
          <w:p w:rsidR="00000000" w:rsidRPr="00EE4D7E" w:rsidP="00EE4D7E">
            <w:pPr>
              <w:pStyle w:val="List2"/>
            </w:pPr>
            <w:r w:rsidRPr="00EE4D7E">
              <w:t>1.3.</w:t>
            </w:r>
            <w:r w:rsidRPr="00EE4D7E">
              <w:tab/>
              <w:t>Identify and describe the role of the selected education sector in</w:t>
            </w:r>
            <w:r w:rsidRPr="00EE4D7E">
              <w:t xml:space="preserve"> the Australian economy</w:t>
            </w:r>
          </w:p>
          <w:p w:rsidR="00000000" w:rsidRPr="00EE4D7E" w:rsidP="00EE4D7E">
            <w:pPr>
              <w:pStyle w:val="List2"/>
            </w:pPr>
            <w:r w:rsidRPr="00EE4D7E">
              <w:t>1.4.</w:t>
            </w:r>
            <w:r w:rsidRPr="00EE4D7E">
              <w:tab/>
              <w:t xml:space="preserve">Analyse the </w:t>
            </w:r>
            <w:r w:rsidRPr="00EE4D7E">
              <w:rPr>
                <w:rStyle w:val="BoldandItalics"/>
              </w:rPr>
              <w:t>main influences</w:t>
            </w:r>
            <w:r w:rsidRPr="00EE4D7E">
              <w:t xml:space="preserve"> on selected education sector activities</w:t>
            </w:r>
          </w:p>
          <w:p w:rsidR="00000000" w:rsidP="00EE4D7E">
            <w:pPr>
              <w:pStyle w:val="List2"/>
              <w:rPr>
                <w:lang w:val="en-NZ"/>
              </w:rPr>
            </w:pPr>
            <w:r w:rsidRPr="00EE4D7E">
              <w:t>1.5.</w:t>
            </w:r>
            <w:r w:rsidRPr="00EE4D7E">
              <w:tab/>
              <w:t>Analyse the business and economic rationale for programs in the selected education sector</w:t>
            </w:r>
          </w:p>
        </w:tc>
      </w:tr>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List"/>
              <w:rPr>
                <w:lang w:val="en-NZ"/>
              </w:rPr>
            </w:pPr>
            <w:r w:rsidRPr="00EE4D7E">
              <w:t>2.</w:t>
            </w:r>
            <w:r w:rsidRPr="00EE4D7E">
              <w:tab/>
              <w:t>Determine the implications of the internationalisation of ed</w:t>
            </w:r>
            <w:r w:rsidRPr="00EE4D7E">
              <w:t>ucation for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2"/>
            </w:pPr>
            <w:r w:rsidRPr="00EE4D7E">
              <w:t>2.1.</w:t>
            </w:r>
            <w:r w:rsidRPr="00EE4D7E">
              <w:tab/>
              <w:t>Compare selected education sector, including its relationship with industry if appropriate, with the same sector in a range of other countries</w:t>
            </w:r>
          </w:p>
          <w:p w:rsidR="00000000" w:rsidRPr="00EE4D7E" w:rsidP="00EE4D7E">
            <w:pPr>
              <w:pStyle w:val="List2"/>
            </w:pPr>
            <w:r w:rsidRPr="00EE4D7E">
              <w:t>2.2.</w:t>
            </w:r>
            <w:r w:rsidRPr="00EE4D7E">
              <w:tab/>
              <w:t xml:space="preserve">Interpret and define </w:t>
            </w:r>
            <w:r w:rsidRPr="00EE4D7E">
              <w:rPr>
                <w:rStyle w:val="BoldandItalics"/>
              </w:rPr>
              <w:t>internationalisation</w:t>
            </w:r>
            <w:r w:rsidRPr="00EE4D7E">
              <w:t xml:space="preserve"> as it applies to e</w:t>
            </w:r>
            <w:r w:rsidRPr="00EE4D7E">
              <w:t>ducation generally and specifically to selected education sector</w:t>
            </w:r>
          </w:p>
          <w:p w:rsidR="00000000" w:rsidRPr="00EE4D7E" w:rsidP="00EE4D7E">
            <w:pPr>
              <w:pStyle w:val="List2"/>
            </w:pPr>
            <w:r w:rsidRPr="00EE4D7E">
              <w:t>2.3.</w:t>
            </w:r>
            <w:r w:rsidRPr="00EE4D7E">
              <w:tab/>
              <w:t>Discuss the significance of international operations for the selected education sector taking into account diverse stakeholders</w:t>
            </w:r>
          </w:p>
          <w:p w:rsidR="00000000" w:rsidP="00EE4D7E">
            <w:pPr>
              <w:pStyle w:val="List2"/>
              <w:rPr>
                <w:lang w:val="en-NZ"/>
              </w:rPr>
            </w:pPr>
            <w:r w:rsidRPr="00EE4D7E">
              <w:t>2.4.</w:t>
            </w:r>
            <w:r w:rsidRPr="00EE4D7E">
              <w:tab/>
              <w:t xml:space="preserve">Determine the impact of internationalisation on </w:t>
            </w:r>
            <w:r w:rsidRPr="00EE4D7E">
              <w:rPr>
                <w:rStyle w:val="BoldandItalics"/>
              </w:rPr>
              <w:t>speci</w:t>
            </w:r>
            <w:r w:rsidRPr="00EE4D7E">
              <w:rPr>
                <w:rStyle w:val="BoldandItalics"/>
              </w:rPr>
              <w:t>fic examples of Australian products and services</w:t>
            </w:r>
            <w:r w:rsidRPr="00EE4D7E">
              <w:t xml:space="preserve"> in the selected education sector</w:t>
            </w:r>
          </w:p>
        </w:tc>
      </w:tr>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List"/>
              <w:rPr>
                <w:lang w:val="en-NZ"/>
              </w:rPr>
            </w:pPr>
            <w:r w:rsidRPr="00EE4D7E">
              <w:t>3.</w:t>
            </w:r>
            <w:r w:rsidRPr="00EE4D7E">
              <w:tab/>
              <w:t>Analyse strategic trends operating globally in relation to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2"/>
            </w:pPr>
            <w:r w:rsidRPr="00EE4D7E">
              <w:t>3.1.</w:t>
            </w:r>
            <w:r w:rsidRPr="00EE4D7E">
              <w:tab/>
            </w:r>
            <w:r w:rsidRPr="00EE4D7E">
              <w:rPr>
                <w:rStyle w:val="BoldandItalics"/>
              </w:rPr>
              <w:t>Summarise</w:t>
            </w:r>
            <w:r w:rsidRPr="00EE4D7E">
              <w:t xml:space="preserve"> available information on the scale of </w:t>
            </w:r>
            <w:r w:rsidRPr="00EE4D7E">
              <w:t>Australian international education activity in the selected education sector</w:t>
            </w:r>
          </w:p>
          <w:p w:rsidR="00000000" w:rsidRPr="00EE4D7E" w:rsidP="00EE4D7E">
            <w:pPr>
              <w:pStyle w:val="List2"/>
            </w:pPr>
            <w:r w:rsidRPr="00EE4D7E">
              <w:t>3.2.</w:t>
            </w:r>
            <w:r w:rsidRPr="00EE4D7E">
              <w:tab/>
              <w:t>Analyse the relationship between socioeconomic development and requirements of the selected education sector globally</w:t>
            </w:r>
          </w:p>
          <w:p w:rsidR="00000000" w:rsidRPr="00EE4D7E" w:rsidP="00EE4D7E">
            <w:pPr>
              <w:pStyle w:val="List2"/>
            </w:pPr>
            <w:r w:rsidRPr="00EE4D7E">
              <w:t>3.3.</w:t>
            </w:r>
            <w:r w:rsidRPr="00EE4D7E">
              <w:tab/>
              <w:t xml:space="preserve">Discuss some of the </w:t>
            </w:r>
            <w:r w:rsidRPr="00EE4D7E">
              <w:rPr>
                <w:rStyle w:val="BoldandItalics"/>
              </w:rPr>
              <w:t>funding models</w:t>
            </w:r>
            <w:r w:rsidRPr="00EE4D7E">
              <w:t xml:space="preserve"> supporting the s</w:t>
            </w:r>
            <w:r w:rsidRPr="00EE4D7E">
              <w:t>elected education sector's activity</w:t>
            </w:r>
          </w:p>
          <w:p w:rsidR="00000000" w:rsidP="00EE4D7E">
            <w:pPr>
              <w:pStyle w:val="List2"/>
              <w:rPr>
                <w:lang w:val="en-NZ"/>
              </w:rPr>
            </w:pPr>
            <w:r w:rsidRPr="00EE4D7E">
              <w:t>3.4.</w:t>
            </w:r>
            <w:r w:rsidRPr="00EE4D7E">
              <w:tab/>
              <w:t>Determine the impact of political and trading alliances on the selected education sector</w:t>
            </w:r>
          </w:p>
        </w:tc>
      </w:tr>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List"/>
              <w:rPr>
                <w:lang w:val="en-NZ"/>
              </w:rPr>
            </w:pPr>
            <w:r w:rsidRPr="00EE4D7E">
              <w:t>4.</w:t>
            </w:r>
            <w:r w:rsidRPr="00EE4D7E">
              <w:tab/>
              <w:t>Analyse the requirements of an Australian education sector operating as a business in an international environment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2"/>
            </w:pPr>
            <w:r w:rsidRPr="00EE4D7E">
              <w:t>4.1.</w:t>
            </w:r>
            <w:r w:rsidRPr="00EE4D7E">
              <w:tab/>
              <w:t>Di</w:t>
            </w:r>
            <w:r w:rsidRPr="00EE4D7E">
              <w:t>scuss the commercial imperatives that underpin international education activities</w:t>
            </w:r>
          </w:p>
          <w:p w:rsidR="00000000" w:rsidRPr="00EE4D7E" w:rsidP="00EE4D7E">
            <w:pPr>
              <w:pStyle w:val="List2"/>
            </w:pPr>
            <w:r w:rsidRPr="00EE4D7E">
              <w:t>4.2.</w:t>
            </w:r>
            <w:r w:rsidRPr="00EE4D7E">
              <w:tab/>
              <w:t>Discuss the responsibilities of an educational entrepreneur operating internationally</w:t>
            </w:r>
          </w:p>
          <w:p w:rsidR="00000000" w:rsidRPr="00EE4D7E" w:rsidP="00EE4D7E">
            <w:pPr>
              <w:pStyle w:val="List2"/>
            </w:pPr>
            <w:r w:rsidRPr="00EE4D7E">
              <w:t>4.3.</w:t>
            </w:r>
            <w:r w:rsidRPr="00EE4D7E">
              <w:tab/>
              <w:t xml:space="preserve">Provide examples of the </w:t>
            </w:r>
            <w:r w:rsidRPr="00EE4D7E">
              <w:rPr>
                <w:rStyle w:val="BoldandItalics"/>
              </w:rPr>
              <w:t>risks and challenges</w:t>
            </w:r>
            <w:r w:rsidRPr="00EE4D7E">
              <w:t xml:space="preserve"> associated with international edu</w:t>
            </w:r>
            <w:r w:rsidRPr="00EE4D7E">
              <w:t>cation activities from a business perspective</w:t>
            </w:r>
          </w:p>
          <w:p w:rsidR="00000000" w:rsidRPr="00EE4D7E" w:rsidP="00EE4D7E">
            <w:pPr>
              <w:pStyle w:val="List2"/>
            </w:pPr>
            <w:r w:rsidRPr="00EE4D7E">
              <w:t>4.4.</w:t>
            </w:r>
            <w:r w:rsidRPr="00EE4D7E">
              <w:tab/>
              <w:t>Assess the strengths and weaknesses of Australian educational entrepreneurial activity in relation to identified risks and challenges</w:t>
            </w:r>
          </w:p>
          <w:p w:rsidR="00000000" w:rsidP="00EE4D7E">
            <w:pPr>
              <w:pStyle w:val="List2"/>
              <w:rPr>
                <w:lang w:val="en-NZ"/>
              </w:rPr>
            </w:pPr>
            <w:r w:rsidRPr="00EE4D7E">
              <w:t>4.5.</w:t>
            </w:r>
            <w:r w:rsidRPr="00EE4D7E">
              <w:tab/>
              <w:t>Compare these strengths and weaknesses with those of a major inter</w:t>
            </w:r>
            <w:r w:rsidRPr="00EE4D7E">
              <w:t>national competitor or competitors</w:t>
            </w:r>
          </w:p>
        </w:tc>
      </w:tr>
      <w:tr w:rsidTr="00852D5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List"/>
              <w:rPr>
                <w:lang w:val="en-NZ"/>
              </w:rPr>
            </w:pPr>
            <w:r w:rsidRPr="00EE4D7E">
              <w:t>5.</w:t>
            </w:r>
            <w:r w:rsidRPr="00EE4D7E">
              <w:tab/>
              <w:t>Critique innovative practice in international education</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2"/>
            </w:pPr>
            <w:r w:rsidRPr="00EE4D7E">
              <w:t>5.1.</w:t>
            </w:r>
            <w:r w:rsidRPr="00EE4D7E">
              <w:tab/>
              <w:t>Identify examples and case studies of innovative practices in international education</w:t>
            </w:r>
          </w:p>
          <w:p w:rsidR="00000000" w:rsidRPr="00EE4D7E" w:rsidP="00EE4D7E">
            <w:pPr>
              <w:pStyle w:val="List2"/>
            </w:pPr>
            <w:r w:rsidRPr="00EE4D7E">
              <w:t>5.2.</w:t>
            </w:r>
            <w:r w:rsidRPr="00EE4D7E">
              <w:tab/>
              <w:t>Analyse innovative practices to determine success factors and cha</w:t>
            </w:r>
            <w:r w:rsidRPr="00EE4D7E">
              <w:t>llenges</w:t>
            </w:r>
          </w:p>
          <w:p w:rsidR="00000000" w:rsidRPr="00EE4D7E" w:rsidP="00EE4D7E">
            <w:pPr>
              <w:pStyle w:val="List2"/>
            </w:pPr>
            <w:r w:rsidRPr="00EE4D7E">
              <w:t>5.3.</w:t>
            </w:r>
            <w:r w:rsidRPr="00EE4D7E">
              <w:tab/>
              <w:t>Critique identified innovative practices to determine feasibility of broader application</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9" w:name="O_63851"/>
      <w:bookmarkEnd w:id="9"/>
      <w:r w:rsidRPr="00EE4D7E">
        <w:t>Required Skills and Knowledge</w:t>
      </w:r>
    </w:p>
    <w:tbl>
      <w:tblPr>
        <w:tblW w:w="0" w:type="auto"/>
        <w:tblLayout w:type="fixed"/>
        <w:tblCellMar>
          <w:left w:w="62" w:type="dxa"/>
          <w:right w:w="62" w:type="dxa"/>
        </w:tblCellMar>
        <w:tblLook w:val="0000"/>
      </w:tblPr>
      <w:tblGrid>
        <w:gridCol w:w="8522"/>
      </w:tblGrid>
      <w:tr w:rsidTr="00852D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REQUIRED SKILLS AND KNOWLEDGE</w:t>
            </w:r>
          </w:p>
        </w:tc>
      </w:tr>
      <w:tr w:rsidTr="00852D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t>This section describes the skills and knowledge required for this unit.</w:t>
            </w:r>
          </w:p>
        </w:tc>
      </w:tr>
      <w:tr w:rsidTr="00852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Required skills</w:t>
            </w:r>
          </w:p>
        </w:tc>
      </w:tr>
      <w:tr w:rsidTr="00852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 xml:space="preserve">communication skills to analyse complex issues and to complete oral and written reports on findings in relation to international education </w:t>
            </w:r>
          </w:p>
          <w:p w:rsidR="00000000" w:rsidRPr="00EE4D7E" w:rsidP="00EE4D7E">
            <w:pPr>
              <w:pStyle w:val="ListBullet"/>
            </w:pPr>
            <w:r w:rsidRPr="00EE4D7E">
              <w:t>initiative and enterprise skills to identify human resources and text resources to aid research</w:t>
            </w:r>
          </w:p>
          <w:p w:rsidR="00000000" w:rsidRPr="00EE4D7E" w:rsidP="00EE4D7E">
            <w:pPr>
              <w:pStyle w:val="ListBullet"/>
            </w:pPr>
            <w:r w:rsidRPr="00EE4D7E">
              <w:t>learning skills to research and analyse information about international education strategic trends and implications for business requirements</w:t>
            </w:r>
          </w:p>
          <w:p w:rsidR="00000000" w:rsidRPr="00EE4D7E" w:rsidP="00EE4D7E">
            <w:pPr>
              <w:pStyle w:val="ListBullet"/>
            </w:pPr>
            <w:r w:rsidRPr="00EE4D7E">
              <w:t>literacy skills to read and analyse academic texts and journals, to take notes and to use common genres of academi</w:t>
            </w:r>
            <w:r w:rsidRPr="00EE4D7E">
              <w:t>c discourse, oral and written</w:t>
            </w:r>
          </w:p>
          <w:p w:rsidR="00000000" w:rsidRPr="00EE4D7E" w:rsidP="00EE4D7E">
            <w:pPr>
              <w:pStyle w:val="ListBullet"/>
            </w:pPr>
            <w:r w:rsidRPr="00EE4D7E">
              <w:t>numeracy skills to read and understand statistics about international trade planning and organising skills to prepare for research</w:t>
            </w:r>
          </w:p>
          <w:p w:rsidR="00000000" w:rsidRPr="00EE4D7E" w:rsidP="00EE4D7E">
            <w:pPr>
              <w:pStyle w:val="ListBullet"/>
            </w:pPr>
            <w:r w:rsidRPr="00EE4D7E">
              <w:t>problem-solving skills to research and analyse current situations and trends in international e</w:t>
            </w:r>
            <w:r w:rsidRPr="00EE4D7E">
              <w:t>ducation</w:t>
            </w:r>
          </w:p>
          <w:p w:rsidR="00000000" w:rsidRPr="00EE4D7E" w:rsidP="00EE4D7E">
            <w:pPr>
              <w:pStyle w:val="ListBullet"/>
            </w:pPr>
            <w:r w:rsidRPr="00EE4D7E">
              <w:t>self-management skills to conduct focussed research</w:t>
            </w:r>
          </w:p>
          <w:p w:rsidR="00000000" w:rsidP="00EE4D7E">
            <w:pPr>
              <w:pStyle w:val="ListBullet"/>
              <w:rPr>
                <w:lang w:val="en-NZ"/>
              </w:rPr>
            </w:pPr>
            <w:r w:rsidRPr="00EE4D7E">
              <w:t>technology skills to use the internet to access literature and statistics about international education.</w:t>
            </w:r>
          </w:p>
        </w:tc>
      </w:tr>
      <w:tr w:rsidTr="00852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Required knowledge</w:t>
            </w:r>
          </w:p>
        </w:tc>
      </w:tr>
      <w:tr w:rsidTr="00852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communication and technological developments</w:t>
            </w:r>
          </w:p>
          <w:p w:rsidR="00000000" w:rsidRPr="00EE4D7E" w:rsidP="00EE4D7E">
            <w:pPr>
              <w:pStyle w:val="ListBullet"/>
            </w:pPr>
            <w:r w:rsidRPr="00EE4D7E">
              <w:t>comparison with educatio</w:t>
            </w:r>
            <w:r w:rsidRPr="00EE4D7E">
              <w:t>n sectors in other countries and status of education sectors in other countries</w:t>
            </w:r>
          </w:p>
          <w:p w:rsidR="00000000" w:rsidRPr="00EE4D7E" w:rsidP="00EE4D7E">
            <w:pPr>
              <w:pStyle w:val="ListBullet"/>
            </w:pPr>
            <w:r w:rsidRPr="00EE4D7E">
              <w:t>comparison with major international competitors</w:t>
            </w:r>
          </w:p>
          <w:p w:rsidR="00000000" w:rsidRPr="00EE4D7E" w:rsidP="00EE4D7E">
            <w:pPr>
              <w:pStyle w:val="ListBullet"/>
            </w:pPr>
            <w:r w:rsidRPr="00EE4D7E">
              <w:t>competitiveness of selected education sector internationally</w:t>
            </w:r>
          </w:p>
          <w:p w:rsidR="00000000" w:rsidRPr="00EE4D7E" w:rsidP="00EE4D7E">
            <w:pPr>
              <w:pStyle w:val="ListBullet"/>
            </w:pPr>
            <w:r w:rsidRPr="00EE4D7E">
              <w:t>implications for selected education sector</w:t>
            </w:r>
          </w:p>
          <w:p w:rsidR="00000000" w:rsidRPr="00EE4D7E" w:rsidP="00EE4D7E">
            <w:pPr>
              <w:pStyle w:val="ListBullet"/>
            </w:pPr>
            <w:r w:rsidRPr="00EE4D7E">
              <w:t>internationalisation and</w:t>
            </w:r>
            <w:r w:rsidRPr="00EE4D7E">
              <w:t xml:space="preserve"> its effects</w:t>
            </w:r>
          </w:p>
          <w:p w:rsidR="00000000" w:rsidRPr="00EE4D7E" w:rsidP="00EE4D7E">
            <w:pPr>
              <w:pStyle w:val="ListBullet"/>
            </w:pPr>
            <w:r w:rsidRPr="00EE4D7E">
              <w:t>impact of internationalisation on educational management</w:t>
            </w:r>
          </w:p>
          <w:p w:rsidR="00000000" w:rsidRPr="00EE4D7E" w:rsidP="00EE4D7E">
            <w:pPr>
              <w:pStyle w:val="ListBullet"/>
            </w:pPr>
            <w:r w:rsidRPr="00EE4D7E">
              <w:t>potential business opportunities</w:t>
            </w:r>
          </w:p>
          <w:p w:rsidR="00000000" w:rsidRPr="00EE4D7E" w:rsidP="00EE4D7E">
            <w:pPr>
              <w:pStyle w:val="ListBullet"/>
            </w:pPr>
            <w:r w:rsidRPr="00EE4D7E">
              <w:t>professional development requirements for staff</w:t>
            </w:r>
          </w:p>
          <w:p w:rsidR="00000000" w:rsidRPr="00EE4D7E" w:rsidP="00EE4D7E">
            <w:pPr>
              <w:pStyle w:val="ListBullet"/>
            </w:pPr>
            <w:r w:rsidRPr="00EE4D7E">
              <w:t>regional trends in selected education sector, including:</w:t>
            </w:r>
          </w:p>
          <w:p w:rsidR="00000000" w:rsidRPr="00EE4D7E" w:rsidP="00EE4D7E">
            <w:pPr>
              <w:pStyle w:val="ListBullet2"/>
            </w:pPr>
            <w:r w:rsidRPr="00EE4D7E">
              <w:t>demand and supply</w:t>
            </w:r>
          </w:p>
          <w:p w:rsidR="00000000" w:rsidRPr="00EE4D7E" w:rsidP="00EE4D7E">
            <w:pPr>
              <w:pStyle w:val="ListBullet2"/>
            </w:pPr>
            <w:r w:rsidRPr="00EE4D7E">
              <w:t>demographics, economic trends</w:t>
            </w:r>
          </w:p>
          <w:p w:rsidR="00000000" w:rsidRPr="00EE4D7E" w:rsidP="00EE4D7E">
            <w:pPr>
              <w:pStyle w:val="ListBullet2"/>
            </w:pPr>
            <w:r w:rsidRPr="00EE4D7E">
              <w:t>funding priorities in region</w:t>
            </w:r>
          </w:p>
          <w:p w:rsidR="00000000" w:rsidRPr="00EE4D7E" w:rsidP="00EE4D7E">
            <w:pPr>
              <w:pStyle w:val="ListBullet2"/>
            </w:pPr>
            <w:r w:rsidRPr="00EE4D7E">
              <w:t>partnerships with government</w:t>
            </w:r>
          </w:p>
          <w:p w:rsidR="00000000" w:rsidRPr="00EE4D7E" w:rsidP="00EE4D7E">
            <w:pPr>
              <w:pStyle w:val="ListBullet2"/>
            </w:pPr>
            <w:r w:rsidRPr="00EE4D7E">
              <w:t>political and trading alliances</w:t>
            </w:r>
          </w:p>
          <w:p w:rsidR="00000000" w:rsidRPr="00EE4D7E" w:rsidP="00EE4D7E">
            <w:pPr>
              <w:pStyle w:val="ListBullet2"/>
            </w:pPr>
            <w:r w:rsidRPr="00EE4D7E">
              <w:t>sector trends and priorities</w:t>
            </w:r>
          </w:p>
          <w:p w:rsidR="00000000" w:rsidRPr="00EE4D7E" w:rsidP="00EE4D7E">
            <w:pPr>
              <w:pStyle w:val="ListBullet2"/>
            </w:pPr>
            <w:r w:rsidRPr="00EE4D7E">
              <w:t>statistics on sector international involvement</w:t>
            </w:r>
          </w:p>
          <w:p w:rsidR="00000000" w:rsidRPr="00EE4D7E" w:rsidP="00EE4D7E">
            <w:pPr>
              <w:pStyle w:val="ListBullet"/>
            </w:pPr>
            <w:r w:rsidRPr="00EE4D7E">
              <w:t>risks and challenges</w:t>
            </w:r>
          </w:p>
          <w:p w:rsidR="00000000" w:rsidRPr="00EE4D7E" w:rsidP="00EE4D7E">
            <w:pPr>
              <w:pStyle w:val="ListBullet"/>
            </w:pPr>
            <w:r w:rsidRPr="00EE4D7E">
              <w:t>selected education sector, including:</w:t>
            </w:r>
          </w:p>
          <w:p w:rsidR="00000000" w:rsidRPr="00EE4D7E" w:rsidP="00EE4D7E">
            <w:pPr>
              <w:pStyle w:val="ListBullet2"/>
            </w:pPr>
            <w:r w:rsidRPr="00EE4D7E">
              <w:t xml:space="preserve">commercial imperatives </w:t>
            </w:r>
          </w:p>
          <w:p w:rsidR="00000000" w:rsidRPr="00EE4D7E" w:rsidP="00EE4D7E">
            <w:pPr>
              <w:pStyle w:val="ListBullet2"/>
            </w:pPr>
            <w:r w:rsidRPr="00EE4D7E">
              <w:t>fundi</w:t>
            </w:r>
            <w:r w:rsidRPr="00EE4D7E">
              <w:t>ng mechanisms and scope</w:t>
            </w:r>
          </w:p>
          <w:p w:rsidR="00000000" w:rsidRPr="00EE4D7E" w:rsidP="00EE4D7E">
            <w:pPr>
              <w:pStyle w:val="ListBullet2"/>
            </w:pPr>
            <w:r w:rsidRPr="00EE4D7E">
              <w:t>impact of technologies</w:t>
            </w:r>
          </w:p>
          <w:p w:rsidR="00000000" w:rsidRPr="00EE4D7E" w:rsidP="00EE4D7E">
            <w:pPr>
              <w:pStyle w:val="ListBullet2"/>
            </w:pPr>
            <w:r w:rsidRPr="00EE4D7E">
              <w:t>industry and business requirements and drivers</w:t>
            </w:r>
          </w:p>
          <w:p w:rsidR="00000000" w:rsidRPr="00EE4D7E" w:rsidP="00EE4D7E">
            <w:pPr>
              <w:pStyle w:val="ListBullet2"/>
            </w:pPr>
            <w:r w:rsidRPr="00EE4D7E">
              <w:t>size, scope, target groups</w:t>
            </w:r>
          </w:p>
          <w:p w:rsidR="00000000" w:rsidRPr="00EE4D7E" w:rsidP="00EE4D7E">
            <w:pPr>
              <w:pStyle w:val="ListBullet2"/>
            </w:pPr>
            <w:r w:rsidRPr="00EE4D7E">
              <w:t>pathways and links with other sectors</w:t>
            </w:r>
          </w:p>
          <w:p w:rsidR="00000000" w:rsidRPr="00EE4D7E" w:rsidP="00EE4D7E">
            <w:pPr>
              <w:pStyle w:val="ListBullet2"/>
            </w:pPr>
            <w:r w:rsidRPr="00EE4D7E">
              <w:t>relevant national and local policies</w:t>
            </w:r>
          </w:p>
          <w:p w:rsidR="00000000" w:rsidRPr="00EE4D7E" w:rsidP="00EE4D7E">
            <w:pPr>
              <w:pStyle w:val="ListBullet2"/>
            </w:pPr>
            <w:r w:rsidRPr="00EE4D7E">
              <w:t>strategic directions</w:t>
            </w:r>
          </w:p>
          <w:p w:rsidR="00000000" w:rsidRPr="00EE4D7E" w:rsidP="00EE4D7E">
            <w:pPr>
              <w:pStyle w:val="ListBullet"/>
            </w:pPr>
            <w:r w:rsidRPr="00EE4D7E">
              <w:t>strengths and weaknesses of selected ed</w:t>
            </w:r>
            <w:r w:rsidRPr="00EE4D7E">
              <w:t>ucation sector.</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10" w:name="O_63852"/>
      <w:bookmarkEnd w:id="10"/>
      <w:r w:rsidRPr="00EE4D7E">
        <w:t>Evidence Guide</w:t>
      </w:r>
    </w:p>
    <w:tbl>
      <w:tblPr>
        <w:tblW w:w="9570" w:type="dxa"/>
        <w:tblLayout w:type="fixed"/>
        <w:tblCellMar>
          <w:left w:w="62" w:type="dxa"/>
          <w:right w:w="62" w:type="dxa"/>
        </w:tblCellMar>
        <w:tblLook w:val="0000"/>
      </w:tblPr>
      <w:tblGrid>
        <w:gridCol w:w="3908"/>
        <w:gridCol w:w="5662"/>
      </w:tblGrid>
      <w:tr w:rsidTr="00852D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EVIDENCE GUIDE</w:t>
            </w:r>
          </w:p>
        </w:tc>
      </w:tr>
      <w:tr w:rsidTr="00852D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t xml:space="preserve">The Evidence Guide provides advice on assessment and must be read in conjunction with the performance criteria, required skills and knowledge, </w:t>
            </w:r>
            <w:r w:rsidRPr="00EE4D7E">
              <w:t>range statement and the Assessment Guidelines for the Training Package.</w:t>
            </w:r>
          </w:p>
        </w:tc>
      </w:tr>
      <w:tr w:rsidTr="00852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p>
        </w:tc>
      </w:tr>
      <w:tr w:rsidTr="00852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Evidence of the following is essential:</w:t>
            </w:r>
          </w:p>
          <w:p w:rsidR="00000000" w:rsidRPr="00EE4D7E" w:rsidP="00EE4D7E">
            <w:pPr>
              <w:pStyle w:val="ListBullet"/>
            </w:pPr>
            <w:r w:rsidRPr="00EE4D7E">
              <w:t xml:space="preserve">analysing an Australian education sector including its key features and the implications of internationalisation </w:t>
            </w:r>
          </w:p>
          <w:p w:rsidR="00000000" w:rsidRPr="00EE4D7E" w:rsidP="00EE4D7E">
            <w:pPr>
              <w:pStyle w:val="ListBullet"/>
            </w:pPr>
            <w:r w:rsidRPr="00EE4D7E">
              <w:t>analysing strategic international educational trends</w:t>
            </w:r>
          </w:p>
          <w:p w:rsidR="00000000" w:rsidRPr="00EE4D7E" w:rsidP="00EE4D7E">
            <w:pPr>
              <w:pStyle w:val="ListBullet"/>
            </w:pPr>
            <w:r w:rsidRPr="00EE4D7E">
              <w:t>investigating challenges and requirements of Australian education organisations operating</w:t>
            </w:r>
            <w:r w:rsidRPr="00EE4D7E">
              <w:t xml:space="preserve"> in the international business environment</w:t>
            </w:r>
          </w:p>
          <w:p w:rsidR="00000000" w:rsidP="00EE4D7E">
            <w:pPr>
              <w:pStyle w:val="ListBullet"/>
              <w:rPr>
                <w:lang w:val="en-NZ"/>
              </w:rPr>
            </w:pPr>
            <w:r w:rsidRPr="00EE4D7E">
              <w:t>knowledge of risks and challenges.</w:t>
            </w:r>
          </w:p>
        </w:tc>
      </w:tr>
      <w:tr w:rsidTr="00852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Assessment must ensure:</w:t>
            </w:r>
          </w:p>
          <w:p w:rsidR="00000000" w:rsidP="00EE4D7E">
            <w:pPr>
              <w:pStyle w:val="ListBullet"/>
              <w:rPr>
                <w:lang w:val="en-NZ"/>
              </w:rPr>
            </w:pPr>
            <w:r w:rsidRPr="00EE4D7E">
              <w:t>assessment relates to the education sector in which the candidate's international education activities a</w:t>
            </w:r>
            <w:r w:rsidRPr="00EE4D7E">
              <w:t>re or are to be, conducted.</w:t>
            </w:r>
          </w:p>
        </w:tc>
      </w:tr>
      <w:tr w:rsidTr="00852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A range of assessment methods should be used to assess practical skills and knowledge. The following examples are appropriate for this unit:</w:t>
            </w:r>
          </w:p>
          <w:p w:rsidR="00000000" w:rsidRPr="00EE4D7E" w:rsidP="00EE4D7E">
            <w:pPr>
              <w:pStyle w:val="ListBullet"/>
            </w:pPr>
            <w:r w:rsidRPr="00EE4D7E">
              <w:t>direct questioning combined with review of portfolios of evidence and third party workplace reports of on-the-job performance by the candidate</w:t>
            </w:r>
          </w:p>
          <w:p w:rsidR="00000000" w:rsidRPr="00EE4D7E" w:rsidP="00EE4D7E">
            <w:pPr>
              <w:pStyle w:val="ListBullet"/>
            </w:pPr>
            <w:r w:rsidRPr="00EE4D7E">
              <w:t>evaluation of supervisor's reports on how the candidate applies knowledge of the internationalisation of educatio</w:t>
            </w:r>
            <w:r w:rsidRPr="00EE4D7E">
              <w:t>n</w:t>
            </w:r>
          </w:p>
          <w:p w:rsidR="00000000" w:rsidRPr="00EE4D7E" w:rsidP="00EE4D7E">
            <w:pPr>
              <w:pStyle w:val="ListBullet"/>
            </w:pPr>
            <w:r w:rsidRPr="00EE4D7E">
              <w:t>analysis of projects, case studies to which investigation findings are applied, completed records and reports developed by the candidate</w:t>
            </w:r>
          </w:p>
          <w:p w:rsidR="00000000" w:rsidRPr="00EE4D7E" w:rsidP="00EE4D7E">
            <w:pPr>
              <w:pStyle w:val="ListBullet"/>
            </w:pPr>
            <w:r w:rsidRPr="00EE4D7E">
              <w:t>review of analysis of the main influences on selected sector activities</w:t>
            </w:r>
          </w:p>
          <w:p w:rsidR="00000000" w:rsidRPr="00EE4D7E" w:rsidP="00EE4D7E">
            <w:pPr>
              <w:pStyle w:val="ListBullet"/>
            </w:pPr>
            <w:r w:rsidRPr="00EE4D7E">
              <w:t>evaluation of definition of internationalisat</w:t>
            </w:r>
            <w:r w:rsidRPr="00EE4D7E">
              <w:t>ion as it applies to education generally and specifically to selected education sector</w:t>
            </w:r>
          </w:p>
          <w:p w:rsidR="00000000" w:rsidRPr="00EE4D7E" w:rsidP="00EE4D7E">
            <w:pPr>
              <w:pStyle w:val="ListBullet"/>
            </w:pPr>
            <w:r w:rsidRPr="00EE4D7E">
              <w:t>review of documentation outlining risks and challenges associated with international education activities from a business perspective</w:t>
            </w:r>
          </w:p>
          <w:p w:rsidR="00000000" w:rsidRPr="00EE4D7E" w:rsidP="00EE4D7E">
            <w:pPr>
              <w:pStyle w:val="ListBullet"/>
            </w:pPr>
            <w:r w:rsidRPr="00EE4D7E">
              <w:t>evaluation of critique of identifie</w:t>
            </w:r>
            <w:r w:rsidRPr="00EE4D7E">
              <w:t>d innovative practices to determine feasibility of broader application</w:t>
            </w:r>
          </w:p>
          <w:p w:rsidR="00000000" w:rsidP="00EE4D7E">
            <w:pPr>
              <w:pStyle w:val="ListBullet"/>
              <w:rPr>
                <w:lang w:val="en-NZ"/>
              </w:rPr>
            </w:pPr>
            <w:r w:rsidRPr="00EE4D7E">
              <w:t>oral or written questioning to assess knowledge of selected education sector.</w:t>
            </w:r>
          </w:p>
        </w:tc>
      </w:tr>
      <w:tr w:rsidTr="00852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 xml:space="preserve">Holistic assessment with other units relevant to the industry sector, </w:t>
            </w:r>
            <w:r w:rsidRPr="00EE4D7E">
              <w:t>workplace and job role is recommended, for example:</w:t>
            </w:r>
          </w:p>
          <w:p w:rsidR="00000000" w:rsidRPr="00EE4D7E" w:rsidP="00EE4D7E">
            <w:pPr>
              <w:pStyle w:val="ListBullet"/>
            </w:pPr>
            <w:r w:rsidRPr="00EE4D7E">
              <w:t>with other units in the qualification in which this unit is packaged.</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11" w:name="O_63853"/>
      <w:bookmarkEnd w:id="11"/>
      <w:r w:rsidRPr="00EE4D7E">
        <w:t>Range Statement</w:t>
      </w:r>
    </w:p>
    <w:tbl>
      <w:tblPr>
        <w:tblW w:w="0" w:type="auto"/>
        <w:tblLayout w:type="fixed"/>
        <w:tblCellMar>
          <w:left w:w="62" w:type="dxa"/>
          <w:right w:w="62" w:type="dxa"/>
        </w:tblCellMar>
        <w:tblLook w:val="0000"/>
      </w:tblPr>
      <w:tblGrid>
        <w:gridCol w:w="3589"/>
        <w:gridCol w:w="4933"/>
      </w:tblGrid>
      <w:tr w:rsidTr="00852D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RANGE STATEMENT</w:t>
            </w:r>
          </w:p>
        </w:tc>
      </w:tr>
      <w:tr w:rsidTr="00852D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t>The range statement relates to the unit of competency as a whole. It allows for different work environments and situations that may affect performance. Bold italicised wording, if used in the performance criteria, is detailed below. Essential operating con</w:t>
            </w:r>
            <w:r w:rsidRPr="00EE4D7E">
              <w:t>ditions that may be present with training and assessment (depending on the work situation, needs of the candidate, accessibility of the item, and local industry and regional contexts) may also be included.</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Education sector</w:t>
            </w:r>
            <w:r w:rsidRPr="00EE4D7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English language t</w:t>
            </w:r>
            <w:r w:rsidRPr="00EE4D7E">
              <w:t>raining and preparatory education</w:t>
            </w:r>
          </w:p>
          <w:p w:rsidR="00000000" w:rsidRPr="00EE4D7E" w:rsidP="00EE4D7E">
            <w:pPr>
              <w:pStyle w:val="ListBullet"/>
            </w:pPr>
            <w:r w:rsidRPr="00EE4D7E">
              <w:t>higher education</w:t>
            </w:r>
          </w:p>
          <w:p w:rsidR="00000000" w:rsidRPr="00EE4D7E" w:rsidP="00EE4D7E">
            <w:pPr>
              <w:pStyle w:val="ListBullet"/>
            </w:pPr>
            <w:r w:rsidRPr="00EE4D7E">
              <w:t>postgraduate education</w:t>
            </w:r>
          </w:p>
          <w:p w:rsidR="00000000" w:rsidRPr="00EE4D7E" w:rsidP="00EE4D7E">
            <w:pPr>
              <w:pStyle w:val="ListBullet"/>
            </w:pPr>
            <w:r w:rsidRPr="00EE4D7E">
              <w:t>school education (primary and secondary)</w:t>
            </w:r>
          </w:p>
          <w:p w:rsidR="00000000" w:rsidP="00EE4D7E">
            <w:pPr>
              <w:pStyle w:val="ListBullet"/>
              <w:rPr>
                <w:lang w:val="en-NZ"/>
              </w:rPr>
            </w:pPr>
            <w:r w:rsidRPr="00EE4D7E">
              <w:t>vocational education and training</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Main influences</w:t>
            </w:r>
            <w:r w:rsidRPr="00EE4D7E">
              <w:t xml:space="preserve"> on selected sector activities will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industry requirements</w:t>
            </w:r>
          </w:p>
          <w:p w:rsidR="00000000" w:rsidRPr="00EE4D7E" w:rsidP="00EE4D7E">
            <w:pPr>
              <w:pStyle w:val="ListBullet"/>
            </w:pPr>
            <w:r w:rsidRPr="00EE4D7E">
              <w:t>government policies</w:t>
            </w:r>
          </w:p>
          <w:p w:rsidR="00000000" w:rsidP="00EE4D7E">
            <w:pPr>
              <w:pStyle w:val="ListBullet"/>
              <w:rPr>
                <w:lang w:val="en-NZ"/>
              </w:rPr>
            </w:pPr>
            <w:r w:rsidRPr="00EE4D7E">
              <w:t>strategic directions</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Internationalisation</w:t>
            </w:r>
            <w:r w:rsidRPr="00EE4D7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changes to curriculum content and pedagogies to address shifts towards globalisation of economies, work, communications and technologies, knowledge and culture</w:t>
            </w:r>
          </w:p>
          <w:p w:rsidR="00000000" w:rsidRPr="00EE4D7E" w:rsidP="00EE4D7E">
            <w:pPr>
              <w:pStyle w:val="ListBullet"/>
            </w:pPr>
            <w:r w:rsidRPr="00EE4D7E">
              <w:t>development of international education n</w:t>
            </w:r>
            <w:r w:rsidRPr="00EE4D7E">
              <w:t xml:space="preserve">etworks </w:t>
            </w:r>
          </w:p>
          <w:p w:rsidR="00000000" w:rsidRPr="00EE4D7E" w:rsidP="00EE4D7E">
            <w:pPr>
              <w:pStyle w:val="ListBullet"/>
            </w:pPr>
            <w:r w:rsidRPr="00EE4D7E">
              <w:t>educational provision for overseas students onshore and offshore</w:t>
            </w:r>
          </w:p>
          <w:p w:rsidR="00000000" w:rsidP="00EE4D7E">
            <w:pPr>
              <w:pStyle w:val="ListBullet"/>
              <w:rPr>
                <w:lang w:val="en-NZ"/>
              </w:rPr>
            </w:pPr>
            <w:r w:rsidRPr="00EE4D7E">
              <w:t>student and staff mobility</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Specific examples of Australian products and services</w:t>
            </w:r>
            <w:r w:rsidRPr="00EE4D7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 xml:space="preserve">customised products </w:t>
            </w:r>
          </w:p>
          <w:p w:rsidR="00000000" w:rsidRPr="00EE4D7E" w:rsidP="00EE4D7E">
            <w:pPr>
              <w:pStyle w:val="ListBullet"/>
            </w:pPr>
            <w:r w:rsidRPr="00EE4D7E">
              <w:t>offshore and onshore delivery</w:t>
            </w:r>
          </w:p>
          <w:p w:rsidR="00000000" w:rsidRPr="00EE4D7E" w:rsidP="00EE4D7E">
            <w:pPr>
              <w:pStyle w:val="ListBullet"/>
            </w:pPr>
            <w:r w:rsidRPr="00EE4D7E">
              <w:t>recognition initiatives</w:t>
            </w:r>
          </w:p>
          <w:p w:rsidR="00000000" w:rsidP="00EE4D7E">
            <w:pPr>
              <w:pStyle w:val="ListBullet"/>
              <w:rPr>
                <w:lang w:val="en-NZ"/>
              </w:rPr>
            </w:pPr>
            <w:r w:rsidRPr="00EE4D7E">
              <w:t>types of cou</w:t>
            </w:r>
            <w:r w:rsidRPr="00EE4D7E">
              <w:t>rses and programs</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Summarising</w:t>
            </w:r>
            <w:r w:rsidRPr="00EE4D7E">
              <w:t xml:space="preserve"> available information on the scale of Australian international education activity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country</w:t>
            </w:r>
          </w:p>
          <w:p w:rsidR="00000000" w:rsidRPr="00EE4D7E" w:rsidP="00EE4D7E">
            <w:pPr>
              <w:pStyle w:val="ListBullet"/>
            </w:pPr>
            <w:r w:rsidRPr="00EE4D7E">
              <w:t>dollar investment</w:t>
            </w:r>
          </w:p>
          <w:p w:rsidR="00000000" w:rsidRPr="00EE4D7E" w:rsidP="00EE4D7E">
            <w:pPr>
              <w:pStyle w:val="ListBullet"/>
            </w:pPr>
            <w:r w:rsidRPr="00EE4D7E">
              <w:t>kind of activity</w:t>
            </w:r>
          </w:p>
          <w:p w:rsidR="00000000" w:rsidP="00EE4D7E">
            <w:pPr>
              <w:pStyle w:val="ListBullet"/>
              <w:rPr>
                <w:lang w:val="en-NZ"/>
              </w:rPr>
            </w:pPr>
            <w:r w:rsidRPr="00EE4D7E">
              <w:t>major players</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Funding models</w:t>
            </w:r>
            <w:r w:rsidRPr="00EE4D7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government</w:t>
            </w:r>
          </w:p>
          <w:p w:rsidR="00000000" w:rsidRPr="00EE4D7E" w:rsidP="00EE4D7E">
            <w:pPr>
              <w:pStyle w:val="ListBullet"/>
            </w:pPr>
            <w:r w:rsidRPr="00EE4D7E">
              <w:t>overseas aid</w:t>
            </w:r>
          </w:p>
          <w:p w:rsidR="00000000" w:rsidRPr="00EE4D7E" w:rsidP="00EE4D7E">
            <w:pPr>
              <w:pStyle w:val="ListBullet"/>
            </w:pPr>
            <w:r w:rsidRPr="00EE4D7E">
              <w:t>private</w:t>
            </w:r>
          </w:p>
          <w:p w:rsidR="00000000" w:rsidRPr="00EE4D7E" w:rsidP="00EE4D7E">
            <w:pPr>
              <w:pStyle w:val="ListBullet"/>
            </w:pPr>
            <w:r w:rsidRPr="00EE4D7E">
              <w:t>public</w:t>
            </w:r>
          </w:p>
          <w:p w:rsidR="00000000" w:rsidP="00EE4D7E">
            <w:pPr>
              <w:pStyle w:val="ListBullet"/>
              <w:rPr>
                <w:lang w:val="en-NZ"/>
              </w:rPr>
            </w:pPr>
            <w:r w:rsidRPr="00EE4D7E">
              <w:t>scholarships and foundations</w:t>
            </w:r>
          </w:p>
        </w:tc>
      </w:tr>
      <w:tr w:rsidTr="00852D51">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BoldandItalics"/>
              </w:rPr>
              <w:t>Risks and challenges</w:t>
            </w:r>
            <w:r w:rsidRPr="00EE4D7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ListBullet"/>
            </w:pPr>
            <w:r w:rsidRPr="00EE4D7E">
              <w:t>cultural</w:t>
            </w:r>
          </w:p>
          <w:p w:rsidR="00000000" w:rsidRPr="00EE4D7E" w:rsidP="00EE4D7E">
            <w:pPr>
              <w:pStyle w:val="ListBullet"/>
            </w:pPr>
            <w:r w:rsidRPr="00EE4D7E">
              <w:t>financial</w:t>
            </w:r>
          </w:p>
          <w:p w:rsidR="00000000" w:rsidRPr="00EE4D7E" w:rsidP="00EE4D7E">
            <w:pPr>
              <w:pStyle w:val="ListBullet"/>
            </w:pPr>
            <w:r w:rsidRPr="00EE4D7E">
              <w:t>political</w:t>
            </w:r>
          </w:p>
          <w:p w:rsidR="00000000" w:rsidRPr="00EE4D7E" w:rsidP="00EE4D7E">
            <w:pPr>
              <w:pStyle w:val="ListBullet"/>
            </w:pPr>
            <w:r w:rsidRPr="00EE4D7E">
              <w:t xml:space="preserve">reputational (for organisations, sectors and nations) </w:t>
            </w:r>
          </w:p>
          <w:p w:rsidR="00000000" w:rsidRPr="00EE4D7E" w:rsidP="00EE4D7E">
            <w:pPr>
              <w:pStyle w:val="ListBullet"/>
            </w:pPr>
            <w:r w:rsidRPr="00EE4D7E">
              <w:t>social</w:t>
            </w:r>
          </w:p>
        </w:tc>
      </w:tr>
    </w:tbl>
    <w:p w:rsidR="00852D51" w:rsidP="00EE4D7E">
      <w:pPr>
        <w:pStyle w:val="BodyText"/>
      </w:pPr>
    </w:p>
    <w:p w:rsidR="00852D51" w:rsidP="00EE4D7E">
      <w:pPr>
        <w:pStyle w:val="BodyText"/>
      </w:pPr>
    </w:p>
    <w:p w:rsidR="00000000" w:rsidRPr="00EE4D7E" w:rsidP="00EE4D7E">
      <w:pPr>
        <w:pStyle w:val="Heading1"/>
      </w:pPr>
      <w:bookmarkStart w:id="12" w:name="O_63854"/>
      <w:bookmarkEnd w:id="12"/>
      <w:r w:rsidRPr="00EE4D7E">
        <w:t>Unit Sector(s)</w:t>
      </w:r>
    </w:p>
    <w:tbl>
      <w:tblPr>
        <w:tblW w:w="0" w:type="auto"/>
        <w:tblLayout w:type="fixed"/>
        <w:tblCellMar>
          <w:left w:w="62" w:type="dxa"/>
          <w:right w:w="62" w:type="dxa"/>
        </w:tblCellMar>
        <w:tblLook w:val="0000"/>
      </w:tblPr>
      <w:tblGrid>
        <w:gridCol w:w="2654"/>
        <w:gridCol w:w="5868"/>
      </w:tblGrid>
      <w:tr w:rsidTr="00852D5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13" w:name="O_153933"/>
      <w:bookmarkEnd w:id="13"/>
      <w:r w:rsidRPr="00EE4D7E">
        <w:t>Competency field</w:t>
      </w:r>
    </w:p>
    <w:tbl>
      <w:tblPr>
        <w:tblW w:w="0" w:type="auto"/>
        <w:tblLayout w:type="fixed"/>
        <w:tblCellMar>
          <w:left w:w="62" w:type="dxa"/>
          <w:right w:w="62" w:type="dxa"/>
        </w:tblCellMar>
        <w:tblLook w:val="0000"/>
      </w:tblPr>
      <w:tblGrid>
        <w:gridCol w:w="2774"/>
        <w:gridCol w:w="5748"/>
      </w:tblGrid>
      <w:tr w:rsidTr="00852D5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r w:rsidRPr="00EE4D7E">
              <w:t>Administration - Educational Administration</w:t>
            </w:r>
          </w:p>
        </w:tc>
      </w:tr>
    </w:tbl>
    <w:p w:rsidR="00000000" w:rsidRPr="00EE4D7E" w:rsidP="00EE4D7E">
      <w:pPr>
        <w:pStyle w:val="BodyText"/>
      </w:pPr>
    </w:p>
    <w:p w:rsidR="00000000" w:rsidRPr="00EE4D7E" w:rsidP="00EE4D7E">
      <w:pPr>
        <w:pStyle w:val="AllowPageBreak"/>
      </w:pPr>
    </w:p>
    <w:p w:rsidR="00000000" w:rsidRPr="00EE4D7E" w:rsidP="00EE4D7E">
      <w:pPr>
        <w:pStyle w:val="Heading1"/>
      </w:pPr>
      <w:bookmarkStart w:id="14" w:name="O_153932"/>
      <w:bookmarkEnd w:id="14"/>
      <w:r w:rsidRPr="00EE4D7E">
        <w:t>Co-requisite units</w:t>
      </w:r>
    </w:p>
    <w:tbl>
      <w:tblPr>
        <w:tblW w:w="0" w:type="auto"/>
        <w:tblLayout w:type="fixed"/>
        <w:tblCellMar>
          <w:left w:w="62" w:type="dxa"/>
          <w:right w:w="62" w:type="dxa"/>
        </w:tblCellMar>
        <w:tblLook w:val="0000"/>
      </w:tblPr>
      <w:tblGrid>
        <w:gridCol w:w="2641"/>
        <w:gridCol w:w="1322"/>
        <w:gridCol w:w="4559"/>
      </w:tblGrid>
      <w:tr w:rsidTr="00852D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r w:rsidRPr="00EE4D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p>
        </w:tc>
      </w:tr>
      <w:tr w:rsidTr="00852D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7E">
            <w:pPr>
              <w:pStyle w:val="BodyText"/>
              <w:rPr>
                <w:lang w:val="en-NZ"/>
              </w:rPr>
            </w:pPr>
          </w:p>
        </w:tc>
      </w:tr>
      <w:tr w:rsidTr="00852D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7E" w:rsidP="00EE4D7E">
            <w:pPr>
              <w:pStyle w:val="BodyText"/>
            </w:pPr>
          </w:p>
        </w:tc>
      </w:tr>
    </w:tbl>
    <w:p w:rsidR="00000000" w:rsidRPr="00EE4D7E" w:rsidP="00EE4D7E">
      <w:pPr>
        <w:pStyle w:val="BodyText"/>
      </w:pPr>
    </w:p>
    <w:p w:rsidR="00000000" w:rsidRPr="00EE4D7E" w:rsidP="00EE4D7E"/>
    <w:sectPr w:rsidSect="00EE4D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D51" w:rsidP="00852D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D51" w:rsidP="00EE4D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2D51" w:rsidP="00EE4D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2D51" w:rsidP="00EE4D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E" w:rsidRPr="00852D51" w:rsidP="00852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D51" w:rsidRPr="002D2AF8" w:rsidP="00EE4D7E">
    <w:pPr>
      <w:pStyle w:val="Header"/>
      <w:framePr w:wrap="around"/>
    </w:pPr>
    <w:r>
      <w:fldChar w:fldCharType="begin"/>
    </w:r>
    <w:r>
      <w:instrText xml:space="preserve"> TITLE   \* MERGEFORMAT </w:instrText>
    </w:r>
    <w:r>
      <w:fldChar w:fldCharType="separate"/>
    </w:r>
    <w:r>
      <w:t>BSBEDU701A Investigate current trends in internationalisation of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52D51" w:rsidP="00EE4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8F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21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2C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D7E"/>
    <w:pPr>
      <w:spacing w:before="360" w:after="60"/>
      <w:outlineLvl w:val="0"/>
    </w:pPr>
    <w:rPr>
      <w:sz w:val="32"/>
    </w:rPr>
  </w:style>
  <w:style w:type="paragraph" w:styleId="Heading2">
    <w:name w:val="heading 2"/>
    <w:basedOn w:val="HeadingBase"/>
    <w:next w:val="BodyText"/>
    <w:link w:val="Heading2Char"/>
    <w:qFormat/>
    <w:rsid w:val="00EE4D7E"/>
    <w:pPr>
      <w:keepLines/>
      <w:spacing w:before="240" w:after="120"/>
      <w:outlineLvl w:val="1"/>
    </w:pPr>
    <w:rPr>
      <w:sz w:val="28"/>
      <w:szCs w:val="40"/>
    </w:rPr>
  </w:style>
  <w:style w:type="paragraph" w:styleId="Heading3">
    <w:name w:val="heading 3"/>
    <w:basedOn w:val="HeadingBase"/>
    <w:next w:val="BodyText"/>
    <w:link w:val="Heading3Char"/>
    <w:qFormat/>
    <w:rsid w:val="00EE4D7E"/>
    <w:pPr>
      <w:spacing w:before="180" w:after="120"/>
      <w:outlineLvl w:val="2"/>
    </w:pPr>
    <w:rPr>
      <w:spacing w:val="-10"/>
      <w:kern w:val="32"/>
    </w:rPr>
  </w:style>
  <w:style w:type="paragraph" w:styleId="Heading4">
    <w:name w:val="heading 4"/>
    <w:basedOn w:val="HeadingBase"/>
    <w:next w:val="BodyText"/>
    <w:link w:val="Heading4Char"/>
    <w:qFormat/>
    <w:rsid w:val="00EE4D7E"/>
    <w:pPr>
      <w:spacing w:before="160" w:after="120"/>
      <w:outlineLvl w:val="3"/>
    </w:pPr>
    <w:rPr>
      <w:sz w:val="22"/>
    </w:rPr>
  </w:style>
  <w:style w:type="paragraph" w:styleId="Heading5">
    <w:name w:val="heading 5"/>
    <w:basedOn w:val="HeadingBase"/>
    <w:next w:val="Normal"/>
    <w:link w:val="Heading5Char"/>
    <w:qFormat/>
    <w:rsid w:val="00EE4D7E"/>
    <w:pPr>
      <w:spacing w:before="80"/>
      <w:outlineLvl w:val="4"/>
    </w:pPr>
    <w:rPr>
      <w:color w:val="918585"/>
      <w:sz w:val="20"/>
    </w:rPr>
  </w:style>
  <w:style w:type="paragraph" w:styleId="Heading6">
    <w:name w:val="heading 6"/>
    <w:basedOn w:val="HeadingBase"/>
    <w:next w:val="Normal"/>
    <w:link w:val="Heading6Char"/>
    <w:qFormat/>
    <w:rsid w:val="00EE4D7E"/>
    <w:pPr>
      <w:spacing w:before="60"/>
      <w:outlineLvl w:val="5"/>
    </w:pPr>
    <w:rPr>
      <w:color w:val="918585"/>
      <w:sz w:val="20"/>
    </w:rPr>
  </w:style>
  <w:style w:type="paragraph" w:styleId="Heading7">
    <w:name w:val="heading 7"/>
    <w:basedOn w:val="Normal"/>
    <w:next w:val="Normal"/>
    <w:link w:val="Heading7Char"/>
    <w:qFormat/>
    <w:rsid w:val="00EE4D7E"/>
    <w:pPr>
      <w:ind w:left="720"/>
      <w:outlineLvl w:val="6"/>
    </w:pPr>
    <w:rPr>
      <w:i/>
    </w:rPr>
  </w:style>
  <w:style w:type="paragraph" w:styleId="Heading8">
    <w:name w:val="heading 8"/>
    <w:basedOn w:val="Normal"/>
    <w:next w:val="Normal"/>
    <w:link w:val="Heading8Char"/>
    <w:qFormat/>
    <w:rsid w:val="00EE4D7E"/>
    <w:pPr>
      <w:ind w:left="720"/>
      <w:outlineLvl w:val="7"/>
    </w:pPr>
    <w:rPr>
      <w:i/>
    </w:rPr>
  </w:style>
  <w:style w:type="paragraph" w:styleId="Heading9">
    <w:name w:val="heading 9"/>
    <w:basedOn w:val="Normal"/>
    <w:next w:val="Normal"/>
    <w:link w:val="Heading9Char"/>
    <w:qFormat/>
    <w:rsid w:val="00EE4D7E"/>
    <w:pPr>
      <w:ind w:left="720"/>
      <w:outlineLvl w:val="8"/>
    </w:pPr>
    <w:rPr>
      <w:i/>
    </w:rPr>
  </w:style>
  <w:style w:type="character" w:default="1" w:styleId="DefaultParagraphFont">
    <w:name w:val="Default Paragraph Font"/>
    <w:uiPriority w:val="1"/>
    <w:unhideWhenUsed/>
    <w:rsid w:val="00EE4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D7E"/>
  </w:style>
  <w:style w:type="character" w:customStyle="1" w:styleId="Heading1Char">
    <w:name w:val="Heading 1 Char"/>
    <w:basedOn w:val="DefaultParagraphFont"/>
    <w:link w:val="Heading1"/>
    <w:rsid w:val="00EE4D7E"/>
    <w:rPr>
      <w:rFonts w:ascii="Times New Roman" w:eastAsia="Times New Roman" w:hAnsi="Times New Roman" w:cs="Times New Roman"/>
      <w:b/>
      <w:sz w:val="32"/>
      <w:szCs w:val="20"/>
      <w:lang w:eastAsia="en-US"/>
    </w:rPr>
  </w:style>
  <w:style w:type="paragraph" w:styleId="BodyText">
    <w:name w:val="Body Text"/>
    <w:basedOn w:val="Normal"/>
    <w:link w:val="BodyTextChar"/>
    <w:rsid w:val="00EE4D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D7E"/>
    <w:rPr>
      <w:rFonts w:ascii="Times New Roman" w:eastAsia="Times New Roman" w:hAnsi="Times New Roman" w:cs="Times New Roman"/>
      <w:sz w:val="24"/>
      <w:lang w:eastAsia="en-US"/>
    </w:rPr>
  </w:style>
  <w:style w:type="paragraph" w:styleId="Footer">
    <w:name w:val="footer"/>
    <w:basedOn w:val="Normal"/>
    <w:link w:val="FooterChar"/>
    <w:rsid w:val="00EE4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D7E"/>
    <w:rPr>
      <w:rFonts w:ascii="Times New Roman" w:eastAsia="Times New Roman" w:hAnsi="Times New Roman" w:cs="Times New Roman"/>
      <w:sz w:val="16"/>
      <w:lang w:eastAsia="en-US"/>
    </w:rPr>
  </w:style>
  <w:style w:type="paragraph" w:styleId="List">
    <w:name w:val="List"/>
    <w:basedOn w:val="BodyText"/>
    <w:next w:val="BodyText"/>
    <w:rsid w:val="00EE4D7E"/>
    <w:pPr>
      <w:tabs>
        <w:tab w:val="left" w:pos="340"/>
      </w:tabs>
      <w:spacing w:before="60" w:after="60"/>
      <w:ind w:left="340" w:hanging="340"/>
    </w:pPr>
  </w:style>
  <w:style w:type="paragraph" w:styleId="ListBullet">
    <w:name w:val="List Bullet"/>
    <w:basedOn w:val="List"/>
    <w:rsid w:val="00EE4D7E"/>
    <w:pPr>
      <w:numPr>
        <w:numId w:val="13"/>
      </w:numPr>
      <w:tabs>
        <w:tab w:val="clear" w:pos="340"/>
      </w:tabs>
      <w:spacing w:before="40" w:after="40"/>
    </w:pPr>
  </w:style>
  <w:style w:type="character" w:customStyle="1" w:styleId="SpecialBold">
    <w:name w:val="Special Bold"/>
    <w:basedOn w:val="DefaultParagraphFont"/>
    <w:rsid w:val="00EE4D7E"/>
    <w:rPr>
      <w:b/>
      <w:spacing w:val="0"/>
    </w:rPr>
  </w:style>
  <w:style w:type="paragraph" w:styleId="ListBullet2">
    <w:name w:val="List Bullet 2"/>
    <w:basedOn w:val="List2"/>
    <w:rsid w:val="00EE4D7E"/>
    <w:pPr>
      <w:numPr>
        <w:numId w:val="14"/>
      </w:numPr>
      <w:tabs>
        <w:tab w:val="clear" w:pos="680"/>
      </w:tabs>
    </w:pPr>
  </w:style>
  <w:style w:type="paragraph" w:customStyle="1" w:styleId="SuperHeading">
    <w:name w:val="SuperHeading"/>
    <w:basedOn w:val="Normal"/>
    <w:rsid w:val="00EE4D7E"/>
    <w:pPr>
      <w:spacing w:before="240" w:after="120"/>
      <w:outlineLvl w:val="0"/>
    </w:pPr>
    <w:rPr>
      <w:rFonts w:ascii="Times New Roman" w:hAnsi="Times New Roman"/>
      <w:b/>
      <w:sz w:val="28"/>
    </w:rPr>
  </w:style>
  <w:style w:type="paragraph" w:customStyle="1" w:styleId="AllowPageBreak">
    <w:name w:val="AllowPageBreak"/>
    <w:rsid w:val="00EE4D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D7E"/>
    <w:pPr>
      <w:tabs>
        <w:tab w:val="left" w:pos="680"/>
      </w:tabs>
      <w:spacing w:before="60" w:after="60"/>
      <w:ind w:left="680" w:hanging="340"/>
    </w:pPr>
  </w:style>
  <w:style w:type="character" w:customStyle="1" w:styleId="BoldandItalics">
    <w:name w:val="Bold and Italics"/>
    <w:qFormat/>
    <w:rsid w:val="00EE4D7E"/>
    <w:rPr>
      <w:b/>
      <w:i/>
      <w:u w:val="none"/>
    </w:rPr>
  </w:style>
  <w:style w:type="character" w:customStyle="1" w:styleId="Heading2Char">
    <w:name w:val="Heading 2 Char"/>
    <w:basedOn w:val="DefaultParagraphFont"/>
    <w:link w:val="Heading2"/>
    <w:rsid w:val="00EE4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D7E"/>
    <w:rPr>
      <w:rFonts w:ascii="Courier New" w:eastAsia="Times New Roman" w:hAnsi="Courier New" w:cs="Times New Roman"/>
      <w:i/>
      <w:szCs w:val="20"/>
      <w:lang w:eastAsia="en-US"/>
    </w:rPr>
  </w:style>
  <w:style w:type="paragraph" w:customStyle="1" w:styleId="HeadingBase">
    <w:name w:val="Heading Base"/>
    <w:rsid w:val="00EE4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D7E"/>
    <w:pPr>
      <w:tabs>
        <w:tab w:val="right" w:leader="dot" w:pos="9072"/>
      </w:tabs>
      <w:ind w:left="567"/>
    </w:pPr>
    <w:rPr>
      <w:szCs w:val="22"/>
    </w:rPr>
  </w:style>
  <w:style w:type="paragraph" w:customStyle="1" w:styleId="TOCBase">
    <w:name w:val="TOC Base"/>
    <w:rsid w:val="00EE4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D7E"/>
    <w:pPr>
      <w:tabs>
        <w:tab w:val="right" w:leader="dot" w:pos="9072"/>
      </w:tabs>
      <w:spacing w:before="40" w:after="40"/>
      <w:ind w:left="284"/>
    </w:pPr>
    <w:rPr>
      <w:rFonts w:ascii="Times New Roman" w:hAnsi="Times New Roman"/>
    </w:rPr>
  </w:style>
  <w:style w:type="paragraph" w:styleId="TOC1">
    <w:name w:val="toc 1"/>
    <w:basedOn w:val="TOCBase"/>
    <w:next w:val="Normal"/>
    <w:rsid w:val="00EE4D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D7E"/>
    <w:pPr>
      <w:spacing w:before="5040"/>
      <w:jc w:val="center"/>
    </w:pPr>
    <w:rPr>
      <w:sz w:val="48"/>
      <w:szCs w:val="72"/>
      <w:lang w:val="en-US"/>
    </w:rPr>
  </w:style>
  <w:style w:type="character" w:customStyle="1" w:styleId="TitleChar">
    <w:name w:val="Title Char"/>
    <w:basedOn w:val="DefaultParagraphFont"/>
    <w:link w:val="Title"/>
    <w:rsid w:val="00EE4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D7E"/>
    <w:pPr>
      <w:tabs>
        <w:tab w:val="left" w:pos="3600"/>
        <w:tab w:val="left" w:pos="3958"/>
      </w:tabs>
    </w:pPr>
  </w:style>
  <w:style w:type="paragraph" w:customStyle="1" w:styleId="Note">
    <w:name w:val="Note"/>
    <w:basedOn w:val="BodyText"/>
    <w:rsid w:val="00EE4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D7E"/>
    <w:pPr>
      <w:framePr w:wrap="auto" w:hAnchor="text" w:y="6049"/>
    </w:pPr>
    <w:rPr>
      <w:color w:val="000000"/>
      <w:sz w:val="40"/>
    </w:rPr>
  </w:style>
  <w:style w:type="paragraph" w:customStyle="1" w:styleId="TOCTitle">
    <w:name w:val="TOCTitle"/>
    <w:basedOn w:val="Heading1"/>
    <w:rsid w:val="00EE4D7E"/>
    <w:pPr>
      <w:spacing w:after="240"/>
      <w:jc w:val="center"/>
      <w:outlineLvl w:val="9"/>
    </w:pPr>
    <w:rPr>
      <w:caps/>
    </w:rPr>
  </w:style>
  <w:style w:type="paragraph" w:customStyle="1" w:styleId="Version">
    <w:name w:val="Version"/>
    <w:rsid w:val="00EE4D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D7E"/>
    <w:pPr>
      <w:keepNext w:val="0"/>
      <w:tabs>
        <w:tab w:val="right" w:pos="4176"/>
      </w:tabs>
      <w:ind w:left="198" w:hanging="198"/>
    </w:pPr>
    <w:rPr>
      <w:rFonts w:ascii="Garamond" w:hAnsi="Garamond"/>
    </w:rPr>
  </w:style>
  <w:style w:type="paragraph" w:styleId="IndexHeading">
    <w:name w:val="index heading"/>
    <w:basedOn w:val="Normal"/>
    <w:next w:val="Index1"/>
    <w:semiHidden/>
    <w:rsid w:val="00EE4D7E"/>
    <w:pPr>
      <w:spacing w:before="120" w:after="120"/>
    </w:pPr>
    <w:rPr>
      <w:rFonts w:ascii="Arial" w:hAnsi="Arial"/>
      <w:b/>
      <w:color w:val="918585"/>
      <w:sz w:val="24"/>
    </w:rPr>
  </w:style>
  <w:style w:type="paragraph" w:styleId="Header">
    <w:name w:val="header"/>
    <w:basedOn w:val="Normal"/>
    <w:link w:val="HeaderChar"/>
    <w:rsid w:val="00EE4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D7E"/>
    <w:rPr>
      <w:rFonts w:ascii="Times New Roman" w:eastAsia="Times New Roman" w:hAnsi="Times New Roman" w:cs="Times New Roman"/>
      <w:sz w:val="16"/>
      <w:szCs w:val="20"/>
      <w:lang w:val="en-GB" w:eastAsia="en-US"/>
    </w:rPr>
  </w:style>
  <w:style w:type="paragraph" w:customStyle="1" w:styleId="Chapter">
    <w:name w:val="Chapter"/>
    <w:basedOn w:val="Normal"/>
    <w:rsid w:val="00EE4D7E"/>
    <w:pPr>
      <w:spacing w:before="240"/>
    </w:pPr>
    <w:rPr>
      <w:rFonts w:ascii="Times New Roman" w:hAnsi="Times New Roman"/>
      <w:smallCaps/>
      <w:spacing w:val="80"/>
      <w:sz w:val="28"/>
    </w:rPr>
  </w:style>
  <w:style w:type="paragraph" w:customStyle="1" w:styleId="InChapter">
    <w:name w:val="InChapter"/>
    <w:basedOn w:val="Heading3"/>
    <w:rsid w:val="00EE4D7E"/>
    <w:pPr>
      <w:spacing w:after="240"/>
      <w:outlineLvl w:val="9"/>
    </w:pPr>
    <w:rPr>
      <w:noProof/>
    </w:rPr>
  </w:style>
  <w:style w:type="paragraph" w:styleId="Index2">
    <w:name w:val="index 2"/>
    <w:basedOn w:val="Normal"/>
    <w:next w:val="Normal"/>
    <w:semiHidden/>
    <w:rsid w:val="00EE4D7E"/>
    <w:pPr>
      <w:tabs>
        <w:tab w:val="right" w:pos="4176"/>
      </w:tabs>
      <w:ind w:left="568" w:hanging="284"/>
    </w:pPr>
    <w:rPr>
      <w:rFonts w:ascii="Garamond" w:hAnsi="Garamond"/>
    </w:rPr>
  </w:style>
  <w:style w:type="paragraph" w:customStyle="1" w:styleId="Byline">
    <w:name w:val="Byline"/>
    <w:rsid w:val="00EE4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D7E"/>
    <w:pPr>
      <w:tabs>
        <w:tab w:val="clear" w:pos="3600"/>
        <w:tab w:val="clear" w:pos="3958"/>
      </w:tabs>
      <w:jc w:val="right"/>
    </w:pPr>
  </w:style>
  <w:style w:type="character" w:styleId="Emphasis">
    <w:name w:val="Emphasis"/>
    <w:basedOn w:val="DefaultParagraphFont"/>
    <w:qFormat/>
    <w:rsid w:val="00EE4D7E"/>
    <w:rPr>
      <w:i/>
    </w:rPr>
  </w:style>
  <w:style w:type="paragraph" w:styleId="Caption">
    <w:name w:val="caption"/>
    <w:basedOn w:val="BodyText"/>
    <w:next w:val="Normal"/>
    <w:qFormat/>
    <w:rsid w:val="00EE4D7E"/>
    <w:pPr>
      <w:framePr w:w="2268" w:hSpace="181" w:vSpace="181" w:wrap="around" w:vAnchor="text" w:hAnchor="page" w:x="1135" w:y="285" w:anchorLock="1"/>
    </w:pPr>
    <w:rPr>
      <w:i/>
    </w:rPr>
  </w:style>
  <w:style w:type="paragraph" w:customStyle="1" w:styleId="MiniTOCTitle">
    <w:name w:val="MiniTOCTitle"/>
    <w:basedOn w:val="Heading4"/>
    <w:rsid w:val="00EE4D7E"/>
    <w:pPr>
      <w:spacing w:before="240"/>
      <w:outlineLvl w:val="9"/>
    </w:pPr>
    <w:rPr>
      <w:noProof/>
      <w:sz w:val="24"/>
    </w:rPr>
  </w:style>
  <w:style w:type="paragraph" w:customStyle="1" w:styleId="MiniTOCItem">
    <w:name w:val="MiniTOCItem"/>
    <w:basedOn w:val="ListBullet"/>
    <w:rsid w:val="00EE4D7E"/>
    <w:pPr>
      <w:numPr>
        <w:numId w:val="0"/>
      </w:numPr>
      <w:tabs>
        <w:tab w:val="right" w:leader="dot" w:pos="6521"/>
      </w:tabs>
      <w:spacing w:before="0" w:after="0"/>
    </w:pPr>
  </w:style>
  <w:style w:type="paragraph" w:customStyle="1" w:styleId="TOFTitle">
    <w:name w:val="TOFTitle"/>
    <w:basedOn w:val="TOCTitle"/>
    <w:rsid w:val="00EE4D7E"/>
  </w:style>
  <w:style w:type="paragraph" w:styleId="TableofFigures">
    <w:name w:val="table of figures"/>
    <w:basedOn w:val="Normal"/>
    <w:next w:val="Normal"/>
    <w:semiHidden/>
    <w:rsid w:val="00EE4D7E"/>
    <w:pPr>
      <w:tabs>
        <w:tab w:val="right" w:leader="dot" w:pos="9072"/>
      </w:tabs>
      <w:ind w:left="970" w:hanging="403"/>
    </w:pPr>
    <w:rPr>
      <w:rFonts w:ascii="Times New Roman" w:hAnsi="Times New Roman"/>
      <w:b/>
    </w:rPr>
  </w:style>
  <w:style w:type="paragraph" w:styleId="ListNumber">
    <w:name w:val="List Number"/>
    <w:basedOn w:val="List"/>
    <w:rsid w:val="00EE4D7E"/>
    <w:pPr>
      <w:numPr>
        <w:numId w:val="11"/>
      </w:numPr>
    </w:pPr>
  </w:style>
  <w:style w:type="character" w:customStyle="1" w:styleId="WingdingSymbols">
    <w:name w:val="Wingding Symbols"/>
    <w:rsid w:val="00EE4D7E"/>
    <w:rPr>
      <w:rFonts w:ascii="Wingdings" w:hAnsi="Wingdings"/>
    </w:rPr>
  </w:style>
  <w:style w:type="paragraph" w:customStyle="1" w:styleId="TableHeading">
    <w:name w:val="Table Heading"/>
    <w:basedOn w:val="HeadingBase"/>
    <w:rsid w:val="00EE4D7E"/>
    <w:pPr>
      <w:keepLines/>
      <w:pBdr>
        <w:bottom w:val="single" w:sz="6" w:space="1" w:color="918585"/>
      </w:pBdr>
      <w:spacing w:before="240"/>
    </w:pPr>
  </w:style>
  <w:style w:type="character" w:customStyle="1" w:styleId="HotSpot">
    <w:name w:val="HotSpot"/>
    <w:rsid w:val="00EE4D7E"/>
    <w:rPr>
      <w:color w:val="0033CC"/>
      <w:u w:val="none"/>
    </w:rPr>
  </w:style>
  <w:style w:type="paragraph" w:customStyle="1" w:styleId="BodyTextRight">
    <w:name w:val="Body Text Right"/>
    <w:basedOn w:val="BodyText"/>
    <w:rsid w:val="00EE4D7E"/>
    <w:pPr>
      <w:spacing w:before="0" w:after="0"/>
      <w:jc w:val="right"/>
    </w:pPr>
  </w:style>
  <w:style w:type="paragraph" w:styleId="Index3">
    <w:name w:val="index 3"/>
    <w:basedOn w:val="ListNumber2"/>
    <w:next w:val="Normal"/>
    <w:semiHidden/>
    <w:rsid w:val="00EE4D7E"/>
    <w:pPr>
      <w:numPr>
        <w:numId w:val="0"/>
      </w:numPr>
      <w:tabs>
        <w:tab w:val="right" w:leader="dot" w:pos="4176"/>
      </w:tabs>
    </w:pPr>
  </w:style>
  <w:style w:type="paragraph" w:styleId="ListNumber2">
    <w:name w:val="List Number 2"/>
    <w:basedOn w:val="List2"/>
    <w:rsid w:val="00EE4D7E"/>
    <w:pPr>
      <w:numPr>
        <w:numId w:val="10"/>
      </w:numPr>
      <w:tabs>
        <w:tab w:val="clear" w:pos="1060"/>
      </w:tabs>
    </w:pPr>
  </w:style>
  <w:style w:type="paragraph" w:customStyle="1" w:styleId="MarginNote">
    <w:name w:val="Margin Note"/>
    <w:basedOn w:val="BodyText"/>
    <w:rsid w:val="00EE4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D7E"/>
    <w:rPr>
      <w:sz w:val="32"/>
    </w:rPr>
  </w:style>
  <w:style w:type="paragraph" w:customStyle="1" w:styleId="HeadingProcedure">
    <w:name w:val="Heading Procedure"/>
    <w:basedOn w:val="HeadingBase"/>
    <w:next w:val="Normal"/>
    <w:rsid w:val="00EE4D7E"/>
    <w:pPr>
      <w:tabs>
        <w:tab w:val="left" w:pos="0"/>
      </w:tabs>
      <w:spacing w:before="120" w:after="60"/>
    </w:pPr>
    <w:rPr>
      <w:i/>
      <w:color w:val="918585"/>
      <w:sz w:val="22"/>
    </w:rPr>
  </w:style>
  <w:style w:type="paragraph" w:customStyle="1" w:styleId="TableBodyText">
    <w:name w:val="Table Body Text"/>
    <w:basedOn w:val="BodyText"/>
    <w:rsid w:val="00EE4D7E"/>
    <w:pPr>
      <w:spacing w:before="60" w:after="60"/>
    </w:pPr>
  </w:style>
  <w:style w:type="paragraph" w:styleId="ListContinue">
    <w:name w:val="List Continue"/>
    <w:basedOn w:val="List"/>
    <w:rsid w:val="00EE4D7E"/>
    <w:pPr>
      <w:ind w:firstLine="0"/>
    </w:pPr>
  </w:style>
  <w:style w:type="paragraph" w:customStyle="1" w:styleId="ListNote">
    <w:name w:val="List Note"/>
    <w:basedOn w:val="List"/>
    <w:rsid w:val="00EE4D7E"/>
    <w:pPr>
      <w:pBdr>
        <w:top w:val="single" w:sz="6" w:space="2" w:color="918585"/>
        <w:bottom w:val="single" w:sz="6" w:space="2" w:color="918585"/>
      </w:pBdr>
      <w:tabs>
        <w:tab w:val="left" w:pos="1021"/>
      </w:tabs>
      <w:ind w:firstLine="0"/>
    </w:pPr>
  </w:style>
  <w:style w:type="paragraph" w:customStyle="1" w:styleId="Warning">
    <w:name w:val="Warning"/>
    <w:basedOn w:val="BodyText"/>
    <w:rsid w:val="00EE4D7E"/>
    <w:pPr>
      <w:shd w:val="clear" w:color="auto" w:fill="D9D9D9"/>
      <w:tabs>
        <w:tab w:val="left" w:pos="992"/>
      </w:tabs>
      <w:ind w:left="119" w:right="119"/>
    </w:pPr>
    <w:rPr>
      <w:sz w:val="20"/>
    </w:rPr>
  </w:style>
  <w:style w:type="paragraph" w:customStyle="1" w:styleId="MarginIcons">
    <w:name w:val="Margin Icons"/>
    <w:basedOn w:val="BodyText"/>
    <w:rsid w:val="00EE4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D7E"/>
    <w:rPr>
      <w:rFonts w:ascii="Courier New" w:hAnsi="Courier New"/>
    </w:rPr>
  </w:style>
  <w:style w:type="paragraph" w:customStyle="1" w:styleId="NoteBullet">
    <w:name w:val="Note Bullet"/>
    <w:basedOn w:val="Note"/>
    <w:rsid w:val="00EE4D7E"/>
    <w:pPr>
      <w:tabs>
        <w:tab w:val="clear" w:pos="680"/>
      </w:tabs>
      <w:spacing w:before="60" w:after="60"/>
    </w:pPr>
  </w:style>
  <w:style w:type="paragraph" w:customStyle="1" w:styleId="SubHeading2">
    <w:name w:val="SubHeading2"/>
    <w:basedOn w:val="HeadingBase"/>
    <w:rsid w:val="00EE4D7E"/>
    <w:pPr>
      <w:spacing w:before="240" w:after="60"/>
    </w:pPr>
    <w:rPr>
      <w:sz w:val="20"/>
    </w:rPr>
  </w:style>
  <w:style w:type="paragraph" w:customStyle="1" w:styleId="SubHeading1">
    <w:name w:val="SubHeading1"/>
    <w:basedOn w:val="HeadingBase"/>
    <w:rsid w:val="00EE4D7E"/>
    <w:pPr>
      <w:spacing w:before="240" w:after="60"/>
    </w:pPr>
    <w:rPr>
      <w:color w:val="918585"/>
      <w:sz w:val="22"/>
    </w:rPr>
  </w:style>
  <w:style w:type="paragraph" w:customStyle="1" w:styleId="SideHeading">
    <w:name w:val="Side Heading"/>
    <w:basedOn w:val="HeadingBase"/>
    <w:rsid w:val="00EE4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D7E"/>
    <w:pPr>
      <w:numPr>
        <w:numId w:val="12"/>
      </w:numPr>
    </w:pPr>
  </w:style>
  <w:style w:type="paragraph" w:styleId="PlainText">
    <w:name w:val="Plain Text"/>
    <w:basedOn w:val="Normal"/>
    <w:link w:val="PlainTextChar"/>
    <w:rsid w:val="00EE4D7E"/>
    <w:rPr>
      <w:sz w:val="20"/>
    </w:rPr>
  </w:style>
  <w:style w:type="character" w:customStyle="1" w:styleId="PlainTextChar">
    <w:name w:val="Plain Text Char"/>
    <w:basedOn w:val="DefaultParagraphFont"/>
    <w:link w:val="PlainText"/>
    <w:rsid w:val="00EE4D7E"/>
    <w:rPr>
      <w:rFonts w:ascii="Courier New" w:eastAsia="Times New Roman" w:hAnsi="Courier New" w:cs="Times New Roman"/>
      <w:sz w:val="20"/>
      <w:szCs w:val="20"/>
      <w:lang w:eastAsia="en-US"/>
    </w:rPr>
  </w:style>
  <w:style w:type="character" w:customStyle="1" w:styleId="MenuOption">
    <w:name w:val="Menu Option"/>
    <w:basedOn w:val="DefaultParagraphFont"/>
    <w:rsid w:val="00EE4D7E"/>
    <w:rPr>
      <w:b/>
      <w:smallCaps/>
    </w:rPr>
  </w:style>
  <w:style w:type="paragraph" w:customStyle="1" w:styleId="TableListNumber">
    <w:name w:val="Table List Number"/>
    <w:basedOn w:val="ListNumber"/>
    <w:rsid w:val="00EE4D7E"/>
    <w:pPr>
      <w:numPr>
        <w:numId w:val="0"/>
      </w:numPr>
    </w:pPr>
  </w:style>
  <w:style w:type="paragraph" w:styleId="TOC4">
    <w:name w:val="toc 4"/>
    <w:basedOn w:val="TOCBase"/>
    <w:next w:val="Normal"/>
    <w:semiHidden/>
    <w:rsid w:val="00EE4D7E"/>
    <w:pPr>
      <w:tabs>
        <w:tab w:val="right" w:leader="dot" w:pos="9071"/>
      </w:tabs>
      <w:ind w:left="1701"/>
    </w:pPr>
  </w:style>
  <w:style w:type="paragraph" w:customStyle="1" w:styleId="ListAlpha">
    <w:name w:val="List Alpha"/>
    <w:basedOn w:val="List"/>
    <w:rsid w:val="00EE4D7E"/>
    <w:pPr>
      <w:numPr>
        <w:numId w:val="9"/>
      </w:numPr>
    </w:pPr>
  </w:style>
  <w:style w:type="paragraph" w:customStyle="1" w:styleId="ListAlpha2">
    <w:name w:val="List Alpha 2"/>
    <w:basedOn w:val="List2"/>
    <w:rsid w:val="00EE4D7E"/>
    <w:pPr>
      <w:numPr>
        <w:numId w:val="8"/>
      </w:numPr>
    </w:pPr>
  </w:style>
  <w:style w:type="paragraph" w:styleId="List3">
    <w:name w:val="List 3"/>
    <w:basedOn w:val="BodyText"/>
    <w:rsid w:val="00EE4D7E"/>
    <w:pPr>
      <w:tabs>
        <w:tab w:val="left" w:pos="1021"/>
      </w:tabs>
      <w:spacing w:before="60" w:after="60"/>
      <w:ind w:left="1020" w:hanging="340"/>
    </w:pPr>
  </w:style>
  <w:style w:type="paragraph" w:styleId="List4">
    <w:name w:val="List 4"/>
    <w:basedOn w:val="BodyText"/>
    <w:rsid w:val="00EE4D7E"/>
    <w:pPr>
      <w:tabs>
        <w:tab w:val="left" w:pos="1361"/>
      </w:tabs>
      <w:spacing w:before="60" w:after="60"/>
      <w:ind w:left="1361" w:hanging="340"/>
    </w:pPr>
  </w:style>
  <w:style w:type="paragraph" w:styleId="List5">
    <w:name w:val="List 5"/>
    <w:basedOn w:val="BodyText"/>
    <w:rsid w:val="00EE4D7E"/>
    <w:pPr>
      <w:tabs>
        <w:tab w:val="left" w:pos="1701"/>
      </w:tabs>
      <w:spacing w:before="60" w:after="60"/>
      <w:ind w:left="1701" w:hanging="340"/>
    </w:pPr>
  </w:style>
  <w:style w:type="paragraph" w:styleId="ListBullet3">
    <w:name w:val="List Bullet 3"/>
    <w:basedOn w:val="List3"/>
    <w:rsid w:val="00EE4D7E"/>
    <w:pPr>
      <w:numPr>
        <w:numId w:val="15"/>
      </w:numPr>
      <w:tabs>
        <w:tab w:val="clear" w:pos="1021"/>
      </w:tabs>
      <w:ind w:left="1037" w:hanging="357"/>
    </w:pPr>
  </w:style>
  <w:style w:type="paragraph" w:styleId="ListBullet4">
    <w:name w:val="List Bullet 4"/>
    <w:basedOn w:val="List4"/>
    <w:rsid w:val="00EE4D7E"/>
    <w:pPr>
      <w:numPr>
        <w:numId w:val="3"/>
      </w:numPr>
    </w:pPr>
  </w:style>
  <w:style w:type="paragraph" w:styleId="ListBullet5">
    <w:name w:val="List Bullet 5"/>
    <w:basedOn w:val="List5"/>
    <w:rsid w:val="00EE4D7E"/>
    <w:pPr>
      <w:numPr>
        <w:numId w:val="4"/>
      </w:numPr>
    </w:pPr>
  </w:style>
  <w:style w:type="paragraph" w:styleId="ListContinue2">
    <w:name w:val="List Continue 2"/>
    <w:basedOn w:val="List2"/>
    <w:rsid w:val="00EE4D7E"/>
    <w:pPr>
      <w:ind w:firstLine="0"/>
    </w:pPr>
  </w:style>
  <w:style w:type="paragraph" w:styleId="ListContinue3">
    <w:name w:val="List Continue 3"/>
    <w:basedOn w:val="List3"/>
    <w:rsid w:val="00EE4D7E"/>
    <w:pPr>
      <w:ind w:left="1021" w:firstLine="0"/>
    </w:pPr>
  </w:style>
  <w:style w:type="paragraph" w:styleId="ListContinue4">
    <w:name w:val="List Continue 4"/>
    <w:basedOn w:val="List4"/>
    <w:rsid w:val="00EE4D7E"/>
    <w:pPr>
      <w:ind w:firstLine="0"/>
    </w:pPr>
  </w:style>
  <w:style w:type="paragraph" w:styleId="ListContinue5">
    <w:name w:val="List Continue 5"/>
    <w:basedOn w:val="List5"/>
    <w:rsid w:val="00EE4D7E"/>
    <w:pPr>
      <w:ind w:firstLine="0"/>
    </w:pPr>
  </w:style>
  <w:style w:type="paragraph" w:styleId="ListNumber3">
    <w:name w:val="List Number 3"/>
    <w:basedOn w:val="List3"/>
    <w:rsid w:val="00EE4D7E"/>
    <w:pPr>
      <w:numPr>
        <w:numId w:val="5"/>
      </w:numPr>
    </w:pPr>
  </w:style>
  <w:style w:type="paragraph" w:styleId="ListNumber4">
    <w:name w:val="List Number 4"/>
    <w:basedOn w:val="List4"/>
    <w:rsid w:val="00EE4D7E"/>
    <w:pPr>
      <w:numPr>
        <w:numId w:val="6"/>
      </w:numPr>
    </w:pPr>
  </w:style>
  <w:style w:type="paragraph" w:styleId="ListNumber5">
    <w:name w:val="List Number 5"/>
    <w:basedOn w:val="List5"/>
    <w:rsid w:val="00EE4D7E"/>
    <w:pPr>
      <w:numPr>
        <w:numId w:val="7"/>
      </w:numPr>
    </w:pPr>
  </w:style>
  <w:style w:type="paragraph" w:styleId="BlockText">
    <w:name w:val="Block Text"/>
    <w:basedOn w:val="Normal"/>
    <w:rsid w:val="00EE4D7E"/>
    <w:pPr>
      <w:spacing w:after="120"/>
      <w:ind w:left="1440" w:right="1440"/>
    </w:pPr>
  </w:style>
  <w:style w:type="character" w:customStyle="1" w:styleId="Subscript">
    <w:name w:val="Subscript"/>
    <w:basedOn w:val="DefaultParagraphFont"/>
    <w:rsid w:val="00EE4D7E"/>
    <w:rPr>
      <w:sz w:val="16"/>
      <w:vertAlign w:val="subscript"/>
    </w:rPr>
  </w:style>
  <w:style w:type="character" w:customStyle="1" w:styleId="Superscript">
    <w:name w:val="Superscript"/>
    <w:basedOn w:val="DefaultParagraphFont"/>
    <w:rsid w:val="00EE4D7E"/>
    <w:rPr>
      <w:sz w:val="16"/>
      <w:vertAlign w:val="superscript"/>
    </w:rPr>
  </w:style>
  <w:style w:type="character" w:customStyle="1" w:styleId="Symbols">
    <w:name w:val="Symbols"/>
    <w:basedOn w:val="DefaultParagraphFont"/>
    <w:rsid w:val="00EE4D7E"/>
    <w:rPr>
      <w:rFonts w:ascii="Symbol" w:hAnsi="Symbol"/>
    </w:rPr>
  </w:style>
  <w:style w:type="character" w:customStyle="1" w:styleId="MenuOptions">
    <w:name w:val="Menu Options"/>
    <w:basedOn w:val="DefaultParagraphFont"/>
    <w:rsid w:val="00EE4D7E"/>
    <w:rPr>
      <w:rFonts w:ascii="Arial Narrow" w:hAnsi="Arial Narrow"/>
      <w:smallCaps/>
    </w:rPr>
  </w:style>
  <w:style w:type="character" w:customStyle="1" w:styleId="Buttons">
    <w:name w:val="Buttons"/>
    <w:basedOn w:val="DefaultParagraphFont"/>
    <w:rsid w:val="00EE4D7E"/>
    <w:rPr>
      <w:b/>
    </w:rPr>
  </w:style>
  <w:style w:type="character" w:customStyle="1" w:styleId="Underlined">
    <w:name w:val="Underlined"/>
    <w:basedOn w:val="DefaultParagraphFont"/>
    <w:rsid w:val="00EE4D7E"/>
    <w:rPr>
      <w:u w:val="single"/>
    </w:rPr>
  </w:style>
  <w:style w:type="paragraph" w:customStyle="1" w:styleId="TableBodyTextRight">
    <w:name w:val="Table Body Text Right"/>
    <w:basedOn w:val="TableBodyText"/>
    <w:rsid w:val="00EE4D7E"/>
    <w:pPr>
      <w:widowControl w:val="0"/>
      <w:autoSpaceDE w:val="0"/>
      <w:autoSpaceDN w:val="0"/>
      <w:adjustRightInd w:val="0"/>
      <w:jc w:val="right"/>
    </w:pPr>
    <w:rPr>
      <w:rFonts w:cs="Arial"/>
      <w:szCs w:val="18"/>
    </w:rPr>
  </w:style>
  <w:style w:type="paragraph" w:customStyle="1" w:styleId="CopyrightText">
    <w:name w:val="Copyright Text"/>
    <w:basedOn w:val="BodyText"/>
    <w:rsid w:val="00EE4D7E"/>
    <w:rPr>
      <w:sz w:val="18"/>
    </w:rPr>
  </w:style>
  <w:style w:type="paragraph" w:customStyle="1" w:styleId="BodySmallRight">
    <w:name w:val="Body Small Right"/>
    <w:basedOn w:val="BodyTextRight"/>
    <w:rsid w:val="00EE4D7E"/>
    <w:rPr>
      <w:sz w:val="18"/>
      <w:szCs w:val="18"/>
    </w:rPr>
  </w:style>
  <w:style w:type="paragraph" w:customStyle="1" w:styleId="MarginEdition">
    <w:name w:val="Margin Edition"/>
    <w:basedOn w:val="MarginNote"/>
    <w:rsid w:val="00EE4D7E"/>
    <w:pPr>
      <w:spacing w:before="0" w:after="0"/>
    </w:pPr>
    <w:rPr>
      <w:rFonts w:ascii="Times New Roman" w:hAnsi="Times New Roman"/>
      <w:color w:val="999999"/>
    </w:rPr>
  </w:style>
  <w:style w:type="paragraph" w:customStyle="1" w:styleId="Spacer">
    <w:name w:val="Spacer"/>
    <w:basedOn w:val="Normal"/>
    <w:rsid w:val="00EE4D7E"/>
    <w:rPr>
      <w:sz w:val="2"/>
      <w:szCs w:val="2"/>
    </w:rPr>
  </w:style>
  <w:style w:type="character" w:customStyle="1" w:styleId="Small">
    <w:name w:val="Small"/>
    <w:basedOn w:val="DefaultParagraphFont"/>
    <w:rsid w:val="00EE4D7E"/>
    <w:rPr>
      <w:sz w:val="16"/>
    </w:rPr>
  </w:style>
  <w:style w:type="paragraph" w:customStyle="1" w:styleId="WideTable">
    <w:name w:val="Wide Table"/>
    <w:basedOn w:val="Normal"/>
    <w:rsid w:val="00EE4D7E"/>
    <w:pPr>
      <w:ind w:left="-1418"/>
    </w:pPr>
    <w:rPr>
      <w:sz w:val="2"/>
      <w:szCs w:val="2"/>
    </w:rPr>
  </w:style>
  <w:style w:type="character" w:styleId="PageNumber">
    <w:name w:val="page number"/>
    <w:basedOn w:val="DefaultParagraphFont"/>
    <w:rsid w:val="00EE4D7E"/>
  </w:style>
  <w:style w:type="paragraph" w:styleId="Quote">
    <w:name w:val="Quote"/>
    <w:basedOn w:val="Heading1"/>
    <w:link w:val="QuoteChar"/>
    <w:qFormat/>
    <w:rsid w:val="00EE4D7E"/>
    <w:rPr>
      <w:b w:val="0"/>
      <w:sz w:val="72"/>
      <w:szCs w:val="72"/>
      <w:lang w:val="en-NZ"/>
    </w:rPr>
  </w:style>
  <w:style w:type="character" w:customStyle="1" w:styleId="QuoteChar">
    <w:name w:val="Quote Char"/>
    <w:basedOn w:val="DefaultParagraphFont"/>
    <w:link w:val="Quote"/>
    <w:rsid w:val="00EE4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D7E"/>
    <w:pPr>
      <w:pageBreakBefore/>
    </w:pPr>
  </w:style>
  <w:style w:type="paragraph" w:customStyle="1" w:styleId="Border">
    <w:name w:val="Border"/>
    <w:basedOn w:val="Normal"/>
    <w:qFormat/>
    <w:rsid w:val="00EE4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D7E"/>
    <w:rPr>
      <w:b/>
      <w:bCs/>
      <w:i/>
      <w:iCs/>
      <w:color w:val="auto"/>
    </w:rPr>
  </w:style>
  <w:style w:type="paragraph" w:styleId="IntenseQuote">
    <w:name w:val="Intense Quote"/>
    <w:basedOn w:val="Normal"/>
    <w:next w:val="Normal"/>
    <w:link w:val="IntenseQuoteChar"/>
    <w:uiPriority w:val="30"/>
    <w:qFormat/>
    <w:rsid w:val="00EE4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D7E"/>
    <w:rPr>
      <w:smallCaps/>
      <w:color w:val="auto"/>
      <w:u w:val="single"/>
    </w:rPr>
  </w:style>
  <w:style w:type="character" w:styleId="IntenseReference">
    <w:name w:val="Intense Reference"/>
    <w:basedOn w:val="DefaultParagraphFont"/>
    <w:uiPriority w:val="32"/>
    <w:qFormat/>
    <w:rsid w:val="00EE4D7E"/>
    <w:rPr>
      <w:b/>
      <w:bCs/>
      <w:smallCaps/>
      <w:color w:val="auto"/>
      <w:spacing w:val="5"/>
      <w:u w:val="single"/>
    </w:rPr>
  </w:style>
  <w:style w:type="paragraph" w:customStyle="1" w:styleId="2ColumnHeading">
    <w:name w:val="2Column Heading"/>
    <w:basedOn w:val="BodyText"/>
    <w:qFormat/>
    <w:rsid w:val="00EE4D7E"/>
    <w:pPr>
      <w:spacing w:after="60"/>
      <w:ind w:left="-2268"/>
    </w:pPr>
    <w:rPr>
      <w:b/>
    </w:rPr>
  </w:style>
  <w:style w:type="paragraph" w:customStyle="1" w:styleId="Heading1TOC">
    <w:name w:val="Heading1 TOC"/>
    <w:basedOn w:val="Normal"/>
    <w:qFormat/>
    <w:rsid w:val="00EE4D7E"/>
    <w:pPr>
      <w:spacing w:before="240" w:after="120"/>
    </w:pPr>
    <w:rPr>
      <w:rFonts w:ascii="Times New Roman" w:hAnsi="Times New Roman"/>
      <w:b/>
      <w:sz w:val="32"/>
    </w:rPr>
  </w:style>
  <w:style w:type="paragraph" w:customStyle="1" w:styleId="Heading2TOC">
    <w:name w:val="Heading2 TOC"/>
    <w:basedOn w:val="Normal"/>
    <w:qFormat/>
    <w:rsid w:val="00EE4D7E"/>
    <w:pPr>
      <w:spacing w:before="240" w:after="60"/>
    </w:pPr>
    <w:rPr>
      <w:rFonts w:ascii="Times New Roman" w:hAnsi="Times New Roman"/>
      <w:b/>
      <w:sz w:val="28"/>
    </w:rPr>
  </w:style>
  <w:style w:type="character" w:customStyle="1" w:styleId="Underline">
    <w:name w:val="Underline"/>
    <w:basedOn w:val="DefaultParagraphFont"/>
    <w:qFormat/>
    <w:rsid w:val="00EE4D7E"/>
    <w:rPr>
      <w:u w:val="single"/>
    </w:rPr>
  </w:style>
  <w:style w:type="paragraph" w:styleId="BalloonText">
    <w:name w:val="Balloon Text"/>
    <w:basedOn w:val="Normal"/>
    <w:link w:val="BalloonTextChar"/>
    <w:rsid w:val="00EE4D7E"/>
    <w:rPr>
      <w:rFonts w:ascii="Tahoma" w:hAnsi="Tahoma" w:cs="Tahoma"/>
      <w:sz w:val="16"/>
      <w:szCs w:val="16"/>
    </w:rPr>
  </w:style>
  <w:style w:type="character" w:customStyle="1" w:styleId="BalloonTextChar">
    <w:name w:val="Balloon Text Char"/>
    <w:basedOn w:val="DefaultParagraphFont"/>
    <w:link w:val="BalloonText"/>
    <w:rsid w:val="00EE4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D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D7E"/>
    <w:rPr>
      <w:b/>
      <w:color w:val="660033"/>
      <w:spacing w:val="0"/>
    </w:rPr>
  </w:style>
  <w:style w:type="paragraph" w:customStyle="1" w:styleId="Nameditemlist">
    <w:name w:val="Named item list"/>
    <w:basedOn w:val="BodyText"/>
    <w:qFormat/>
    <w:rsid w:val="00EE4D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1438</Words>
  <Characters>9568</Characters>
  <Application>Microsoft Office Word</Application>
  <DocSecurity>0</DocSecurity>
  <Lines>339</Lines>
  <Paragraphs>166</Paragraphs>
  <ScaleCrop>false</ScaleCrop>
  <Company>Author-it Software Corporation Ltd.</Company>
  <LinksUpToDate>false</LinksUpToDate>
  <CharactersWithSpaces>10925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BSBEDU701A Investigate current trends in internationalisation of education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2012-10-05T12:49:00Z</dcterms:created>
  <dcterms:modified xsi:type="dcterms:W3CDTF">2012-10-05T12:49:00Z</dcterms:modified>
</cp:coreProperties>
</file>