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ACB" w:rsidP="00B73ACB">
      <w:pPr>
        <w:pStyle w:val="Title"/>
      </w:pPr>
      <w:bookmarkStart w:id="0" w:name="_GoBack"/>
      <w:bookmarkEnd w:id="0"/>
      <w:r>
        <w:fldChar w:fldCharType="begin"/>
      </w:r>
      <w:r>
        <w:instrText xml:space="preserve"> TITLE   \* MERGEFORMAT </w:instrText>
      </w:r>
      <w:r>
        <w:fldChar w:fldCharType="separate"/>
      </w:r>
      <w:r>
        <w:t>BSBCOM503B Develop processes for the management of breaches in compliance requirements</w:t>
      </w:r>
      <w:r>
        <w:fldChar w:fldCharType="end"/>
      </w:r>
    </w:p>
    <w:p w:rsidR="00B73ACB" w:rsidP="00B73ACB">
      <w:pPr>
        <w:pStyle w:val="Version"/>
        <w:sectPr w:rsidSect="00EC0E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E9C" w:rsidP="00EC0E9C">
      <w:pPr>
        <w:pStyle w:val="SuperHeading"/>
      </w:pPr>
      <w:r w:rsidRPr="00EC0E9C">
        <w:t>BSBCOM503B Develop processes for the management of breaches in compliance requirements</w:t>
      </w:r>
    </w:p>
    <w:p w:rsidR="00000000" w:rsidRPr="00EC0E9C" w:rsidP="00EC0E9C">
      <w:pPr>
        <w:pStyle w:val="Heading1"/>
      </w:pPr>
      <w:bookmarkStart w:id="1" w:name="O_63159"/>
      <w:bookmarkEnd w:id="1"/>
      <w:r w:rsidRPr="00EC0E9C">
        <w:t>Modification History</w:t>
      </w:r>
    </w:p>
    <w:p w:rsidR="00000000" w:rsidRPr="00EC0E9C" w:rsidP="00EC0E9C">
      <w:pPr>
        <w:pStyle w:val="BodyText"/>
      </w:pPr>
      <w:r w:rsidRPr="00EC0E9C">
        <w:t>Not applicable.</w:t>
      </w:r>
    </w:p>
    <w:p w:rsidR="00000000" w:rsidRPr="00EC0E9C" w:rsidP="00EC0E9C">
      <w:pPr>
        <w:pStyle w:val="AllowPageBreak"/>
      </w:pPr>
    </w:p>
    <w:p w:rsidR="00000000" w:rsidRPr="00EC0E9C" w:rsidP="00EC0E9C">
      <w:pPr>
        <w:pStyle w:val="Heading1"/>
      </w:pPr>
      <w:bookmarkStart w:id="2" w:name="O_63160"/>
      <w:bookmarkEnd w:id="2"/>
      <w:r w:rsidRPr="00EC0E9C">
        <w:t>Unit Descript</w:t>
      </w:r>
      <w:r w:rsidRPr="00EC0E9C">
        <w:t>or</w:t>
      </w:r>
    </w:p>
    <w:tbl>
      <w:tblPr>
        <w:tblW w:w="0" w:type="auto"/>
        <w:tblLayout w:type="fixed"/>
        <w:tblCellMar>
          <w:left w:w="62" w:type="dxa"/>
          <w:right w:w="62" w:type="dxa"/>
        </w:tblCellMar>
        <w:tblLook w:val="0000"/>
      </w:tblPr>
      <w:tblGrid>
        <w:gridCol w:w="2666"/>
        <w:gridCol w:w="5856"/>
      </w:tblGrid>
      <w:tr w:rsidTr="00B73ACB">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BodyText"/>
            </w:pPr>
            <w:r w:rsidRPr="00EC0E9C">
              <w:t>This unit describes the performance outcomes, skills and knowledge required to develop and monitor the processes for managing identified breaches in the fulfilment of compliance requirements within an organisation. This unit has been des</w:t>
            </w:r>
            <w:r w:rsidRPr="00EC0E9C">
              <w:t>igned to be consistent with AS 3806:2006 Compliance programs.</w:t>
            </w:r>
          </w:p>
          <w:p w:rsidR="00000000" w:rsidRPr="00EC0E9C" w:rsidP="00EC0E9C">
            <w:pPr>
              <w:pStyle w:val="BodyText"/>
            </w:pPr>
            <w:r w:rsidRPr="00EC0E9C">
              <w:t>No licensing, legislative, regulatory or certification requirements apply to this unit at the time of endorsement.</w:t>
            </w:r>
          </w:p>
        </w:tc>
      </w:tr>
    </w:tbl>
    <w:p w:rsidR="00000000" w:rsidRPr="00EC0E9C" w:rsidP="00EC0E9C">
      <w:pPr>
        <w:pStyle w:val="BodyText"/>
      </w:pPr>
    </w:p>
    <w:p w:rsidR="00000000" w:rsidRPr="00EC0E9C" w:rsidP="00EC0E9C">
      <w:pPr>
        <w:pStyle w:val="AllowPageBreak"/>
      </w:pPr>
    </w:p>
    <w:p w:rsidR="00000000" w:rsidRPr="00EC0E9C" w:rsidP="00EC0E9C">
      <w:pPr>
        <w:pStyle w:val="Heading1"/>
      </w:pPr>
      <w:bookmarkStart w:id="3" w:name="O_63161"/>
      <w:bookmarkEnd w:id="3"/>
      <w:r w:rsidRPr="00EC0E9C">
        <w:t>Application of the Unit</w:t>
      </w:r>
    </w:p>
    <w:tbl>
      <w:tblPr>
        <w:tblW w:w="0" w:type="auto"/>
        <w:tblLayout w:type="fixed"/>
        <w:tblCellMar>
          <w:left w:w="62" w:type="dxa"/>
          <w:right w:w="62" w:type="dxa"/>
        </w:tblCellMar>
        <w:tblLook w:val="0000"/>
      </w:tblPr>
      <w:tblGrid>
        <w:gridCol w:w="2749"/>
        <w:gridCol w:w="5773"/>
      </w:tblGrid>
      <w:tr w:rsidTr="00B73ACB">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BodyText"/>
            </w:pPr>
            <w:r w:rsidRPr="00EC0E9C">
              <w:t>This unit applies to individuals working as a chief executive or manager in a small organisation (where it would be part of their broad role), or as a compliance officer or senior manager within a larger organisation with responsibility for identifying, cl</w:t>
            </w:r>
            <w:r w:rsidRPr="00EC0E9C">
              <w:t>assifying, investigating, rectifying and reporting breaches in compliance requirements.</w:t>
            </w:r>
          </w:p>
          <w:p w:rsidR="00000000" w:rsidRPr="00EC0E9C" w:rsidP="00EC0E9C">
            <w:pPr>
              <w:pStyle w:val="BodyText"/>
            </w:pPr>
            <w:r w:rsidRPr="00EC0E9C">
              <w:t>Application of this unit must be consistent with the pertinent sections of relevant Australian and international standards and legislative requirements including: AS 38</w:t>
            </w:r>
            <w:r w:rsidRPr="00EC0E9C">
              <w:t>06:2006 Compliance programs, AS ISO 10002:2006 Customer satisfaction - Guidelines for complaints handling in organizations, AS/NZS 4360:2004 Risk management and AS ISO 15489:2004 Records management.</w:t>
            </w:r>
          </w:p>
        </w:tc>
      </w:tr>
    </w:tbl>
    <w:p w:rsidR="00000000" w:rsidRPr="00EC0E9C" w:rsidP="00EC0E9C">
      <w:pPr>
        <w:pStyle w:val="BodyText"/>
      </w:pPr>
    </w:p>
    <w:p w:rsidR="00000000" w:rsidRPr="00EC0E9C" w:rsidP="00EC0E9C">
      <w:pPr>
        <w:pStyle w:val="AllowPageBreak"/>
      </w:pPr>
    </w:p>
    <w:p w:rsidR="00000000" w:rsidRPr="00EC0E9C" w:rsidP="00EC0E9C">
      <w:pPr>
        <w:pStyle w:val="Heading1"/>
      </w:pPr>
      <w:bookmarkStart w:id="4" w:name="O_63162"/>
      <w:bookmarkEnd w:id="4"/>
      <w:r w:rsidRPr="00EC0E9C">
        <w:t>Licensing/Regulatory Information</w:t>
      </w:r>
    </w:p>
    <w:p w:rsidR="00000000" w:rsidRPr="00EC0E9C" w:rsidP="00EC0E9C">
      <w:pPr>
        <w:pStyle w:val="BodyText"/>
      </w:pPr>
      <w:r w:rsidRPr="00EC0E9C">
        <w:t>Not app</w:t>
      </w:r>
      <w:r w:rsidRPr="00EC0E9C">
        <w:t>licable.</w:t>
      </w:r>
    </w:p>
    <w:p w:rsidR="00000000" w:rsidRPr="00EC0E9C" w:rsidP="00EC0E9C">
      <w:pPr>
        <w:pStyle w:val="AllowPageBreak"/>
      </w:pPr>
    </w:p>
    <w:p w:rsidR="00000000" w:rsidRPr="00EC0E9C" w:rsidP="00EC0E9C">
      <w:pPr>
        <w:pStyle w:val="Heading1"/>
      </w:pPr>
      <w:bookmarkStart w:id="5" w:name="O_63163"/>
      <w:bookmarkEnd w:id="5"/>
      <w:r w:rsidRPr="00EC0E9C">
        <w:t>Pre-Requisites</w:t>
      </w:r>
    </w:p>
    <w:tbl>
      <w:tblPr>
        <w:tblW w:w="0" w:type="auto"/>
        <w:tblLayout w:type="fixed"/>
        <w:tblCellMar>
          <w:left w:w="62" w:type="dxa"/>
          <w:right w:w="62" w:type="dxa"/>
        </w:tblCellMar>
        <w:tblLook w:val="0000"/>
      </w:tblPr>
      <w:tblGrid>
        <w:gridCol w:w="2775"/>
        <w:gridCol w:w="1295"/>
        <w:gridCol w:w="4452"/>
      </w:tblGrid>
      <w:tr w:rsidTr="00B73AC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p>
        </w:tc>
      </w:tr>
      <w:tr w:rsidTr="00B73A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p>
        </w:tc>
      </w:tr>
      <w:tr w:rsidTr="00B73A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BodyText"/>
            </w:pPr>
          </w:p>
        </w:tc>
      </w:tr>
    </w:tbl>
    <w:p w:rsidR="00000000" w:rsidRPr="00EC0E9C" w:rsidP="00EC0E9C">
      <w:pPr>
        <w:pStyle w:val="BodyText"/>
      </w:pPr>
    </w:p>
    <w:p w:rsidR="00000000" w:rsidRPr="00EC0E9C" w:rsidP="00EC0E9C">
      <w:pPr>
        <w:pStyle w:val="AllowPageBreak"/>
      </w:pPr>
    </w:p>
    <w:p w:rsidR="00000000" w:rsidRPr="00EC0E9C" w:rsidP="00EC0E9C">
      <w:pPr>
        <w:pStyle w:val="Heading1"/>
      </w:pPr>
      <w:bookmarkStart w:id="6" w:name="O_63164"/>
      <w:bookmarkEnd w:id="6"/>
      <w:r w:rsidRPr="00EC0E9C">
        <w:t>Employability Skills Information</w:t>
      </w:r>
    </w:p>
    <w:tbl>
      <w:tblPr>
        <w:tblW w:w="0" w:type="auto"/>
        <w:tblLayout w:type="fixed"/>
        <w:tblCellMar>
          <w:left w:w="62" w:type="dxa"/>
          <w:right w:w="62" w:type="dxa"/>
        </w:tblCellMar>
        <w:tblLook w:val="0000"/>
      </w:tblPr>
      <w:tblGrid>
        <w:gridCol w:w="2802"/>
        <w:gridCol w:w="5720"/>
      </w:tblGrid>
      <w:tr w:rsidTr="00B73AC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BodyText"/>
            </w:pPr>
            <w:r w:rsidRPr="00EC0E9C">
              <w:t>This unit contains employability skills.</w:t>
            </w:r>
          </w:p>
        </w:tc>
      </w:tr>
    </w:tbl>
    <w:p w:rsidR="00000000" w:rsidRPr="00EC0E9C" w:rsidP="00EC0E9C">
      <w:pPr>
        <w:pStyle w:val="BodyText"/>
      </w:pPr>
    </w:p>
    <w:p w:rsidR="00000000" w:rsidRPr="00EC0E9C" w:rsidP="00EC0E9C">
      <w:pPr>
        <w:pStyle w:val="AllowPageBreak"/>
      </w:pPr>
    </w:p>
    <w:p w:rsidR="00000000" w:rsidRPr="00EC0E9C" w:rsidP="00EC0E9C">
      <w:pPr>
        <w:pStyle w:val="Heading1"/>
      </w:pPr>
      <w:bookmarkStart w:id="7" w:name="O_63165"/>
      <w:bookmarkEnd w:id="7"/>
      <w:r w:rsidRPr="00EC0E9C">
        <w:t>Elements and Performance Criteria Pre-Content</w:t>
      </w:r>
    </w:p>
    <w:tbl>
      <w:tblPr>
        <w:tblW w:w="0" w:type="auto"/>
        <w:tblLayout w:type="fixed"/>
        <w:tblCellMar>
          <w:left w:w="62" w:type="dxa"/>
          <w:right w:w="62" w:type="dxa"/>
        </w:tblCellMar>
        <w:tblLook w:val="0000"/>
      </w:tblPr>
      <w:tblGrid>
        <w:gridCol w:w="2570"/>
        <w:gridCol w:w="5952"/>
      </w:tblGrid>
      <w:tr w:rsidTr="00B73AC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BodyText"/>
            </w:pPr>
            <w:r w:rsidRPr="00EC0E9C">
              <w:t>Performance criteria describe the performance needed to demonstrate achievement of the element. Where bold italicised text is used, further information is detailed in the required skills and</w:t>
            </w:r>
            <w:r w:rsidRPr="00EC0E9C">
              <w:t xml:space="preserve"> knowledge section and the range statement. Assessment of performance is to be consistent with the evidence guide.</w:t>
            </w:r>
          </w:p>
        </w:tc>
      </w:tr>
    </w:tbl>
    <w:p w:rsidR="00000000" w:rsidRPr="00EC0E9C" w:rsidP="00EC0E9C">
      <w:pPr>
        <w:pStyle w:val="BodyText"/>
      </w:pPr>
    </w:p>
    <w:p w:rsidR="00000000" w:rsidRPr="00EC0E9C" w:rsidP="00EC0E9C">
      <w:pPr>
        <w:pStyle w:val="AllowPageBreak"/>
      </w:pPr>
    </w:p>
    <w:p w:rsidR="00000000" w:rsidRPr="00EC0E9C" w:rsidP="00EC0E9C">
      <w:pPr>
        <w:pStyle w:val="Heading1"/>
      </w:pPr>
      <w:bookmarkStart w:id="8" w:name="O_63166"/>
      <w:bookmarkEnd w:id="8"/>
      <w:r w:rsidRPr="00EC0E9C">
        <w:t>Elements and Performance Criteria</w:t>
      </w:r>
    </w:p>
    <w:tbl>
      <w:tblPr>
        <w:tblW w:w="0" w:type="auto"/>
        <w:tblLayout w:type="fixed"/>
        <w:tblCellMar>
          <w:left w:w="62" w:type="dxa"/>
          <w:right w:w="62" w:type="dxa"/>
        </w:tblCellMar>
        <w:tblLook w:val="0000"/>
      </w:tblPr>
      <w:tblGrid>
        <w:gridCol w:w="2570"/>
        <w:gridCol w:w="5952"/>
      </w:tblGrid>
      <w:tr w:rsidTr="00B73ACB">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BodyText"/>
            </w:pPr>
            <w:r w:rsidRPr="00EC0E9C">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rPr>
                <w:rStyle w:val="SpecialBold"/>
              </w:rPr>
              <w:t>PERFORMANCE CRITERIA</w:t>
            </w:r>
          </w:p>
        </w:tc>
      </w:tr>
      <w:tr w:rsidTr="00B73AC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List"/>
              <w:rPr>
                <w:lang w:val="en-NZ"/>
              </w:rPr>
            </w:pPr>
            <w:r w:rsidRPr="00EC0E9C">
              <w:t>1.</w:t>
            </w:r>
            <w:r w:rsidRPr="00EC0E9C">
              <w:tab/>
            </w:r>
            <w:r w:rsidRPr="00EC0E9C">
              <w:t>Develop procedures for responding to breaches in internal and external compliance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List2"/>
            </w:pPr>
            <w:r w:rsidRPr="00EC0E9C">
              <w:t>1.1.</w:t>
            </w:r>
            <w:r w:rsidRPr="00EC0E9C">
              <w:tab/>
              <w:t xml:space="preserve">Obtain and interpret information on current </w:t>
            </w:r>
            <w:r w:rsidRPr="00EC0E9C">
              <w:rPr>
                <w:rStyle w:val="BoldandItalics"/>
              </w:rPr>
              <w:t>compliance requirements</w:t>
            </w:r>
            <w:r w:rsidRPr="00EC0E9C">
              <w:t xml:space="preserve"> applicable to the organisation </w:t>
            </w:r>
          </w:p>
          <w:p w:rsidR="00000000" w:rsidRPr="00EC0E9C" w:rsidP="00EC0E9C">
            <w:pPr>
              <w:pStyle w:val="List2"/>
            </w:pPr>
            <w:r w:rsidRPr="00EC0E9C">
              <w:t>1.2.</w:t>
            </w:r>
            <w:r w:rsidRPr="00EC0E9C">
              <w:tab/>
              <w:t>Review each area of compliance requirement to estab</w:t>
            </w:r>
            <w:r w:rsidRPr="00EC0E9C">
              <w:t>lish potential breaches</w:t>
            </w:r>
          </w:p>
          <w:p w:rsidR="00000000" w:rsidP="00EC0E9C">
            <w:pPr>
              <w:pStyle w:val="List2"/>
              <w:rPr>
                <w:lang w:val="en-NZ"/>
              </w:rPr>
            </w:pPr>
            <w:r w:rsidRPr="00EC0E9C">
              <w:t>1.3.</w:t>
            </w:r>
            <w:r w:rsidRPr="00EC0E9C">
              <w:tab/>
              <w:t>Develop and document appropriate procedures for identifying, classifying, investigating, rectifying and reporting breaches in compliance requirements</w:t>
            </w:r>
          </w:p>
        </w:tc>
      </w:tr>
      <w:tr w:rsidTr="00B73AC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List"/>
              <w:rPr>
                <w:lang w:val="en-NZ"/>
              </w:rPr>
            </w:pPr>
            <w:r w:rsidRPr="00EC0E9C">
              <w:t>2.</w:t>
            </w:r>
            <w:r w:rsidRPr="00EC0E9C">
              <w:tab/>
              <w:t>Monitor adherence to compliance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List2"/>
            </w:pPr>
            <w:r w:rsidRPr="00EC0E9C">
              <w:t>2.1.</w:t>
            </w:r>
            <w:r w:rsidRPr="00EC0E9C">
              <w:tab/>
              <w:t>Monitor and evaluate or</w:t>
            </w:r>
            <w:r w:rsidRPr="00EC0E9C">
              <w:t>ganisation operations to identify incidences of breaches in compliance requirements</w:t>
            </w:r>
          </w:p>
          <w:p w:rsidR="00000000" w:rsidRPr="00EC0E9C" w:rsidP="00EC0E9C">
            <w:pPr>
              <w:pStyle w:val="List2"/>
            </w:pPr>
            <w:r w:rsidRPr="00EC0E9C">
              <w:t>2.2.</w:t>
            </w:r>
            <w:r w:rsidRPr="00EC0E9C">
              <w:tab/>
              <w:t xml:space="preserve">Review and evaluate complaints and other </w:t>
            </w:r>
            <w:r w:rsidRPr="00EC0E9C">
              <w:rPr>
                <w:rStyle w:val="BoldandItalics"/>
              </w:rPr>
              <w:t>sources of information on potential breaches in compliance requirements</w:t>
            </w:r>
          </w:p>
          <w:p w:rsidR="00000000" w:rsidP="00EC0E9C">
            <w:pPr>
              <w:pStyle w:val="List2"/>
              <w:rPr>
                <w:lang w:val="en-NZ"/>
              </w:rPr>
            </w:pPr>
            <w:r w:rsidRPr="00EC0E9C">
              <w:t>2.3.</w:t>
            </w:r>
            <w:r w:rsidRPr="00EC0E9C">
              <w:tab/>
              <w:t>Interrogate compliance management information sys</w:t>
            </w:r>
            <w:r w:rsidRPr="00EC0E9C">
              <w:t>tem to identify any indication of breaches in compliance requirements</w:t>
            </w:r>
          </w:p>
        </w:tc>
      </w:tr>
      <w:tr w:rsidTr="00B73AC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List"/>
              <w:rPr>
                <w:lang w:val="en-NZ"/>
              </w:rPr>
            </w:pPr>
            <w:r w:rsidRPr="00EC0E9C">
              <w:t>3.</w:t>
            </w:r>
            <w:r w:rsidRPr="00EC0E9C">
              <w:tab/>
              <w:t>Manage the identification and rectification of breaches in compliance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List2"/>
            </w:pPr>
            <w:r w:rsidRPr="00EC0E9C">
              <w:t>3.1.</w:t>
            </w:r>
            <w:r w:rsidRPr="00EC0E9C">
              <w:tab/>
              <w:t>Assign appropriate staff to take the required action to identify, classify, investigate and rectify breache</w:t>
            </w:r>
            <w:r w:rsidRPr="00EC0E9C">
              <w:t>s in compliance requirements</w:t>
            </w:r>
          </w:p>
          <w:p w:rsidR="00000000" w:rsidP="00EC0E9C">
            <w:pPr>
              <w:pStyle w:val="List2"/>
              <w:rPr>
                <w:lang w:val="en-NZ"/>
              </w:rPr>
            </w:pPr>
            <w:r w:rsidRPr="00EC0E9C">
              <w:t>3.2.</w:t>
            </w:r>
            <w:r w:rsidRPr="00EC0E9C">
              <w:tab/>
              <w:t>Ensure senior management team within the organisation is informed of all breaches in compliance requirements</w:t>
            </w:r>
          </w:p>
        </w:tc>
      </w:tr>
      <w:tr w:rsidTr="00B73AC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List"/>
              <w:rPr>
                <w:lang w:val="en-NZ"/>
              </w:rPr>
            </w:pPr>
            <w:r w:rsidRPr="00EC0E9C">
              <w:t>4.</w:t>
            </w:r>
            <w:r w:rsidRPr="00EC0E9C">
              <w:tab/>
              <w:t>Liaise with relevant personnel and organisations during breach management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List2"/>
            </w:pPr>
            <w:r w:rsidRPr="00EC0E9C">
              <w:t>4.1.</w:t>
            </w:r>
            <w:r w:rsidRPr="00EC0E9C">
              <w:tab/>
              <w:t xml:space="preserve">Maintain liaison with </w:t>
            </w:r>
            <w:r w:rsidRPr="00EC0E9C">
              <w:rPr>
                <w:rStyle w:val="BoldandItalics"/>
              </w:rPr>
              <w:t>relevant regulatory authorities and other organisations with an interest in compliance</w:t>
            </w:r>
            <w:r w:rsidRPr="00EC0E9C">
              <w:t xml:space="preserve"> in regard to breaches in requirements and related action being taken</w:t>
            </w:r>
          </w:p>
          <w:p w:rsidR="00000000" w:rsidP="00EC0E9C">
            <w:pPr>
              <w:pStyle w:val="List2"/>
              <w:rPr>
                <w:lang w:val="en-NZ"/>
              </w:rPr>
            </w:pPr>
            <w:r w:rsidRPr="00EC0E9C">
              <w:t>4.2.</w:t>
            </w:r>
            <w:r w:rsidRPr="00EC0E9C">
              <w:tab/>
              <w:t xml:space="preserve">Take advice from </w:t>
            </w:r>
            <w:r w:rsidRPr="00EC0E9C">
              <w:rPr>
                <w:rStyle w:val="BoldandItalics"/>
              </w:rPr>
              <w:t>relevant internal and external personnel</w:t>
            </w:r>
            <w:r w:rsidRPr="00EC0E9C">
              <w:t xml:space="preserve"> on the management of breaches in comp</w:t>
            </w:r>
            <w:r w:rsidRPr="00EC0E9C">
              <w:t>liance requirements and act upon this advice appropriately</w:t>
            </w:r>
          </w:p>
        </w:tc>
      </w:tr>
      <w:tr w:rsidTr="00B73AC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List"/>
              <w:rPr>
                <w:lang w:val="en-NZ"/>
              </w:rPr>
            </w:pPr>
            <w:r w:rsidRPr="00EC0E9C">
              <w:t>5.</w:t>
            </w:r>
            <w:r w:rsidRPr="00EC0E9C">
              <w:tab/>
              <w:t>Evaluate the response to and rectification of, breaches in compliance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List2"/>
            </w:pPr>
            <w:r w:rsidRPr="00EC0E9C">
              <w:t>5.1.</w:t>
            </w:r>
            <w:r w:rsidRPr="00EC0E9C">
              <w:tab/>
              <w:t>Monitor action taken to manage and rectify an identified breach in compliance requirements in terms of the organisatio</w:t>
            </w:r>
            <w:r w:rsidRPr="00EC0E9C">
              <w:t>n's compliance policy</w:t>
            </w:r>
          </w:p>
          <w:p w:rsidR="00000000" w:rsidRPr="00EC0E9C" w:rsidP="00EC0E9C">
            <w:pPr>
              <w:pStyle w:val="List2"/>
            </w:pPr>
            <w:r w:rsidRPr="00EC0E9C">
              <w:t>5.2.</w:t>
            </w:r>
            <w:r w:rsidRPr="00EC0E9C">
              <w:tab/>
              <w:t>Confirm success in rectification of compliance breaches and notify relevant internal and external personnel</w:t>
            </w:r>
          </w:p>
          <w:p w:rsidR="00000000" w:rsidRPr="00EC0E9C" w:rsidP="00EC0E9C">
            <w:pPr>
              <w:pStyle w:val="List2"/>
            </w:pPr>
            <w:r w:rsidRPr="00EC0E9C">
              <w:t>5.3.</w:t>
            </w:r>
            <w:r w:rsidRPr="00EC0E9C">
              <w:tab/>
              <w:t>Recognise problems in the rectification of compliance breaches and initiate appropriate action to ensure that manage</w:t>
            </w:r>
            <w:r w:rsidRPr="00EC0E9C">
              <w:t>ment of the breach is maintained</w:t>
            </w:r>
          </w:p>
          <w:p w:rsidR="00000000" w:rsidP="00EC0E9C">
            <w:pPr>
              <w:pStyle w:val="List2"/>
              <w:rPr>
                <w:lang w:val="en-NZ"/>
              </w:rPr>
            </w:pPr>
            <w:r w:rsidRPr="00EC0E9C">
              <w:t>5.4.</w:t>
            </w:r>
            <w:r w:rsidRPr="00EC0E9C">
              <w:tab/>
              <w:t>Refer reports of systemic and recurring problems of non-compliance to those with sufficient authority to correct them</w:t>
            </w:r>
          </w:p>
        </w:tc>
      </w:tr>
      <w:tr w:rsidTr="00B73AC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List"/>
              <w:rPr>
                <w:lang w:val="en-NZ"/>
              </w:rPr>
            </w:pPr>
            <w:r w:rsidRPr="00EC0E9C">
              <w:t>6.</w:t>
            </w:r>
            <w:r w:rsidRPr="00EC0E9C">
              <w:tab/>
              <w:t>Document and disseminate the breach management activities and outcomes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List2"/>
            </w:pPr>
            <w:r w:rsidRPr="00EC0E9C">
              <w:t>6.1.</w:t>
            </w:r>
            <w:r w:rsidRPr="00EC0E9C">
              <w:tab/>
              <w:t xml:space="preserve">Document and report </w:t>
            </w:r>
            <w:r w:rsidRPr="00EC0E9C">
              <w:t>identified breaches in compliance requirements in accordance with relevant internal and external requirements</w:t>
            </w:r>
          </w:p>
          <w:p w:rsidR="00000000" w:rsidRPr="00EC0E9C" w:rsidP="00EC0E9C">
            <w:pPr>
              <w:pStyle w:val="List2"/>
            </w:pPr>
            <w:r w:rsidRPr="00EC0E9C">
              <w:t>6.2.</w:t>
            </w:r>
            <w:r w:rsidRPr="00EC0E9C">
              <w:tab/>
              <w:t>Maintain and store records of breaches in compliance requirements</w:t>
            </w:r>
          </w:p>
          <w:p w:rsidR="00000000" w:rsidRPr="00EC0E9C" w:rsidP="00EC0E9C">
            <w:pPr>
              <w:pStyle w:val="List2"/>
            </w:pPr>
            <w:r w:rsidRPr="00EC0E9C">
              <w:t>6.3.</w:t>
            </w:r>
            <w:r w:rsidRPr="00EC0E9C">
              <w:tab/>
              <w:t>Report on the action taken to rectify identified breaches in complianc</w:t>
            </w:r>
            <w:r w:rsidRPr="00EC0E9C">
              <w:t>e requirements and the outcomes of this action</w:t>
            </w:r>
          </w:p>
          <w:p w:rsidR="00000000" w:rsidRPr="00EC0E9C" w:rsidP="00EC0E9C">
            <w:pPr>
              <w:pStyle w:val="List2"/>
            </w:pPr>
            <w:r w:rsidRPr="00EC0E9C">
              <w:t>6.4.</w:t>
            </w:r>
            <w:r w:rsidRPr="00EC0E9C">
              <w:tab/>
              <w:t>Disseminate reports on breach management to relevant internal and external personnel</w:t>
            </w:r>
          </w:p>
        </w:tc>
      </w:tr>
    </w:tbl>
    <w:p w:rsidR="00000000" w:rsidRPr="00EC0E9C" w:rsidP="00EC0E9C">
      <w:pPr>
        <w:pStyle w:val="BodyText"/>
      </w:pPr>
    </w:p>
    <w:p w:rsidR="00000000" w:rsidRPr="00EC0E9C" w:rsidP="00EC0E9C">
      <w:pPr>
        <w:pStyle w:val="AllowPageBreak"/>
      </w:pPr>
    </w:p>
    <w:p w:rsidR="00000000" w:rsidRPr="00EC0E9C" w:rsidP="00EC0E9C">
      <w:pPr>
        <w:pStyle w:val="Heading1"/>
      </w:pPr>
      <w:bookmarkStart w:id="9" w:name="O_63167"/>
      <w:bookmarkEnd w:id="9"/>
      <w:r w:rsidRPr="00EC0E9C">
        <w:t>Required Skills and Knowledge</w:t>
      </w:r>
    </w:p>
    <w:tbl>
      <w:tblPr>
        <w:tblW w:w="0" w:type="auto"/>
        <w:tblLayout w:type="fixed"/>
        <w:tblCellMar>
          <w:left w:w="62" w:type="dxa"/>
          <w:right w:w="62" w:type="dxa"/>
        </w:tblCellMar>
        <w:tblLook w:val="0000"/>
      </w:tblPr>
      <w:tblGrid>
        <w:gridCol w:w="8522"/>
      </w:tblGrid>
      <w:tr w:rsidTr="00B73AC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0E9C">
            <w:pPr>
              <w:pStyle w:val="BodyText"/>
              <w:rPr>
                <w:lang w:val="en-NZ"/>
              </w:rPr>
            </w:pPr>
            <w:r w:rsidRPr="00EC0E9C">
              <w:rPr>
                <w:rStyle w:val="SpecialBold"/>
              </w:rPr>
              <w:t>REQUIRED SKILLS AND KNOWLEDGE</w:t>
            </w:r>
          </w:p>
        </w:tc>
      </w:tr>
      <w:tr w:rsidTr="00B73AC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t>This section describes the sk</w:t>
            </w:r>
            <w:r w:rsidRPr="00EC0E9C">
              <w:t>ills and knowledge required for this unit.</w:t>
            </w:r>
          </w:p>
        </w:tc>
      </w:tr>
      <w:tr w:rsidTr="00B73A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rPr>
                <w:rStyle w:val="SpecialBold"/>
              </w:rPr>
              <w:t>Required skills</w:t>
            </w:r>
          </w:p>
        </w:tc>
      </w:tr>
      <w:tr w:rsidTr="00B73A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ListBullet"/>
            </w:pPr>
            <w:r w:rsidRPr="00EC0E9C">
              <w:t>interpersonal skills to contribute to a positive culture of compliance within an organisation</w:t>
            </w:r>
          </w:p>
          <w:p w:rsidR="00000000" w:rsidRPr="00EC0E9C" w:rsidP="00EC0E9C">
            <w:pPr>
              <w:pStyle w:val="ListBullet"/>
            </w:pPr>
            <w:r w:rsidRPr="00EC0E9C">
              <w:t>investigative skills to gather information on how breaches in compliance requirements occurred</w:t>
            </w:r>
          </w:p>
          <w:p w:rsidR="00000000" w:rsidRPr="00EC0E9C" w:rsidP="00EC0E9C">
            <w:pPr>
              <w:pStyle w:val="ListBullet"/>
            </w:pPr>
            <w:r w:rsidRPr="00EC0E9C">
              <w:t>organisational skills to develop and monitor processes to manage breaches in compliance requirements, including:</w:t>
            </w:r>
          </w:p>
          <w:p w:rsidR="00000000" w:rsidRPr="00EC0E9C" w:rsidP="00EC0E9C">
            <w:pPr>
              <w:pStyle w:val="ListBullet2"/>
            </w:pPr>
            <w:r w:rsidRPr="00EC0E9C">
              <w:t>determining compliance requirements applicable to the organisation</w:t>
            </w:r>
          </w:p>
          <w:p w:rsidR="00000000" w:rsidRPr="00EC0E9C" w:rsidP="00EC0E9C">
            <w:pPr>
              <w:pStyle w:val="ListBullet2"/>
            </w:pPr>
            <w:r w:rsidRPr="00EC0E9C">
              <w:t>sourcing information on breach management systems suitable for the organisa</w:t>
            </w:r>
            <w:r w:rsidRPr="00EC0E9C">
              <w:t>tion</w:t>
            </w:r>
          </w:p>
          <w:p w:rsidR="00000000" w:rsidRPr="00EC0E9C" w:rsidP="00EC0E9C">
            <w:pPr>
              <w:pStyle w:val="ListBullet2"/>
            </w:pPr>
            <w:r w:rsidRPr="00EC0E9C">
              <w:t>developing a breach management system and related procedures</w:t>
            </w:r>
          </w:p>
          <w:p w:rsidR="00000000" w:rsidRPr="00EC0E9C" w:rsidP="00EC0E9C">
            <w:pPr>
              <w:pStyle w:val="ListBullet2"/>
            </w:pPr>
            <w:r w:rsidRPr="00EC0E9C">
              <w:t>managing other personnel dealing with identified breaches in compliance requirements</w:t>
            </w:r>
          </w:p>
          <w:p w:rsidR="00000000" w:rsidRPr="00EC0E9C" w:rsidP="00EC0E9C">
            <w:pPr>
              <w:pStyle w:val="ListBullet2"/>
            </w:pPr>
            <w:r w:rsidRPr="00EC0E9C">
              <w:t>documenting breach management procedures</w:t>
            </w:r>
          </w:p>
          <w:p w:rsidR="00000000" w:rsidRPr="00EC0E9C" w:rsidP="00EC0E9C">
            <w:pPr>
              <w:pStyle w:val="ListBullet2"/>
            </w:pPr>
            <w:r w:rsidRPr="00EC0E9C">
              <w:t>applying investigative skills to the level required</w:t>
            </w:r>
          </w:p>
          <w:p w:rsidR="00000000" w:rsidRPr="00EC0E9C" w:rsidP="00EC0E9C">
            <w:pPr>
              <w:pStyle w:val="ListBullet"/>
            </w:pPr>
            <w:r w:rsidRPr="00EC0E9C">
              <w:t>communicatio</w:t>
            </w:r>
            <w:r w:rsidRPr="00EC0E9C">
              <w:t>n and interpersonal skills to relate to internal and external personnel and in particular those representing relevant regulatory authorities, professional institutes and organisations, standards organisations, etc.</w:t>
            </w:r>
          </w:p>
          <w:p w:rsidR="00000000" w:rsidP="00EC0E9C">
            <w:pPr>
              <w:pStyle w:val="ListBullet"/>
              <w:rPr>
                <w:lang w:val="en-NZ"/>
              </w:rPr>
            </w:pPr>
            <w:r w:rsidRPr="00EC0E9C">
              <w:t>technical skills to use communications te</w:t>
            </w:r>
            <w:r w:rsidRPr="00EC0E9C">
              <w:t>chnology effectively.</w:t>
            </w:r>
          </w:p>
        </w:tc>
      </w:tr>
      <w:tr w:rsidTr="00B73A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rPr>
                <w:rStyle w:val="SpecialBold"/>
              </w:rPr>
              <w:t>Required knowledge</w:t>
            </w:r>
          </w:p>
        </w:tc>
      </w:tr>
      <w:tr w:rsidTr="00B73A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ListBullet"/>
            </w:pPr>
            <w:r w:rsidRPr="00EC0E9C">
              <w:t>analysis techniques relevant to the review and interpretation of an identified breach in compliance requirements</w:t>
            </w:r>
          </w:p>
          <w:p w:rsidR="00000000" w:rsidRPr="00EC0E9C" w:rsidP="00EC0E9C">
            <w:pPr>
              <w:pStyle w:val="ListBullet"/>
            </w:pPr>
            <w:r w:rsidRPr="00EC0E9C">
              <w:t>compliance requirements applicable to the organisation</w:t>
            </w:r>
          </w:p>
          <w:p w:rsidR="00000000" w:rsidRPr="00EC0E9C" w:rsidP="00EC0E9C">
            <w:pPr>
              <w:pStyle w:val="ListBullet"/>
            </w:pPr>
            <w:r w:rsidRPr="00EC0E9C">
              <w:t>elements of compliance program/management system including:</w:t>
            </w:r>
          </w:p>
          <w:p w:rsidR="00000000" w:rsidRPr="00EC0E9C" w:rsidP="00EC0E9C">
            <w:pPr>
              <w:pStyle w:val="ListBullet2"/>
            </w:pPr>
            <w:r w:rsidRPr="00EC0E9C">
              <w:t>documentation of compliance requirements relevant to the organisation</w:t>
            </w:r>
          </w:p>
          <w:p w:rsidR="00000000" w:rsidRPr="00EC0E9C" w:rsidP="00EC0E9C">
            <w:pPr>
              <w:pStyle w:val="ListBullet2"/>
            </w:pPr>
            <w:r w:rsidRPr="00EC0E9C">
              <w:t>specification of compliance management functions, accountabilities and responsibilities within the organisation</w:t>
            </w:r>
          </w:p>
          <w:p w:rsidR="00000000" w:rsidRPr="00EC0E9C" w:rsidP="00EC0E9C">
            <w:pPr>
              <w:pStyle w:val="ListBullet2"/>
            </w:pPr>
            <w:r w:rsidRPr="00EC0E9C">
              <w:t>compliance re</w:t>
            </w:r>
            <w:r w:rsidRPr="00EC0E9C">
              <w:t>lated management information systems</w:t>
            </w:r>
          </w:p>
          <w:p w:rsidR="00000000" w:rsidRPr="00EC0E9C" w:rsidP="00EC0E9C">
            <w:pPr>
              <w:pStyle w:val="ListBullet2"/>
            </w:pPr>
            <w:r w:rsidRPr="00EC0E9C">
              <w:t>record keeping systems required for compliance management</w:t>
            </w:r>
          </w:p>
          <w:p w:rsidR="00000000" w:rsidRPr="00EC0E9C" w:rsidP="00EC0E9C">
            <w:pPr>
              <w:pStyle w:val="ListBullet2"/>
            </w:pPr>
            <w:r w:rsidRPr="00EC0E9C">
              <w:t>liaison procedures with relevant internal and external personnel on compliance related matters</w:t>
            </w:r>
          </w:p>
          <w:p w:rsidR="00000000" w:rsidRPr="00EC0E9C" w:rsidP="00EC0E9C">
            <w:pPr>
              <w:pStyle w:val="ListBullet2"/>
            </w:pPr>
            <w:r w:rsidRPr="00EC0E9C">
              <w:t>breach management policies and processes including the identificat</w:t>
            </w:r>
            <w:r w:rsidRPr="00EC0E9C">
              <w:t>ion, classification, investigation, rectification and reporting of breaches in compliance requirements</w:t>
            </w:r>
          </w:p>
          <w:p w:rsidR="00000000" w:rsidRPr="00EC0E9C" w:rsidP="00EC0E9C">
            <w:pPr>
              <w:pStyle w:val="ListBullet2"/>
            </w:pPr>
            <w:r w:rsidRPr="00EC0E9C">
              <w:t>compliance reporting procedures</w:t>
            </w:r>
          </w:p>
          <w:p w:rsidR="00000000" w:rsidRPr="00EC0E9C" w:rsidP="00EC0E9C">
            <w:pPr>
              <w:pStyle w:val="ListBullet2"/>
            </w:pPr>
            <w:r w:rsidRPr="00EC0E9C">
              <w:t>corporate induction and training processes related to compliance management</w:t>
            </w:r>
          </w:p>
          <w:p w:rsidR="00000000" w:rsidRPr="00EC0E9C" w:rsidP="00EC0E9C">
            <w:pPr>
              <w:pStyle w:val="ListBullet2"/>
            </w:pPr>
            <w:r w:rsidRPr="00EC0E9C">
              <w:t>processes for the internal and external promulgation and promotion of information on compliance requirements and compliance program/management system</w:t>
            </w:r>
          </w:p>
          <w:p w:rsidR="00000000" w:rsidRPr="00EC0E9C" w:rsidP="00EC0E9C">
            <w:pPr>
              <w:pStyle w:val="ListBullet2"/>
            </w:pPr>
            <w:r w:rsidRPr="00EC0E9C">
              <w:t>compliance complaints handling systems</w:t>
            </w:r>
          </w:p>
          <w:p w:rsidR="00000000" w:rsidRPr="00EC0E9C" w:rsidP="00EC0E9C">
            <w:pPr>
              <w:pStyle w:val="ListBullet2"/>
            </w:pPr>
            <w:r w:rsidRPr="00EC0E9C">
              <w:t>continuous improvement processes for compliance including monitorin</w:t>
            </w:r>
            <w:r w:rsidRPr="00EC0E9C">
              <w:t>g, evaluation and review</w:t>
            </w:r>
          </w:p>
          <w:p w:rsidR="00000000" w:rsidRPr="00EC0E9C" w:rsidP="00EC0E9C">
            <w:pPr>
              <w:pStyle w:val="ListBullet2"/>
            </w:pPr>
            <w:r w:rsidRPr="00EC0E9C">
              <w:t>strategies for developing a positive compliance culture within the organisation</w:t>
            </w:r>
          </w:p>
          <w:p w:rsidR="00000000" w:rsidRPr="00EC0E9C" w:rsidP="00EC0E9C">
            <w:pPr>
              <w:pStyle w:val="ListBullet2"/>
            </w:pPr>
            <w:r w:rsidRPr="00EC0E9C">
              <w:t>techniques and performance indicators for monitoring the operation of a compliance/program management system</w:t>
            </w:r>
          </w:p>
          <w:p w:rsidR="00000000" w:rsidRPr="00EC0E9C" w:rsidP="00EC0E9C">
            <w:pPr>
              <w:pStyle w:val="ListBullet"/>
            </w:pPr>
            <w:r w:rsidRPr="00EC0E9C">
              <w:t>internal and external personnel with an in</w:t>
            </w:r>
            <w:r w:rsidRPr="00EC0E9C">
              <w:t>terest in compliance</w:t>
            </w:r>
          </w:p>
          <w:p w:rsidR="00000000" w:rsidRPr="00EC0E9C" w:rsidP="00EC0E9C">
            <w:pPr>
              <w:pStyle w:val="ListBullet"/>
            </w:pPr>
            <w:r w:rsidRPr="00EC0E9C">
              <w:t>organisational responsibilities for compliance</w:t>
            </w:r>
          </w:p>
          <w:p w:rsidR="00000000" w:rsidRPr="00EC0E9C" w:rsidP="00EC0E9C">
            <w:pPr>
              <w:pStyle w:val="ListBullet"/>
            </w:pPr>
            <w:r w:rsidRPr="00EC0E9C">
              <w:t>planning processes of the organisation</w:t>
            </w:r>
          </w:p>
          <w:p w:rsidR="00000000" w:rsidRPr="00EC0E9C" w:rsidP="00EC0E9C">
            <w:pPr>
              <w:pStyle w:val="ListBullet"/>
            </w:pPr>
            <w:r w:rsidRPr="00EC0E9C">
              <w:t>potential breaches in compliance requirements</w:t>
            </w:r>
          </w:p>
          <w:p w:rsidR="00000000" w:rsidRPr="00EC0E9C" w:rsidP="00EC0E9C">
            <w:pPr>
              <w:pStyle w:val="ListBullet"/>
            </w:pPr>
            <w:r w:rsidRPr="00EC0E9C">
              <w:t>relevant organisational policies and procedures including:</w:t>
            </w:r>
          </w:p>
          <w:p w:rsidR="00000000" w:rsidRPr="00EC0E9C" w:rsidP="00EC0E9C">
            <w:pPr>
              <w:pStyle w:val="ListBullet2"/>
            </w:pPr>
            <w:r w:rsidRPr="00EC0E9C">
              <w:t>procedures for breaches in compliance requi</w:t>
            </w:r>
            <w:r w:rsidRPr="00EC0E9C">
              <w:t>rements</w:t>
            </w:r>
          </w:p>
          <w:p w:rsidR="00000000" w:rsidRPr="00EC0E9C" w:rsidP="00EC0E9C">
            <w:pPr>
              <w:pStyle w:val="ListBullet2"/>
            </w:pPr>
            <w:r w:rsidRPr="00EC0E9C">
              <w:t>compliance plans and policies in various compliance areas</w:t>
            </w:r>
          </w:p>
          <w:p w:rsidR="00000000" w:rsidRPr="00EC0E9C" w:rsidP="00EC0E9C">
            <w:pPr>
              <w:pStyle w:val="ListBullet2"/>
            </w:pPr>
            <w:r w:rsidRPr="00EC0E9C">
              <w:t>organisational standards for operations and ethics</w:t>
            </w:r>
          </w:p>
          <w:p w:rsidR="00000000" w:rsidRPr="00EC0E9C" w:rsidP="00EC0E9C">
            <w:pPr>
              <w:pStyle w:val="ListBullet"/>
            </w:pPr>
            <w:r w:rsidRPr="00EC0E9C">
              <w:t>reporting processes on compliance management including reports on breaches and rectification action</w:t>
            </w:r>
          </w:p>
          <w:p w:rsidR="00000000" w:rsidRPr="00EC0E9C" w:rsidP="00EC0E9C">
            <w:pPr>
              <w:pStyle w:val="ListBullet"/>
            </w:pPr>
            <w:r w:rsidRPr="00EC0E9C">
              <w:t>sections of relevant Australian and int</w:t>
            </w:r>
            <w:r w:rsidRPr="00EC0E9C">
              <w:t>ernational standards dealing with aspects of breach management processes and responsibilities including but not limited to:</w:t>
            </w:r>
          </w:p>
          <w:p w:rsidR="00000000" w:rsidRPr="00EC0E9C" w:rsidP="00EC0E9C">
            <w:pPr>
              <w:pStyle w:val="ListBullet2"/>
            </w:pPr>
            <w:r w:rsidRPr="00EC0E9C">
              <w:t>AS 3806:2006 Compliance programs</w:t>
            </w:r>
          </w:p>
          <w:p w:rsidR="00000000" w:rsidRPr="00EC0E9C" w:rsidP="00EC0E9C">
            <w:pPr>
              <w:pStyle w:val="ListBullet2"/>
            </w:pPr>
            <w:r w:rsidRPr="00EC0E9C">
              <w:t>AS ISO 10002:2006 Customer satisfaction - Guidelines for complaints handling in organizations</w:t>
            </w:r>
          </w:p>
          <w:p w:rsidR="00000000" w:rsidRPr="00EC0E9C" w:rsidP="00EC0E9C">
            <w:pPr>
              <w:pStyle w:val="ListBullet2"/>
            </w:pPr>
            <w:r w:rsidRPr="00EC0E9C">
              <w:t>AS ISO 15489:2004 Records management</w:t>
            </w:r>
          </w:p>
          <w:p w:rsidR="00000000" w:rsidRPr="00EC0E9C" w:rsidP="00EC0E9C">
            <w:pPr>
              <w:pStyle w:val="ListBullet2"/>
            </w:pPr>
            <w:r w:rsidRPr="00EC0E9C">
              <w:t>AS/NZS 4360:2004 Risk management quantitative and qualitative data analysis techniques relevant to compliance related evaluation.</w:t>
            </w:r>
          </w:p>
        </w:tc>
      </w:tr>
    </w:tbl>
    <w:p w:rsidR="00000000" w:rsidRPr="00EC0E9C" w:rsidP="00EC0E9C">
      <w:pPr>
        <w:pStyle w:val="BodyText"/>
      </w:pPr>
    </w:p>
    <w:p w:rsidR="00000000" w:rsidRPr="00EC0E9C" w:rsidP="00EC0E9C">
      <w:pPr>
        <w:pStyle w:val="AllowPageBreak"/>
      </w:pPr>
    </w:p>
    <w:p w:rsidR="00000000" w:rsidRPr="00EC0E9C" w:rsidP="00EC0E9C">
      <w:pPr>
        <w:pStyle w:val="Heading1"/>
      </w:pPr>
      <w:bookmarkStart w:id="10" w:name="O_63168"/>
      <w:bookmarkEnd w:id="10"/>
      <w:r w:rsidRPr="00EC0E9C">
        <w:t>Evidence Guide</w:t>
      </w:r>
    </w:p>
    <w:tbl>
      <w:tblPr>
        <w:tblW w:w="9570" w:type="dxa"/>
        <w:tblLayout w:type="fixed"/>
        <w:tblCellMar>
          <w:left w:w="62" w:type="dxa"/>
          <w:right w:w="62" w:type="dxa"/>
        </w:tblCellMar>
        <w:tblLook w:val="0000"/>
      </w:tblPr>
      <w:tblGrid>
        <w:gridCol w:w="3908"/>
        <w:gridCol w:w="5662"/>
      </w:tblGrid>
      <w:tr w:rsidTr="00B73A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rPr>
                <w:rStyle w:val="SpecialBold"/>
              </w:rPr>
              <w:t>EVIDENCE GUIDE</w:t>
            </w:r>
          </w:p>
        </w:tc>
      </w:tr>
      <w:tr w:rsidTr="00B73A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t>The Evidence Guide provides advice on assessment and must be read in conjunction with the performance criteria, required skills and knowledge, range statement and the Assessment Guidelines for the Training Package.</w:t>
            </w:r>
          </w:p>
        </w:tc>
      </w:tr>
      <w:tr w:rsidTr="00B73A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p>
        </w:tc>
      </w:tr>
      <w:tr w:rsidTr="00B73A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rPr>
                <w:rStyle w:val="SpecialBold"/>
              </w:rPr>
              <w:t>Critical aspec</w:t>
            </w:r>
            <w:r w:rsidRPr="00EC0E9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BodyText"/>
            </w:pPr>
            <w:r w:rsidRPr="00EC0E9C">
              <w:t>Evidence of the following is essential:</w:t>
            </w:r>
          </w:p>
          <w:p w:rsidR="00000000" w:rsidRPr="00EC0E9C" w:rsidP="00EC0E9C">
            <w:pPr>
              <w:pStyle w:val="ListBullet"/>
            </w:pPr>
            <w:r w:rsidRPr="00EC0E9C">
              <w:t>development of processes for managing organisational compliance breaches</w:t>
            </w:r>
          </w:p>
          <w:p w:rsidR="00000000" w:rsidP="00EC0E9C">
            <w:pPr>
              <w:pStyle w:val="ListBullet"/>
              <w:rPr>
                <w:lang w:val="en-NZ"/>
              </w:rPr>
            </w:pPr>
            <w:r w:rsidRPr="00EC0E9C">
              <w:t>knowledge of compliance requirements applicable to the organisation.</w:t>
            </w:r>
          </w:p>
        </w:tc>
      </w:tr>
      <w:tr w:rsidTr="00B73A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BodyText"/>
            </w:pPr>
            <w:r w:rsidRPr="00EC0E9C">
              <w:t>Assessment must ensure:</w:t>
            </w:r>
          </w:p>
          <w:p w:rsidR="00000000" w:rsidRPr="00EC0E9C" w:rsidP="00EC0E9C">
            <w:pPr>
              <w:pStyle w:val="ListBullet"/>
            </w:pPr>
            <w:r w:rsidRPr="00EC0E9C">
              <w:t>access to relevant information on compliance requirements such as:</w:t>
            </w:r>
          </w:p>
          <w:p w:rsidR="00000000" w:rsidRPr="00EC0E9C" w:rsidP="00EC0E9C">
            <w:pPr>
              <w:pStyle w:val="ListBullet2"/>
            </w:pPr>
            <w:r w:rsidRPr="00EC0E9C">
              <w:t>organisational policies, standard operating p</w:t>
            </w:r>
            <w:r w:rsidRPr="00EC0E9C">
              <w:t>rocedures, procedures and plans</w:t>
            </w:r>
          </w:p>
          <w:p w:rsidR="00000000" w:rsidRPr="00EC0E9C" w:rsidP="00EC0E9C">
            <w:pPr>
              <w:pStyle w:val="ListBullet2"/>
            </w:pPr>
            <w:r w:rsidRPr="00EC0E9C">
              <w:t>relevant legislation, regulations, licensing requirements, codes of practice, standards</w:t>
            </w:r>
          </w:p>
          <w:p w:rsidR="00000000" w:rsidRPr="00EC0E9C" w:rsidP="00EC0E9C">
            <w:pPr>
              <w:pStyle w:val="ListBullet"/>
            </w:pPr>
            <w:r w:rsidRPr="00EC0E9C">
              <w:t>access to the relevant internal and external data files</w:t>
            </w:r>
          </w:p>
          <w:p w:rsidR="00000000" w:rsidRPr="00EC0E9C" w:rsidP="00EC0E9C">
            <w:pPr>
              <w:pStyle w:val="ListBullet"/>
            </w:pPr>
            <w:r w:rsidRPr="00EC0E9C">
              <w:t>access to relevant internal and external personnel</w:t>
            </w:r>
          </w:p>
          <w:p w:rsidR="00000000" w:rsidP="00EC0E9C">
            <w:pPr>
              <w:pStyle w:val="ListBullet"/>
              <w:rPr>
                <w:lang w:val="en-NZ"/>
              </w:rPr>
            </w:pPr>
            <w:r w:rsidRPr="00EC0E9C">
              <w:t>access to appropriate compute</w:t>
            </w:r>
            <w:r w:rsidRPr="00EC0E9C">
              <w:t>r resources needed for managing the identification and rectification of breaches in compliance requirements.</w:t>
            </w:r>
          </w:p>
        </w:tc>
      </w:tr>
      <w:tr w:rsidTr="00B73A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BodyText"/>
            </w:pPr>
            <w:r w:rsidRPr="00EC0E9C">
              <w:t>A range of assessment methods should be used to assess practical skills and knowledge. The following examples are appropriate for this unit:</w:t>
            </w:r>
          </w:p>
          <w:p w:rsidR="00000000" w:rsidRPr="00EC0E9C" w:rsidP="00EC0E9C">
            <w:pPr>
              <w:pStyle w:val="ListBullet"/>
            </w:pPr>
            <w:r w:rsidRPr="00EC0E9C">
              <w:t>observations of activities undertaken to manage breaches in compliance requirements</w:t>
            </w:r>
          </w:p>
          <w:p w:rsidR="00000000" w:rsidRPr="00EC0E9C" w:rsidP="00EC0E9C">
            <w:pPr>
              <w:pStyle w:val="ListBullet"/>
            </w:pPr>
            <w:r w:rsidRPr="00EC0E9C">
              <w:t>assessment of reports identifyi</w:t>
            </w:r>
            <w:r w:rsidRPr="00EC0E9C">
              <w:t>ng breaches in compliance</w:t>
            </w:r>
          </w:p>
          <w:p w:rsidR="00000000" w:rsidRPr="00EC0E9C" w:rsidP="00EC0E9C">
            <w:pPr>
              <w:pStyle w:val="ListBullet"/>
            </w:pPr>
            <w:r w:rsidRPr="00EC0E9C">
              <w:t>direct questioning combined with review of portfolios of evidence and third party workplace reports of on-the-job performance by the candidate</w:t>
            </w:r>
          </w:p>
          <w:p w:rsidR="00000000" w:rsidRPr="00EC0E9C" w:rsidP="00EC0E9C">
            <w:pPr>
              <w:pStyle w:val="ListBullet"/>
            </w:pPr>
            <w:r w:rsidRPr="00EC0E9C">
              <w:t>observations of interactions with internal and external stakeholders while managing bre</w:t>
            </w:r>
            <w:r w:rsidRPr="00EC0E9C">
              <w:t>aches in compliance requirements</w:t>
            </w:r>
          </w:p>
          <w:p w:rsidR="00000000" w:rsidRPr="00EC0E9C" w:rsidP="00EC0E9C">
            <w:pPr>
              <w:pStyle w:val="ListBullet"/>
            </w:pPr>
            <w:r w:rsidRPr="00EC0E9C">
              <w:t>oral or written questioning to assess knowledge of the effectiveness of actions taken to manage compliance breaches</w:t>
            </w:r>
          </w:p>
          <w:p w:rsidR="00000000" w:rsidRPr="00EC0E9C" w:rsidP="00EC0E9C">
            <w:pPr>
              <w:pStyle w:val="ListBullet"/>
            </w:pPr>
            <w:r w:rsidRPr="00EC0E9C">
              <w:t>review of authenticated compliance breach documents or computer files from the workplace or training enviro</w:t>
            </w:r>
            <w:r w:rsidRPr="00EC0E9C">
              <w:t>nment</w:t>
            </w:r>
          </w:p>
          <w:p w:rsidR="00000000" w:rsidRPr="00EC0E9C" w:rsidP="00EC0E9C">
            <w:pPr>
              <w:pStyle w:val="ListBullet"/>
            </w:pPr>
            <w:r w:rsidRPr="00EC0E9C">
              <w:t>assessment or written reports detailing action to be taken to overcome compliance breaches and to prevent their reoccurrence in the future</w:t>
            </w:r>
          </w:p>
          <w:p w:rsidR="00000000" w:rsidP="00EC0E9C">
            <w:pPr>
              <w:pStyle w:val="ListBullet"/>
              <w:rPr>
                <w:lang w:val="en-NZ"/>
              </w:rPr>
            </w:pPr>
            <w:r w:rsidRPr="00EC0E9C">
              <w:t>review and evaluation of complaints regarding potential breaches in compliance requirements.</w:t>
            </w:r>
          </w:p>
        </w:tc>
      </w:tr>
      <w:tr w:rsidTr="00B73A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rPr>
                <w:rStyle w:val="SpecialBold"/>
              </w:rPr>
              <w:t>Guidance informat</w:t>
            </w:r>
            <w:r w:rsidRPr="00EC0E9C">
              <w:rPr>
                <w:rStyle w:val="SpecialBold"/>
              </w:rPr>
              <w: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BodyText"/>
            </w:pPr>
            <w:r w:rsidRPr="00EC0E9C">
              <w:t>Holistic assessment with other units relevant to the industry sector, workplace and job role is recommended, for example:</w:t>
            </w:r>
          </w:p>
          <w:p w:rsidR="00000000" w:rsidRPr="00EC0E9C" w:rsidP="00EC0E9C">
            <w:pPr>
              <w:pStyle w:val="ListBullet"/>
            </w:pPr>
            <w:r w:rsidRPr="00EC0E9C">
              <w:t>other compliance units.</w:t>
            </w:r>
          </w:p>
        </w:tc>
      </w:tr>
    </w:tbl>
    <w:p w:rsidR="00000000" w:rsidRPr="00EC0E9C" w:rsidP="00EC0E9C">
      <w:pPr>
        <w:pStyle w:val="BodyText"/>
      </w:pPr>
    </w:p>
    <w:p w:rsidR="00000000" w:rsidRPr="00EC0E9C" w:rsidP="00EC0E9C">
      <w:pPr>
        <w:pStyle w:val="AllowPageBreak"/>
      </w:pPr>
    </w:p>
    <w:p w:rsidR="00000000" w:rsidRPr="00EC0E9C" w:rsidP="00EC0E9C">
      <w:pPr>
        <w:pStyle w:val="Heading1"/>
      </w:pPr>
      <w:bookmarkStart w:id="11" w:name="O_63169"/>
      <w:bookmarkEnd w:id="11"/>
      <w:r w:rsidRPr="00EC0E9C">
        <w:t>Range Statement</w:t>
      </w:r>
    </w:p>
    <w:tbl>
      <w:tblPr>
        <w:tblW w:w="0" w:type="auto"/>
        <w:tblLayout w:type="fixed"/>
        <w:tblCellMar>
          <w:left w:w="62" w:type="dxa"/>
          <w:right w:w="62" w:type="dxa"/>
        </w:tblCellMar>
        <w:tblLook w:val="0000"/>
      </w:tblPr>
      <w:tblGrid>
        <w:gridCol w:w="3421"/>
        <w:gridCol w:w="5101"/>
      </w:tblGrid>
      <w:tr w:rsidTr="00B73AC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rPr>
                <w:rStyle w:val="SpecialBold"/>
              </w:rPr>
              <w:t>RANGE STATEMENT</w:t>
            </w:r>
          </w:p>
        </w:tc>
      </w:tr>
      <w:tr w:rsidTr="00B73A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t xml:space="preserve">The range statement relates to the </w:t>
            </w:r>
            <w:r w:rsidRPr="00EC0E9C">
              <w:t>unit of competency as a whole. It allows for different work environments and situations that may affect performance. Bold italicised wording, if used in the performance criteria, is detailed below. Essential operating conditions that may be present with tr</w:t>
            </w:r>
            <w:r w:rsidRPr="00EC0E9C">
              <w:t>aining and assessment (depending on the work situation, needs of the candidate, accessibility of the item, and local industry and regional contexts) may also be included.</w:t>
            </w:r>
          </w:p>
        </w:tc>
      </w:tr>
      <w:tr w:rsidTr="00B73AC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rPr>
                <w:rStyle w:val="BoldandItalics"/>
              </w:rPr>
              <w:t>Compliance requirements</w:t>
            </w:r>
            <w:r w:rsidRPr="00EC0E9C">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ListBullet"/>
            </w:pPr>
            <w:r w:rsidRPr="00EC0E9C">
              <w:t>different types of external and internal compl</w:t>
            </w:r>
            <w:r w:rsidRPr="00EC0E9C">
              <w:t>iance requirements including:</w:t>
            </w:r>
          </w:p>
          <w:p w:rsidR="00000000" w:rsidRPr="00EC0E9C" w:rsidP="00EC0E9C">
            <w:pPr>
              <w:pStyle w:val="ListBullet2"/>
            </w:pPr>
            <w:r w:rsidRPr="00EC0E9C">
              <w:t>accreditation requirements of an institute, professional organisation or registration body</w:t>
            </w:r>
          </w:p>
          <w:p w:rsidR="00000000" w:rsidRPr="00EC0E9C" w:rsidP="00EC0E9C">
            <w:pPr>
              <w:pStyle w:val="ListBullet2"/>
            </w:pPr>
            <w:r w:rsidRPr="00EC0E9C">
              <w:t>internal policies, procedures, standards or codes of practice of an organisation</w:t>
            </w:r>
          </w:p>
          <w:p w:rsidR="00000000" w:rsidRPr="00EC0E9C" w:rsidP="00EC0E9C">
            <w:pPr>
              <w:pStyle w:val="ListBullet2"/>
            </w:pPr>
            <w:r w:rsidRPr="00EC0E9C">
              <w:t>regulations of a state/territory, national or international regulatory authority</w:t>
            </w:r>
          </w:p>
          <w:p w:rsidR="00000000" w:rsidRPr="00EC0E9C" w:rsidP="00EC0E9C">
            <w:pPr>
              <w:pStyle w:val="ListBullet2"/>
            </w:pPr>
            <w:r w:rsidRPr="00EC0E9C">
              <w:t>requirements for certification under statutory licensing systems</w:t>
            </w:r>
          </w:p>
          <w:p w:rsidR="00000000" w:rsidRPr="00EC0E9C" w:rsidP="00EC0E9C">
            <w:pPr>
              <w:pStyle w:val="ListBullet2"/>
            </w:pPr>
            <w:r w:rsidRPr="00EC0E9C">
              <w:t>statutory standards or codes of practice</w:t>
            </w:r>
          </w:p>
          <w:p w:rsidR="00000000" w:rsidRPr="00EC0E9C" w:rsidP="00EC0E9C">
            <w:pPr>
              <w:pStyle w:val="ListBullet"/>
            </w:pPr>
            <w:r w:rsidRPr="00EC0E9C">
              <w:t>cross-industry, industry-specific and internal organisational complia</w:t>
            </w:r>
            <w:r w:rsidRPr="00EC0E9C">
              <w:t>nce requirements in such areas as (examples in alphabetical groupings):</w:t>
            </w:r>
          </w:p>
          <w:p w:rsidR="00000000" w:rsidRPr="00EC0E9C" w:rsidP="00EC0E9C">
            <w:pPr>
              <w:pStyle w:val="ListBullet2"/>
            </w:pPr>
            <w:r w:rsidRPr="00EC0E9C">
              <w:t>anti-discrimination (including discrimination by race, sex, disability, religion, etc.), alcohol licensing (licensing regulations covering clubs, pubs, licensed premises, etc.), aviat</w:t>
            </w:r>
            <w:r w:rsidRPr="00EC0E9C">
              <w:t>ion</w:t>
            </w:r>
          </w:p>
          <w:p w:rsidR="00000000" w:rsidRPr="00EC0E9C" w:rsidP="00EC0E9C">
            <w:pPr>
              <w:pStyle w:val="ListBullet2"/>
            </w:pPr>
            <w:r w:rsidRPr="00EC0E9C">
              <w:t>bankruptcy</w:t>
            </w:r>
          </w:p>
          <w:p w:rsidR="00000000" w:rsidRPr="00EC0E9C" w:rsidP="00EC0E9C">
            <w:pPr>
              <w:pStyle w:val="ListBullet2"/>
            </w:pPr>
            <w:r w:rsidRPr="00EC0E9C">
              <w:t>chemical use, child protection, construction, conveyancing/real estate, copyright, corporate governance, customs, credit</w:t>
            </w:r>
          </w:p>
          <w:p w:rsidR="00000000" w:rsidRPr="00EC0E9C" w:rsidP="00EC0E9C">
            <w:pPr>
              <w:pStyle w:val="ListBullet2"/>
            </w:pPr>
            <w:r w:rsidRPr="00EC0E9C">
              <w:t>education, electricity, environmental protection, equal opportunity</w:t>
            </w:r>
          </w:p>
          <w:p w:rsidR="00000000" w:rsidRPr="00EC0E9C" w:rsidP="00EC0E9C">
            <w:pPr>
              <w:pStyle w:val="ListBullet2"/>
            </w:pPr>
            <w:r w:rsidRPr="00EC0E9C">
              <w:t>financial services (including banking), fire, food h</w:t>
            </w:r>
            <w:r w:rsidRPr="00EC0E9C">
              <w:t>ygiene, freedom of information, freight forwarding</w:t>
            </w:r>
          </w:p>
          <w:p w:rsidR="00000000" w:rsidRPr="00EC0E9C" w:rsidP="00EC0E9C">
            <w:pPr>
              <w:pStyle w:val="ListBullet2"/>
            </w:pPr>
            <w:r w:rsidRPr="00EC0E9C">
              <w:t>gambling, gene technology</w:t>
            </w:r>
          </w:p>
          <w:p w:rsidR="00000000" w:rsidRPr="00EC0E9C" w:rsidP="00EC0E9C">
            <w:pPr>
              <w:pStyle w:val="ListBullet2"/>
            </w:pPr>
            <w:r w:rsidRPr="00EC0E9C">
              <w:t>health, human rights</w:t>
            </w:r>
          </w:p>
          <w:p w:rsidR="00000000" w:rsidRPr="00EC0E9C" w:rsidP="00EC0E9C">
            <w:pPr>
              <w:pStyle w:val="ListBullet2"/>
            </w:pPr>
            <w:r w:rsidRPr="00EC0E9C">
              <w:t>insurance, immigration, intellectual property</w:t>
            </w:r>
          </w:p>
          <w:p w:rsidR="00000000" w:rsidRPr="00EC0E9C" w:rsidP="00EC0E9C">
            <w:pPr>
              <w:pStyle w:val="ListBullet2"/>
            </w:pPr>
            <w:r w:rsidRPr="00EC0E9C">
              <w:t>land management</w:t>
            </w:r>
          </w:p>
          <w:p w:rsidR="00000000" w:rsidRPr="00EC0E9C" w:rsidP="00EC0E9C">
            <w:pPr>
              <w:pStyle w:val="ListBullet2"/>
            </w:pPr>
            <w:r w:rsidRPr="00EC0E9C">
              <w:t>pharmaceuticals, patents, privacy</w:t>
            </w:r>
          </w:p>
          <w:p w:rsidR="00000000" w:rsidRPr="00EC0E9C" w:rsidP="00EC0E9C">
            <w:pPr>
              <w:pStyle w:val="ListBullet2"/>
            </w:pPr>
            <w:r w:rsidRPr="00EC0E9C">
              <w:t>quarantine</w:t>
            </w:r>
          </w:p>
          <w:p w:rsidR="00000000" w:rsidRPr="00EC0E9C" w:rsidP="00EC0E9C">
            <w:pPr>
              <w:pStyle w:val="ListBullet2"/>
            </w:pPr>
            <w:r w:rsidRPr="00EC0E9C">
              <w:t>racing, rail transport, road transport</w:t>
            </w:r>
          </w:p>
          <w:p w:rsidR="00000000" w:rsidRPr="00EC0E9C" w:rsidP="00EC0E9C">
            <w:pPr>
              <w:pStyle w:val="ListBullet2"/>
            </w:pPr>
            <w:r w:rsidRPr="00EC0E9C">
              <w:t>safety (incl</w:t>
            </w:r>
            <w:r w:rsidRPr="00EC0E9C">
              <w:t>uding cross-industry generic regulations as well as industry, equipment or product-specific sub-categories e.g. marine safety, rail safety, food safety, aviation safety, road safety, dangerous goods, construction safety, mine safety, road safety, etc.), se</w:t>
            </w:r>
            <w:r w:rsidRPr="00EC0E9C">
              <w:t>curity, sewage, superannuation</w:t>
            </w:r>
          </w:p>
          <w:p w:rsidR="00000000" w:rsidRPr="00EC0E9C" w:rsidP="00EC0E9C">
            <w:pPr>
              <w:pStyle w:val="ListBullet2"/>
            </w:pPr>
            <w:r w:rsidRPr="00EC0E9C">
              <w:t>taxation, telecommunications, tobacco, trade practices and consumer protection</w:t>
            </w:r>
          </w:p>
          <w:p w:rsidR="00000000" w:rsidP="00EC0E9C">
            <w:pPr>
              <w:pStyle w:val="ListBullet2"/>
              <w:rPr>
                <w:lang w:val="en-NZ"/>
              </w:rPr>
            </w:pPr>
            <w:r w:rsidRPr="00EC0E9C">
              <w:t>water supply, workers compensation, workers rehabilitation</w:t>
            </w:r>
          </w:p>
        </w:tc>
      </w:tr>
      <w:tr w:rsidTr="00B73AC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rPr>
                <w:rStyle w:val="BoldandItalics"/>
              </w:rPr>
              <w:t>Sources of information on potential breaches in compliance requirements</w:t>
            </w:r>
            <w:r w:rsidRPr="00EC0E9C">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ListBullet"/>
            </w:pPr>
            <w:r w:rsidRPr="00EC0E9C">
              <w:t>external reviews of organisation operations</w:t>
            </w:r>
          </w:p>
          <w:p w:rsidR="00000000" w:rsidRPr="00EC0E9C" w:rsidP="00EC0E9C">
            <w:pPr>
              <w:pStyle w:val="ListBullet"/>
            </w:pPr>
            <w:r w:rsidRPr="00EC0E9C">
              <w:t>feedback from clients, suppliers</w:t>
            </w:r>
          </w:p>
          <w:p w:rsidR="00000000" w:rsidRPr="00EC0E9C" w:rsidP="00EC0E9C">
            <w:pPr>
              <w:pStyle w:val="ListBullet"/>
            </w:pPr>
            <w:r w:rsidRPr="00EC0E9C">
              <w:t>feedback from organisation managers and operations personnel</w:t>
            </w:r>
          </w:p>
          <w:p w:rsidR="00000000" w:rsidRPr="00EC0E9C" w:rsidP="00EC0E9C">
            <w:pPr>
              <w:pStyle w:val="ListBullet"/>
            </w:pPr>
            <w:r w:rsidRPr="00EC0E9C">
              <w:t>internal audit reports</w:t>
            </w:r>
          </w:p>
          <w:p w:rsidR="00000000" w:rsidP="00EC0E9C">
            <w:pPr>
              <w:pStyle w:val="ListBullet"/>
              <w:rPr>
                <w:lang w:val="en-NZ"/>
              </w:rPr>
            </w:pPr>
            <w:r w:rsidRPr="00EC0E9C">
              <w:t>reports from regulatory authorities and other organisations with an interest in compliance</w:t>
            </w:r>
          </w:p>
        </w:tc>
      </w:tr>
      <w:tr w:rsidTr="00B73AC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rPr>
                <w:rStyle w:val="BoldandItalics"/>
              </w:rPr>
              <w:t>Rel</w:t>
            </w:r>
            <w:r w:rsidRPr="00EC0E9C">
              <w:rPr>
                <w:rStyle w:val="BoldandItalics"/>
              </w:rPr>
              <w:t>evant regulatory authorities and other organisations with an interest in compliance</w:t>
            </w:r>
            <w:r w:rsidRPr="00EC0E9C">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ListBullet"/>
            </w:pPr>
            <w:r w:rsidRPr="00EC0E9C">
              <w:t>educational institutions and organisations</w:t>
            </w:r>
          </w:p>
          <w:p w:rsidR="00000000" w:rsidRPr="00EC0E9C" w:rsidP="00EC0E9C">
            <w:pPr>
              <w:pStyle w:val="ListBullet"/>
            </w:pPr>
            <w:r w:rsidRPr="00EC0E9C">
              <w:t>government departments</w:t>
            </w:r>
          </w:p>
          <w:p w:rsidR="00000000" w:rsidRPr="00EC0E9C" w:rsidP="00EC0E9C">
            <w:pPr>
              <w:pStyle w:val="ListBullet"/>
            </w:pPr>
            <w:r w:rsidRPr="00EC0E9C">
              <w:t>internal audit managers within the organisation</w:t>
            </w:r>
          </w:p>
          <w:p w:rsidR="00000000" w:rsidRPr="00EC0E9C" w:rsidP="00EC0E9C">
            <w:pPr>
              <w:pStyle w:val="ListBullet"/>
            </w:pPr>
            <w:r w:rsidRPr="00EC0E9C">
              <w:t>professional associations and institutes</w:t>
            </w:r>
          </w:p>
          <w:p w:rsidR="00000000" w:rsidP="00EC0E9C">
            <w:pPr>
              <w:pStyle w:val="ListBullet"/>
              <w:rPr>
                <w:lang w:val="en-NZ"/>
              </w:rPr>
            </w:pPr>
            <w:r w:rsidRPr="00EC0E9C">
              <w:t>regulatory authorities</w:t>
            </w:r>
          </w:p>
        </w:tc>
      </w:tr>
      <w:tr w:rsidTr="00B73ACB">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rPr>
                <w:rStyle w:val="BoldandItalics"/>
              </w:rPr>
              <w:t>Relevant internal and external personnel</w:t>
            </w:r>
            <w:r w:rsidRPr="00EC0E9C">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ListBullet"/>
            </w:pPr>
            <w:r w:rsidRPr="00EC0E9C">
              <w:t>board of directors</w:t>
            </w:r>
          </w:p>
          <w:p w:rsidR="00000000" w:rsidRPr="00EC0E9C" w:rsidP="00EC0E9C">
            <w:pPr>
              <w:pStyle w:val="ListBullet"/>
            </w:pPr>
            <w:r w:rsidRPr="00EC0E9C">
              <w:t>chief executive officer</w:t>
            </w:r>
          </w:p>
          <w:p w:rsidR="00000000" w:rsidRPr="00EC0E9C" w:rsidP="00EC0E9C">
            <w:pPr>
              <w:pStyle w:val="ListBullet"/>
            </w:pPr>
            <w:r w:rsidRPr="00EC0E9C">
              <w:t>chief executives and managers in organisations with an interest in the compliance issues being researched</w:t>
            </w:r>
          </w:p>
          <w:p w:rsidR="00000000" w:rsidRPr="00EC0E9C" w:rsidP="00EC0E9C">
            <w:pPr>
              <w:pStyle w:val="ListBullet"/>
            </w:pPr>
            <w:r w:rsidRPr="00EC0E9C">
              <w:t>compliance management team (w</w:t>
            </w:r>
            <w:r w:rsidRPr="00EC0E9C">
              <w:t>here relevant)</w:t>
            </w:r>
          </w:p>
          <w:p w:rsidR="00000000" w:rsidRPr="00EC0E9C" w:rsidP="00EC0E9C">
            <w:pPr>
              <w:pStyle w:val="ListBullet"/>
            </w:pPr>
            <w:r w:rsidRPr="00EC0E9C">
              <w:t>compliance specialists at the operational level</w:t>
            </w:r>
          </w:p>
          <w:p w:rsidR="00000000" w:rsidRPr="00EC0E9C" w:rsidP="00EC0E9C">
            <w:pPr>
              <w:pStyle w:val="ListBullet"/>
            </w:pPr>
            <w:r w:rsidRPr="00EC0E9C">
              <w:t>frontline managers</w:t>
            </w:r>
          </w:p>
          <w:p w:rsidR="00000000" w:rsidRPr="00EC0E9C" w:rsidP="00EC0E9C">
            <w:pPr>
              <w:pStyle w:val="ListBullet"/>
            </w:pPr>
            <w:r w:rsidRPr="00EC0E9C">
              <w:t>legal and business advisors and consultants with expertise and interest in compliance requirements and related management systems</w:t>
            </w:r>
          </w:p>
          <w:p w:rsidR="00000000" w:rsidRPr="00EC0E9C" w:rsidP="00EC0E9C">
            <w:pPr>
              <w:pStyle w:val="ListBullet"/>
            </w:pPr>
            <w:r w:rsidRPr="00EC0E9C">
              <w:t>representatives of professional associations</w:t>
            </w:r>
            <w:r w:rsidRPr="00EC0E9C">
              <w:t xml:space="preserve"> and institutes relevant to the organisation's operations and sphere of business</w:t>
            </w:r>
          </w:p>
          <w:p w:rsidR="00000000" w:rsidRPr="00EC0E9C" w:rsidP="00EC0E9C">
            <w:pPr>
              <w:pStyle w:val="ListBullet"/>
            </w:pPr>
            <w:r w:rsidRPr="00EC0E9C">
              <w:t>representatives of relevant authorities in pertinent compliance areas</w:t>
            </w:r>
          </w:p>
          <w:p w:rsidR="00000000" w:rsidRPr="00EC0E9C" w:rsidP="00EC0E9C">
            <w:pPr>
              <w:pStyle w:val="ListBullet"/>
            </w:pPr>
            <w:r w:rsidRPr="00EC0E9C">
              <w:t>senior management team</w:t>
            </w:r>
          </w:p>
        </w:tc>
      </w:tr>
    </w:tbl>
    <w:p w:rsidR="00B73ACB" w:rsidP="00EC0E9C">
      <w:pPr>
        <w:pStyle w:val="BodyText"/>
      </w:pPr>
    </w:p>
    <w:p w:rsidR="00B73ACB" w:rsidP="00EC0E9C">
      <w:pPr>
        <w:pStyle w:val="BodyText"/>
      </w:pPr>
    </w:p>
    <w:p w:rsidR="00000000" w:rsidRPr="00EC0E9C" w:rsidP="00EC0E9C">
      <w:pPr>
        <w:pStyle w:val="Heading1"/>
      </w:pPr>
      <w:bookmarkStart w:id="12" w:name="O_63170"/>
      <w:bookmarkEnd w:id="12"/>
      <w:r w:rsidRPr="00EC0E9C">
        <w:t>Unit Sector(s)</w:t>
      </w:r>
    </w:p>
    <w:tbl>
      <w:tblPr>
        <w:tblW w:w="0" w:type="auto"/>
        <w:tblLayout w:type="fixed"/>
        <w:tblCellMar>
          <w:left w:w="62" w:type="dxa"/>
          <w:right w:w="62" w:type="dxa"/>
        </w:tblCellMar>
        <w:tblLook w:val="0000"/>
      </w:tblPr>
      <w:tblGrid>
        <w:gridCol w:w="2654"/>
        <w:gridCol w:w="5868"/>
      </w:tblGrid>
      <w:tr w:rsidTr="00B73AC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BodyText"/>
            </w:pPr>
          </w:p>
        </w:tc>
      </w:tr>
    </w:tbl>
    <w:p w:rsidR="00000000" w:rsidRPr="00EC0E9C" w:rsidP="00EC0E9C">
      <w:pPr>
        <w:pStyle w:val="BodyText"/>
      </w:pPr>
    </w:p>
    <w:p w:rsidR="00000000" w:rsidRPr="00EC0E9C" w:rsidP="00EC0E9C">
      <w:pPr>
        <w:pStyle w:val="AllowPageBreak"/>
      </w:pPr>
    </w:p>
    <w:p w:rsidR="00000000" w:rsidRPr="00EC0E9C" w:rsidP="00EC0E9C">
      <w:pPr>
        <w:pStyle w:val="Heading1"/>
      </w:pPr>
      <w:bookmarkStart w:id="13" w:name="O_153819"/>
      <w:bookmarkEnd w:id="13"/>
      <w:r w:rsidRPr="00EC0E9C">
        <w:t>Competency field</w:t>
      </w:r>
    </w:p>
    <w:tbl>
      <w:tblPr>
        <w:tblW w:w="0" w:type="auto"/>
        <w:tblLayout w:type="fixed"/>
        <w:tblCellMar>
          <w:left w:w="62" w:type="dxa"/>
          <w:right w:w="62" w:type="dxa"/>
        </w:tblCellMar>
        <w:tblLook w:val="0000"/>
      </w:tblPr>
      <w:tblGrid>
        <w:gridCol w:w="2776"/>
        <w:gridCol w:w="5746"/>
      </w:tblGrid>
      <w:tr w:rsidTr="00B73ACB">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BodyText"/>
            </w:pPr>
            <w:r w:rsidRPr="00EC0E9C">
              <w:t>Regulation, Licensing and Risk - Compliance</w:t>
            </w:r>
          </w:p>
        </w:tc>
      </w:tr>
    </w:tbl>
    <w:p w:rsidR="00000000" w:rsidRPr="00EC0E9C" w:rsidP="00EC0E9C">
      <w:pPr>
        <w:pStyle w:val="BodyText"/>
      </w:pPr>
    </w:p>
    <w:p w:rsidR="00000000" w:rsidRPr="00EC0E9C" w:rsidP="00EC0E9C">
      <w:pPr>
        <w:pStyle w:val="AllowPageBreak"/>
      </w:pPr>
    </w:p>
    <w:p w:rsidR="00000000" w:rsidRPr="00EC0E9C" w:rsidP="00EC0E9C">
      <w:pPr>
        <w:pStyle w:val="Heading1"/>
      </w:pPr>
      <w:bookmarkStart w:id="14" w:name="O_153818"/>
      <w:bookmarkEnd w:id="14"/>
      <w:r w:rsidRPr="00EC0E9C">
        <w:t>Co-requisite units</w:t>
      </w:r>
    </w:p>
    <w:tbl>
      <w:tblPr>
        <w:tblW w:w="0" w:type="auto"/>
        <w:tblLayout w:type="fixed"/>
        <w:tblCellMar>
          <w:left w:w="62" w:type="dxa"/>
          <w:right w:w="62" w:type="dxa"/>
        </w:tblCellMar>
        <w:tblLook w:val="0000"/>
      </w:tblPr>
      <w:tblGrid>
        <w:gridCol w:w="2641"/>
        <w:gridCol w:w="1322"/>
        <w:gridCol w:w="4559"/>
      </w:tblGrid>
      <w:tr w:rsidTr="00B73AC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r w:rsidRPr="00EC0E9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p>
        </w:tc>
      </w:tr>
      <w:tr w:rsidTr="00B73A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E9C">
            <w:pPr>
              <w:pStyle w:val="BodyText"/>
              <w:rPr>
                <w:lang w:val="en-NZ"/>
              </w:rPr>
            </w:pPr>
          </w:p>
        </w:tc>
      </w:tr>
      <w:tr w:rsidTr="00B73A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E9C" w:rsidP="00EC0E9C">
            <w:pPr>
              <w:pStyle w:val="BodyText"/>
            </w:pPr>
          </w:p>
        </w:tc>
      </w:tr>
    </w:tbl>
    <w:p w:rsidR="00000000" w:rsidRPr="00EC0E9C" w:rsidP="00EC0E9C">
      <w:pPr>
        <w:pStyle w:val="BodyText"/>
      </w:pPr>
    </w:p>
    <w:p w:rsidR="00000000" w:rsidRPr="00EC0E9C" w:rsidP="00EC0E9C"/>
    <w:sectPr w:rsidSect="00EC0E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ACB" w:rsidP="00B73AC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CB" w:rsidP="00EC0E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73ACB" w:rsidP="00EC0E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3ACB" w:rsidP="00EC0E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9C" w:rsidRPr="00B73ACB" w:rsidP="00B73A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ACB" w:rsidRPr="002D2AF8" w:rsidP="00EC0E9C">
    <w:pPr>
      <w:pStyle w:val="Header"/>
      <w:framePr w:wrap="around"/>
    </w:pPr>
    <w:r>
      <w:fldChar w:fldCharType="begin"/>
    </w:r>
    <w:r>
      <w:instrText xml:space="preserve"> TITLE   \* MERGEFORMAT </w:instrText>
    </w:r>
    <w:r>
      <w:fldChar w:fldCharType="separate"/>
    </w:r>
    <w:r>
      <w:t>BSBCOM503B Develop processes for the management of breaches in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73ACB" w:rsidP="00EC0E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D061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F8C5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CA72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E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0E9C"/>
    <w:pPr>
      <w:spacing w:before="360" w:after="60"/>
      <w:outlineLvl w:val="0"/>
    </w:pPr>
    <w:rPr>
      <w:sz w:val="32"/>
    </w:rPr>
  </w:style>
  <w:style w:type="paragraph" w:styleId="Heading2">
    <w:name w:val="heading 2"/>
    <w:basedOn w:val="HeadingBase"/>
    <w:next w:val="BodyText"/>
    <w:link w:val="Heading2Char"/>
    <w:qFormat/>
    <w:rsid w:val="00EC0E9C"/>
    <w:pPr>
      <w:keepLines/>
      <w:spacing w:before="240" w:after="120"/>
      <w:outlineLvl w:val="1"/>
    </w:pPr>
    <w:rPr>
      <w:sz w:val="28"/>
      <w:szCs w:val="40"/>
    </w:rPr>
  </w:style>
  <w:style w:type="paragraph" w:styleId="Heading3">
    <w:name w:val="heading 3"/>
    <w:basedOn w:val="HeadingBase"/>
    <w:next w:val="BodyText"/>
    <w:link w:val="Heading3Char"/>
    <w:qFormat/>
    <w:rsid w:val="00EC0E9C"/>
    <w:pPr>
      <w:spacing w:before="180" w:after="120"/>
      <w:outlineLvl w:val="2"/>
    </w:pPr>
    <w:rPr>
      <w:spacing w:val="-10"/>
      <w:kern w:val="32"/>
    </w:rPr>
  </w:style>
  <w:style w:type="paragraph" w:styleId="Heading4">
    <w:name w:val="heading 4"/>
    <w:basedOn w:val="HeadingBase"/>
    <w:next w:val="BodyText"/>
    <w:link w:val="Heading4Char"/>
    <w:qFormat/>
    <w:rsid w:val="00EC0E9C"/>
    <w:pPr>
      <w:spacing w:before="160" w:after="120"/>
      <w:outlineLvl w:val="3"/>
    </w:pPr>
    <w:rPr>
      <w:sz w:val="22"/>
    </w:rPr>
  </w:style>
  <w:style w:type="paragraph" w:styleId="Heading5">
    <w:name w:val="heading 5"/>
    <w:basedOn w:val="HeadingBase"/>
    <w:next w:val="Normal"/>
    <w:link w:val="Heading5Char"/>
    <w:qFormat/>
    <w:rsid w:val="00EC0E9C"/>
    <w:pPr>
      <w:spacing w:before="80"/>
      <w:outlineLvl w:val="4"/>
    </w:pPr>
    <w:rPr>
      <w:color w:val="918585"/>
      <w:sz w:val="20"/>
    </w:rPr>
  </w:style>
  <w:style w:type="paragraph" w:styleId="Heading6">
    <w:name w:val="heading 6"/>
    <w:basedOn w:val="HeadingBase"/>
    <w:next w:val="Normal"/>
    <w:link w:val="Heading6Char"/>
    <w:qFormat/>
    <w:rsid w:val="00EC0E9C"/>
    <w:pPr>
      <w:spacing w:before="60"/>
      <w:outlineLvl w:val="5"/>
    </w:pPr>
    <w:rPr>
      <w:color w:val="918585"/>
      <w:sz w:val="20"/>
    </w:rPr>
  </w:style>
  <w:style w:type="paragraph" w:styleId="Heading7">
    <w:name w:val="heading 7"/>
    <w:basedOn w:val="Normal"/>
    <w:next w:val="Normal"/>
    <w:link w:val="Heading7Char"/>
    <w:qFormat/>
    <w:rsid w:val="00EC0E9C"/>
    <w:pPr>
      <w:ind w:left="720"/>
      <w:outlineLvl w:val="6"/>
    </w:pPr>
    <w:rPr>
      <w:i/>
    </w:rPr>
  </w:style>
  <w:style w:type="paragraph" w:styleId="Heading8">
    <w:name w:val="heading 8"/>
    <w:basedOn w:val="Normal"/>
    <w:next w:val="Normal"/>
    <w:link w:val="Heading8Char"/>
    <w:qFormat/>
    <w:rsid w:val="00EC0E9C"/>
    <w:pPr>
      <w:ind w:left="720"/>
      <w:outlineLvl w:val="7"/>
    </w:pPr>
    <w:rPr>
      <w:i/>
    </w:rPr>
  </w:style>
  <w:style w:type="paragraph" w:styleId="Heading9">
    <w:name w:val="heading 9"/>
    <w:basedOn w:val="Normal"/>
    <w:next w:val="Normal"/>
    <w:link w:val="Heading9Char"/>
    <w:qFormat/>
    <w:rsid w:val="00EC0E9C"/>
    <w:pPr>
      <w:ind w:left="720"/>
      <w:outlineLvl w:val="8"/>
    </w:pPr>
    <w:rPr>
      <w:i/>
    </w:rPr>
  </w:style>
  <w:style w:type="character" w:default="1" w:styleId="DefaultParagraphFont">
    <w:name w:val="Default Paragraph Font"/>
    <w:uiPriority w:val="1"/>
    <w:unhideWhenUsed/>
    <w:rsid w:val="00EC0E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E9C"/>
  </w:style>
  <w:style w:type="character" w:customStyle="1" w:styleId="Heading1Char">
    <w:name w:val="Heading 1 Char"/>
    <w:basedOn w:val="DefaultParagraphFont"/>
    <w:link w:val="Heading1"/>
    <w:rsid w:val="00EC0E9C"/>
    <w:rPr>
      <w:rFonts w:ascii="Times New Roman" w:eastAsia="Times New Roman" w:hAnsi="Times New Roman" w:cs="Times New Roman"/>
      <w:b/>
      <w:sz w:val="32"/>
      <w:szCs w:val="20"/>
      <w:lang w:eastAsia="en-US"/>
    </w:rPr>
  </w:style>
  <w:style w:type="paragraph" w:styleId="BodyText">
    <w:name w:val="Body Text"/>
    <w:basedOn w:val="Normal"/>
    <w:link w:val="BodyTextChar"/>
    <w:rsid w:val="00EC0E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0E9C"/>
    <w:rPr>
      <w:rFonts w:ascii="Times New Roman" w:eastAsia="Times New Roman" w:hAnsi="Times New Roman" w:cs="Times New Roman"/>
      <w:sz w:val="24"/>
      <w:lang w:eastAsia="en-US"/>
    </w:rPr>
  </w:style>
  <w:style w:type="paragraph" w:styleId="Footer">
    <w:name w:val="footer"/>
    <w:basedOn w:val="Normal"/>
    <w:link w:val="FooterChar"/>
    <w:rsid w:val="00EC0E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E9C"/>
    <w:rPr>
      <w:rFonts w:ascii="Times New Roman" w:eastAsia="Times New Roman" w:hAnsi="Times New Roman" w:cs="Times New Roman"/>
      <w:sz w:val="16"/>
      <w:lang w:eastAsia="en-US"/>
    </w:rPr>
  </w:style>
  <w:style w:type="paragraph" w:styleId="List">
    <w:name w:val="List"/>
    <w:basedOn w:val="BodyText"/>
    <w:next w:val="BodyText"/>
    <w:rsid w:val="00EC0E9C"/>
    <w:pPr>
      <w:tabs>
        <w:tab w:val="left" w:pos="340"/>
      </w:tabs>
      <w:spacing w:before="60" w:after="60"/>
      <w:ind w:left="340" w:hanging="340"/>
    </w:pPr>
  </w:style>
  <w:style w:type="paragraph" w:styleId="ListBullet">
    <w:name w:val="List Bullet"/>
    <w:basedOn w:val="List"/>
    <w:rsid w:val="00EC0E9C"/>
    <w:pPr>
      <w:numPr>
        <w:numId w:val="13"/>
      </w:numPr>
      <w:tabs>
        <w:tab w:val="clear" w:pos="340"/>
      </w:tabs>
      <w:spacing w:before="40" w:after="40"/>
    </w:pPr>
  </w:style>
  <w:style w:type="character" w:customStyle="1" w:styleId="SpecialBold">
    <w:name w:val="Special Bold"/>
    <w:basedOn w:val="DefaultParagraphFont"/>
    <w:rsid w:val="00EC0E9C"/>
    <w:rPr>
      <w:b/>
      <w:spacing w:val="0"/>
    </w:rPr>
  </w:style>
  <w:style w:type="paragraph" w:styleId="ListBullet2">
    <w:name w:val="List Bullet 2"/>
    <w:basedOn w:val="List2"/>
    <w:rsid w:val="00EC0E9C"/>
    <w:pPr>
      <w:numPr>
        <w:numId w:val="14"/>
      </w:numPr>
      <w:tabs>
        <w:tab w:val="clear" w:pos="680"/>
      </w:tabs>
    </w:pPr>
  </w:style>
  <w:style w:type="paragraph" w:customStyle="1" w:styleId="SuperHeading">
    <w:name w:val="SuperHeading"/>
    <w:basedOn w:val="Normal"/>
    <w:rsid w:val="00EC0E9C"/>
    <w:pPr>
      <w:spacing w:before="240" w:after="120"/>
      <w:outlineLvl w:val="0"/>
    </w:pPr>
    <w:rPr>
      <w:rFonts w:ascii="Times New Roman" w:hAnsi="Times New Roman"/>
      <w:b/>
      <w:sz w:val="28"/>
    </w:rPr>
  </w:style>
  <w:style w:type="paragraph" w:customStyle="1" w:styleId="AllowPageBreak">
    <w:name w:val="AllowPageBreak"/>
    <w:rsid w:val="00EC0E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0E9C"/>
    <w:pPr>
      <w:tabs>
        <w:tab w:val="left" w:pos="680"/>
      </w:tabs>
      <w:spacing w:before="60" w:after="60"/>
      <w:ind w:left="680" w:hanging="340"/>
    </w:pPr>
  </w:style>
  <w:style w:type="character" w:customStyle="1" w:styleId="BoldandItalics">
    <w:name w:val="Bold and Italics"/>
    <w:qFormat/>
    <w:rsid w:val="00EC0E9C"/>
    <w:rPr>
      <w:b/>
      <w:i/>
      <w:u w:val="none"/>
    </w:rPr>
  </w:style>
  <w:style w:type="character" w:customStyle="1" w:styleId="Heading2Char">
    <w:name w:val="Heading 2 Char"/>
    <w:basedOn w:val="DefaultParagraphFont"/>
    <w:link w:val="Heading2"/>
    <w:rsid w:val="00EC0E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E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E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E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E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E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0E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0E9C"/>
    <w:rPr>
      <w:rFonts w:ascii="Courier New" w:eastAsia="Times New Roman" w:hAnsi="Courier New" w:cs="Times New Roman"/>
      <w:i/>
      <w:szCs w:val="20"/>
      <w:lang w:eastAsia="en-US"/>
    </w:rPr>
  </w:style>
  <w:style w:type="paragraph" w:customStyle="1" w:styleId="HeadingBase">
    <w:name w:val="Heading Base"/>
    <w:rsid w:val="00EC0E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E9C"/>
    <w:pPr>
      <w:tabs>
        <w:tab w:val="right" w:leader="dot" w:pos="9072"/>
      </w:tabs>
      <w:ind w:left="567"/>
    </w:pPr>
    <w:rPr>
      <w:szCs w:val="22"/>
    </w:rPr>
  </w:style>
  <w:style w:type="paragraph" w:customStyle="1" w:styleId="TOCBase">
    <w:name w:val="TOC Base"/>
    <w:rsid w:val="00EC0E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E9C"/>
    <w:pPr>
      <w:tabs>
        <w:tab w:val="right" w:leader="dot" w:pos="9072"/>
      </w:tabs>
      <w:spacing w:before="40" w:after="40"/>
      <w:ind w:left="284"/>
    </w:pPr>
    <w:rPr>
      <w:rFonts w:ascii="Times New Roman" w:hAnsi="Times New Roman"/>
    </w:rPr>
  </w:style>
  <w:style w:type="paragraph" w:styleId="TOC1">
    <w:name w:val="toc 1"/>
    <w:basedOn w:val="TOCBase"/>
    <w:next w:val="Normal"/>
    <w:rsid w:val="00EC0E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0E9C"/>
    <w:pPr>
      <w:spacing w:before="5040"/>
      <w:jc w:val="center"/>
    </w:pPr>
    <w:rPr>
      <w:sz w:val="48"/>
      <w:szCs w:val="72"/>
      <w:lang w:val="en-US"/>
    </w:rPr>
  </w:style>
  <w:style w:type="character" w:customStyle="1" w:styleId="TitleChar">
    <w:name w:val="Title Char"/>
    <w:basedOn w:val="DefaultParagraphFont"/>
    <w:link w:val="Title"/>
    <w:rsid w:val="00EC0E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E9C"/>
    <w:pPr>
      <w:tabs>
        <w:tab w:val="left" w:pos="3600"/>
        <w:tab w:val="left" w:pos="3958"/>
      </w:tabs>
    </w:pPr>
  </w:style>
  <w:style w:type="paragraph" w:customStyle="1" w:styleId="Note">
    <w:name w:val="Note"/>
    <w:basedOn w:val="BodyText"/>
    <w:rsid w:val="00EC0E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E9C"/>
    <w:pPr>
      <w:framePr w:wrap="auto" w:hAnchor="text" w:y="6049"/>
    </w:pPr>
    <w:rPr>
      <w:color w:val="000000"/>
      <w:sz w:val="40"/>
    </w:rPr>
  </w:style>
  <w:style w:type="paragraph" w:customStyle="1" w:styleId="TOCTitle">
    <w:name w:val="TOCTitle"/>
    <w:basedOn w:val="Heading1"/>
    <w:rsid w:val="00EC0E9C"/>
    <w:pPr>
      <w:spacing w:after="240"/>
      <w:jc w:val="center"/>
      <w:outlineLvl w:val="9"/>
    </w:pPr>
    <w:rPr>
      <w:caps/>
    </w:rPr>
  </w:style>
  <w:style w:type="paragraph" w:customStyle="1" w:styleId="Version">
    <w:name w:val="Version"/>
    <w:rsid w:val="00EC0E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0E9C"/>
    <w:pPr>
      <w:keepNext w:val="0"/>
      <w:tabs>
        <w:tab w:val="right" w:pos="4176"/>
      </w:tabs>
      <w:ind w:left="198" w:hanging="198"/>
    </w:pPr>
    <w:rPr>
      <w:rFonts w:ascii="Garamond" w:hAnsi="Garamond"/>
    </w:rPr>
  </w:style>
  <w:style w:type="paragraph" w:styleId="IndexHeading">
    <w:name w:val="index heading"/>
    <w:basedOn w:val="Normal"/>
    <w:next w:val="Index1"/>
    <w:semiHidden/>
    <w:rsid w:val="00EC0E9C"/>
    <w:pPr>
      <w:spacing w:before="120" w:after="120"/>
    </w:pPr>
    <w:rPr>
      <w:rFonts w:ascii="Arial" w:hAnsi="Arial"/>
      <w:b/>
      <w:color w:val="918585"/>
      <w:sz w:val="24"/>
    </w:rPr>
  </w:style>
  <w:style w:type="paragraph" w:styleId="Header">
    <w:name w:val="header"/>
    <w:basedOn w:val="Normal"/>
    <w:link w:val="HeaderChar"/>
    <w:rsid w:val="00EC0E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E9C"/>
    <w:rPr>
      <w:rFonts w:ascii="Times New Roman" w:eastAsia="Times New Roman" w:hAnsi="Times New Roman" w:cs="Times New Roman"/>
      <w:sz w:val="16"/>
      <w:szCs w:val="20"/>
      <w:lang w:val="en-GB" w:eastAsia="en-US"/>
    </w:rPr>
  </w:style>
  <w:style w:type="paragraph" w:customStyle="1" w:styleId="Chapter">
    <w:name w:val="Chapter"/>
    <w:basedOn w:val="Normal"/>
    <w:rsid w:val="00EC0E9C"/>
    <w:pPr>
      <w:spacing w:before="240"/>
    </w:pPr>
    <w:rPr>
      <w:rFonts w:ascii="Times New Roman" w:hAnsi="Times New Roman"/>
      <w:smallCaps/>
      <w:spacing w:val="80"/>
      <w:sz w:val="28"/>
    </w:rPr>
  </w:style>
  <w:style w:type="paragraph" w:customStyle="1" w:styleId="InChapter">
    <w:name w:val="InChapter"/>
    <w:basedOn w:val="Heading3"/>
    <w:rsid w:val="00EC0E9C"/>
    <w:pPr>
      <w:spacing w:after="240"/>
      <w:outlineLvl w:val="9"/>
    </w:pPr>
    <w:rPr>
      <w:noProof/>
    </w:rPr>
  </w:style>
  <w:style w:type="paragraph" w:styleId="Index2">
    <w:name w:val="index 2"/>
    <w:basedOn w:val="Normal"/>
    <w:next w:val="Normal"/>
    <w:semiHidden/>
    <w:rsid w:val="00EC0E9C"/>
    <w:pPr>
      <w:tabs>
        <w:tab w:val="right" w:pos="4176"/>
      </w:tabs>
      <w:ind w:left="568" w:hanging="284"/>
    </w:pPr>
    <w:rPr>
      <w:rFonts w:ascii="Garamond" w:hAnsi="Garamond"/>
    </w:rPr>
  </w:style>
  <w:style w:type="paragraph" w:customStyle="1" w:styleId="Byline">
    <w:name w:val="Byline"/>
    <w:rsid w:val="00EC0E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E9C"/>
    <w:pPr>
      <w:tabs>
        <w:tab w:val="clear" w:pos="3600"/>
        <w:tab w:val="clear" w:pos="3958"/>
      </w:tabs>
      <w:jc w:val="right"/>
    </w:pPr>
  </w:style>
  <w:style w:type="character" w:styleId="Emphasis">
    <w:name w:val="Emphasis"/>
    <w:basedOn w:val="DefaultParagraphFont"/>
    <w:qFormat/>
    <w:rsid w:val="00EC0E9C"/>
    <w:rPr>
      <w:i/>
    </w:rPr>
  </w:style>
  <w:style w:type="paragraph" w:styleId="Caption">
    <w:name w:val="caption"/>
    <w:basedOn w:val="BodyText"/>
    <w:next w:val="Normal"/>
    <w:qFormat/>
    <w:rsid w:val="00EC0E9C"/>
    <w:pPr>
      <w:framePr w:w="2268" w:hSpace="181" w:vSpace="181" w:wrap="around" w:vAnchor="text" w:hAnchor="page" w:x="1135" w:y="285" w:anchorLock="1"/>
    </w:pPr>
    <w:rPr>
      <w:i/>
    </w:rPr>
  </w:style>
  <w:style w:type="paragraph" w:customStyle="1" w:styleId="MiniTOCTitle">
    <w:name w:val="MiniTOCTitle"/>
    <w:basedOn w:val="Heading4"/>
    <w:rsid w:val="00EC0E9C"/>
    <w:pPr>
      <w:spacing w:before="240"/>
      <w:outlineLvl w:val="9"/>
    </w:pPr>
    <w:rPr>
      <w:noProof/>
      <w:sz w:val="24"/>
    </w:rPr>
  </w:style>
  <w:style w:type="paragraph" w:customStyle="1" w:styleId="MiniTOCItem">
    <w:name w:val="MiniTOCItem"/>
    <w:basedOn w:val="ListBullet"/>
    <w:rsid w:val="00EC0E9C"/>
    <w:pPr>
      <w:numPr>
        <w:numId w:val="0"/>
      </w:numPr>
      <w:tabs>
        <w:tab w:val="right" w:leader="dot" w:pos="6521"/>
      </w:tabs>
      <w:spacing w:before="0" w:after="0"/>
    </w:pPr>
  </w:style>
  <w:style w:type="paragraph" w:customStyle="1" w:styleId="TOFTitle">
    <w:name w:val="TOFTitle"/>
    <w:basedOn w:val="TOCTitle"/>
    <w:rsid w:val="00EC0E9C"/>
  </w:style>
  <w:style w:type="paragraph" w:styleId="TableofFigures">
    <w:name w:val="table of figures"/>
    <w:basedOn w:val="Normal"/>
    <w:next w:val="Normal"/>
    <w:semiHidden/>
    <w:rsid w:val="00EC0E9C"/>
    <w:pPr>
      <w:tabs>
        <w:tab w:val="right" w:leader="dot" w:pos="9072"/>
      </w:tabs>
      <w:ind w:left="970" w:hanging="403"/>
    </w:pPr>
    <w:rPr>
      <w:rFonts w:ascii="Times New Roman" w:hAnsi="Times New Roman"/>
      <w:b/>
    </w:rPr>
  </w:style>
  <w:style w:type="paragraph" w:styleId="ListNumber">
    <w:name w:val="List Number"/>
    <w:basedOn w:val="List"/>
    <w:rsid w:val="00EC0E9C"/>
    <w:pPr>
      <w:numPr>
        <w:numId w:val="11"/>
      </w:numPr>
    </w:pPr>
  </w:style>
  <w:style w:type="character" w:customStyle="1" w:styleId="WingdingSymbols">
    <w:name w:val="Wingding Symbols"/>
    <w:rsid w:val="00EC0E9C"/>
    <w:rPr>
      <w:rFonts w:ascii="Wingdings" w:hAnsi="Wingdings"/>
    </w:rPr>
  </w:style>
  <w:style w:type="paragraph" w:customStyle="1" w:styleId="TableHeading">
    <w:name w:val="Table Heading"/>
    <w:basedOn w:val="HeadingBase"/>
    <w:rsid w:val="00EC0E9C"/>
    <w:pPr>
      <w:keepLines/>
      <w:pBdr>
        <w:bottom w:val="single" w:sz="6" w:space="1" w:color="918585"/>
      </w:pBdr>
      <w:spacing w:before="240"/>
    </w:pPr>
  </w:style>
  <w:style w:type="character" w:customStyle="1" w:styleId="HotSpot">
    <w:name w:val="HotSpot"/>
    <w:rsid w:val="00EC0E9C"/>
    <w:rPr>
      <w:color w:val="0033CC"/>
      <w:u w:val="none"/>
    </w:rPr>
  </w:style>
  <w:style w:type="paragraph" w:customStyle="1" w:styleId="BodyTextRight">
    <w:name w:val="Body Text Right"/>
    <w:basedOn w:val="BodyText"/>
    <w:rsid w:val="00EC0E9C"/>
    <w:pPr>
      <w:spacing w:before="0" w:after="0"/>
      <w:jc w:val="right"/>
    </w:pPr>
  </w:style>
  <w:style w:type="paragraph" w:styleId="Index3">
    <w:name w:val="index 3"/>
    <w:basedOn w:val="ListNumber2"/>
    <w:next w:val="Normal"/>
    <w:semiHidden/>
    <w:rsid w:val="00EC0E9C"/>
    <w:pPr>
      <w:numPr>
        <w:numId w:val="0"/>
      </w:numPr>
      <w:tabs>
        <w:tab w:val="right" w:leader="dot" w:pos="4176"/>
      </w:tabs>
    </w:pPr>
  </w:style>
  <w:style w:type="paragraph" w:styleId="ListNumber2">
    <w:name w:val="List Number 2"/>
    <w:basedOn w:val="List2"/>
    <w:rsid w:val="00EC0E9C"/>
    <w:pPr>
      <w:numPr>
        <w:numId w:val="10"/>
      </w:numPr>
      <w:tabs>
        <w:tab w:val="clear" w:pos="1060"/>
      </w:tabs>
    </w:pPr>
  </w:style>
  <w:style w:type="paragraph" w:customStyle="1" w:styleId="MarginNote">
    <w:name w:val="Margin Note"/>
    <w:basedOn w:val="BodyText"/>
    <w:rsid w:val="00EC0E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E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E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0E9C"/>
    <w:rPr>
      <w:sz w:val="32"/>
    </w:rPr>
  </w:style>
  <w:style w:type="paragraph" w:customStyle="1" w:styleId="HeadingProcedure">
    <w:name w:val="Heading Procedure"/>
    <w:basedOn w:val="HeadingBase"/>
    <w:next w:val="Normal"/>
    <w:rsid w:val="00EC0E9C"/>
    <w:pPr>
      <w:tabs>
        <w:tab w:val="left" w:pos="0"/>
      </w:tabs>
      <w:spacing w:before="120" w:after="60"/>
    </w:pPr>
    <w:rPr>
      <w:i/>
      <w:color w:val="918585"/>
      <w:sz w:val="22"/>
    </w:rPr>
  </w:style>
  <w:style w:type="paragraph" w:customStyle="1" w:styleId="TableBodyText">
    <w:name w:val="Table Body Text"/>
    <w:basedOn w:val="BodyText"/>
    <w:rsid w:val="00EC0E9C"/>
    <w:pPr>
      <w:spacing w:before="60" w:after="60"/>
    </w:pPr>
  </w:style>
  <w:style w:type="paragraph" w:styleId="ListContinue">
    <w:name w:val="List Continue"/>
    <w:basedOn w:val="List"/>
    <w:rsid w:val="00EC0E9C"/>
    <w:pPr>
      <w:ind w:firstLine="0"/>
    </w:pPr>
  </w:style>
  <w:style w:type="paragraph" w:customStyle="1" w:styleId="ListNote">
    <w:name w:val="List Note"/>
    <w:basedOn w:val="List"/>
    <w:rsid w:val="00EC0E9C"/>
    <w:pPr>
      <w:pBdr>
        <w:top w:val="single" w:sz="6" w:space="2" w:color="918585"/>
        <w:bottom w:val="single" w:sz="6" w:space="2" w:color="918585"/>
      </w:pBdr>
      <w:tabs>
        <w:tab w:val="left" w:pos="1021"/>
      </w:tabs>
      <w:ind w:firstLine="0"/>
    </w:pPr>
  </w:style>
  <w:style w:type="paragraph" w:customStyle="1" w:styleId="Warning">
    <w:name w:val="Warning"/>
    <w:basedOn w:val="BodyText"/>
    <w:rsid w:val="00EC0E9C"/>
    <w:pPr>
      <w:shd w:val="clear" w:color="auto" w:fill="D9D9D9"/>
      <w:tabs>
        <w:tab w:val="left" w:pos="992"/>
      </w:tabs>
      <w:ind w:left="119" w:right="119"/>
    </w:pPr>
    <w:rPr>
      <w:sz w:val="20"/>
    </w:rPr>
  </w:style>
  <w:style w:type="paragraph" w:customStyle="1" w:styleId="MarginIcons">
    <w:name w:val="Margin Icons"/>
    <w:basedOn w:val="BodyText"/>
    <w:rsid w:val="00EC0E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E9C"/>
    <w:rPr>
      <w:rFonts w:ascii="Courier New" w:hAnsi="Courier New"/>
    </w:rPr>
  </w:style>
  <w:style w:type="paragraph" w:customStyle="1" w:styleId="NoteBullet">
    <w:name w:val="Note Bullet"/>
    <w:basedOn w:val="Note"/>
    <w:rsid w:val="00EC0E9C"/>
    <w:pPr>
      <w:tabs>
        <w:tab w:val="clear" w:pos="680"/>
      </w:tabs>
      <w:spacing w:before="60" w:after="60"/>
    </w:pPr>
  </w:style>
  <w:style w:type="paragraph" w:customStyle="1" w:styleId="SubHeading2">
    <w:name w:val="SubHeading2"/>
    <w:basedOn w:val="HeadingBase"/>
    <w:rsid w:val="00EC0E9C"/>
    <w:pPr>
      <w:spacing w:before="240" w:after="60"/>
    </w:pPr>
    <w:rPr>
      <w:sz w:val="20"/>
    </w:rPr>
  </w:style>
  <w:style w:type="paragraph" w:customStyle="1" w:styleId="SubHeading1">
    <w:name w:val="SubHeading1"/>
    <w:basedOn w:val="HeadingBase"/>
    <w:rsid w:val="00EC0E9C"/>
    <w:pPr>
      <w:spacing w:before="240" w:after="60"/>
    </w:pPr>
    <w:rPr>
      <w:color w:val="918585"/>
      <w:sz w:val="22"/>
    </w:rPr>
  </w:style>
  <w:style w:type="paragraph" w:customStyle="1" w:styleId="SideHeading">
    <w:name w:val="Side Heading"/>
    <w:basedOn w:val="HeadingBase"/>
    <w:rsid w:val="00EC0E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E9C"/>
    <w:pPr>
      <w:numPr>
        <w:numId w:val="12"/>
      </w:numPr>
    </w:pPr>
  </w:style>
  <w:style w:type="paragraph" w:styleId="PlainText">
    <w:name w:val="Plain Text"/>
    <w:basedOn w:val="Normal"/>
    <w:link w:val="PlainTextChar"/>
    <w:rsid w:val="00EC0E9C"/>
    <w:rPr>
      <w:sz w:val="20"/>
    </w:rPr>
  </w:style>
  <w:style w:type="character" w:customStyle="1" w:styleId="PlainTextChar">
    <w:name w:val="Plain Text Char"/>
    <w:basedOn w:val="DefaultParagraphFont"/>
    <w:link w:val="PlainText"/>
    <w:rsid w:val="00EC0E9C"/>
    <w:rPr>
      <w:rFonts w:ascii="Courier New" w:eastAsia="Times New Roman" w:hAnsi="Courier New" w:cs="Times New Roman"/>
      <w:sz w:val="20"/>
      <w:szCs w:val="20"/>
      <w:lang w:eastAsia="en-US"/>
    </w:rPr>
  </w:style>
  <w:style w:type="character" w:customStyle="1" w:styleId="MenuOption">
    <w:name w:val="Menu Option"/>
    <w:basedOn w:val="DefaultParagraphFont"/>
    <w:rsid w:val="00EC0E9C"/>
    <w:rPr>
      <w:b/>
      <w:smallCaps/>
    </w:rPr>
  </w:style>
  <w:style w:type="paragraph" w:customStyle="1" w:styleId="TableListNumber">
    <w:name w:val="Table List Number"/>
    <w:basedOn w:val="ListNumber"/>
    <w:rsid w:val="00EC0E9C"/>
    <w:pPr>
      <w:numPr>
        <w:numId w:val="0"/>
      </w:numPr>
    </w:pPr>
  </w:style>
  <w:style w:type="paragraph" w:styleId="TOC4">
    <w:name w:val="toc 4"/>
    <w:basedOn w:val="TOCBase"/>
    <w:next w:val="Normal"/>
    <w:semiHidden/>
    <w:rsid w:val="00EC0E9C"/>
    <w:pPr>
      <w:tabs>
        <w:tab w:val="right" w:leader="dot" w:pos="9071"/>
      </w:tabs>
      <w:ind w:left="1701"/>
    </w:pPr>
  </w:style>
  <w:style w:type="paragraph" w:customStyle="1" w:styleId="ListAlpha">
    <w:name w:val="List Alpha"/>
    <w:basedOn w:val="List"/>
    <w:rsid w:val="00EC0E9C"/>
    <w:pPr>
      <w:numPr>
        <w:numId w:val="9"/>
      </w:numPr>
    </w:pPr>
  </w:style>
  <w:style w:type="paragraph" w:customStyle="1" w:styleId="ListAlpha2">
    <w:name w:val="List Alpha 2"/>
    <w:basedOn w:val="List2"/>
    <w:rsid w:val="00EC0E9C"/>
    <w:pPr>
      <w:numPr>
        <w:numId w:val="8"/>
      </w:numPr>
    </w:pPr>
  </w:style>
  <w:style w:type="paragraph" w:styleId="List3">
    <w:name w:val="List 3"/>
    <w:basedOn w:val="BodyText"/>
    <w:rsid w:val="00EC0E9C"/>
    <w:pPr>
      <w:tabs>
        <w:tab w:val="left" w:pos="1021"/>
      </w:tabs>
      <w:spacing w:before="60" w:after="60"/>
      <w:ind w:left="1020" w:hanging="340"/>
    </w:pPr>
  </w:style>
  <w:style w:type="paragraph" w:styleId="List4">
    <w:name w:val="List 4"/>
    <w:basedOn w:val="BodyText"/>
    <w:rsid w:val="00EC0E9C"/>
    <w:pPr>
      <w:tabs>
        <w:tab w:val="left" w:pos="1361"/>
      </w:tabs>
      <w:spacing w:before="60" w:after="60"/>
      <w:ind w:left="1361" w:hanging="340"/>
    </w:pPr>
  </w:style>
  <w:style w:type="paragraph" w:styleId="List5">
    <w:name w:val="List 5"/>
    <w:basedOn w:val="BodyText"/>
    <w:rsid w:val="00EC0E9C"/>
    <w:pPr>
      <w:tabs>
        <w:tab w:val="left" w:pos="1701"/>
      </w:tabs>
      <w:spacing w:before="60" w:after="60"/>
      <w:ind w:left="1701" w:hanging="340"/>
    </w:pPr>
  </w:style>
  <w:style w:type="paragraph" w:styleId="ListBullet3">
    <w:name w:val="List Bullet 3"/>
    <w:basedOn w:val="List3"/>
    <w:rsid w:val="00EC0E9C"/>
    <w:pPr>
      <w:numPr>
        <w:numId w:val="15"/>
      </w:numPr>
      <w:tabs>
        <w:tab w:val="clear" w:pos="1021"/>
      </w:tabs>
      <w:ind w:left="1037" w:hanging="357"/>
    </w:pPr>
  </w:style>
  <w:style w:type="paragraph" w:styleId="ListBullet4">
    <w:name w:val="List Bullet 4"/>
    <w:basedOn w:val="List4"/>
    <w:rsid w:val="00EC0E9C"/>
    <w:pPr>
      <w:numPr>
        <w:numId w:val="3"/>
      </w:numPr>
    </w:pPr>
  </w:style>
  <w:style w:type="paragraph" w:styleId="ListBullet5">
    <w:name w:val="List Bullet 5"/>
    <w:basedOn w:val="List5"/>
    <w:rsid w:val="00EC0E9C"/>
    <w:pPr>
      <w:numPr>
        <w:numId w:val="4"/>
      </w:numPr>
    </w:pPr>
  </w:style>
  <w:style w:type="paragraph" w:styleId="ListContinue2">
    <w:name w:val="List Continue 2"/>
    <w:basedOn w:val="List2"/>
    <w:rsid w:val="00EC0E9C"/>
    <w:pPr>
      <w:ind w:firstLine="0"/>
    </w:pPr>
  </w:style>
  <w:style w:type="paragraph" w:styleId="ListContinue3">
    <w:name w:val="List Continue 3"/>
    <w:basedOn w:val="List3"/>
    <w:rsid w:val="00EC0E9C"/>
    <w:pPr>
      <w:ind w:left="1021" w:firstLine="0"/>
    </w:pPr>
  </w:style>
  <w:style w:type="paragraph" w:styleId="ListContinue4">
    <w:name w:val="List Continue 4"/>
    <w:basedOn w:val="List4"/>
    <w:rsid w:val="00EC0E9C"/>
    <w:pPr>
      <w:ind w:firstLine="0"/>
    </w:pPr>
  </w:style>
  <w:style w:type="paragraph" w:styleId="ListContinue5">
    <w:name w:val="List Continue 5"/>
    <w:basedOn w:val="List5"/>
    <w:rsid w:val="00EC0E9C"/>
    <w:pPr>
      <w:ind w:firstLine="0"/>
    </w:pPr>
  </w:style>
  <w:style w:type="paragraph" w:styleId="ListNumber3">
    <w:name w:val="List Number 3"/>
    <w:basedOn w:val="List3"/>
    <w:rsid w:val="00EC0E9C"/>
    <w:pPr>
      <w:numPr>
        <w:numId w:val="5"/>
      </w:numPr>
    </w:pPr>
  </w:style>
  <w:style w:type="paragraph" w:styleId="ListNumber4">
    <w:name w:val="List Number 4"/>
    <w:basedOn w:val="List4"/>
    <w:rsid w:val="00EC0E9C"/>
    <w:pPr>
      <w:numPr>
        <w:numId w:val="6"/>
      </w:numPr>
    </w:pPr>
  </w:style>
  <w:style w:type="paragraph" w:styleId="ListNumber5">
    <w:name w:val="List Number 5"/>
    <w:basedOn w:val="List5"/>
    <w:rsid w:val="00EC0E9C"/>
    <w:pPr>
      <w:numPr>
        <w:numId w:val="7"/>
      </w:numPr>
    </w:pPr>
  </w:style>
  <w:style w:type="paragraph" w:styleId="BlockText">
    <w:name w:val="Block Text"/>
    <w:basedOn w:val="Normal"/>
    <w:rsid w:val="00EC0E9C"/>
    <w:pPr>
      <w:spacing w:after="120"/>
      <w:ind w:left="1440" w:right="1440"/>
    </w:pPr>
  </w:style>
  <w:style w:type="character" w:customStyle="1" w:styleId="Subscript">
    <w:name w:val="Subscript"/>
    <w:basedOn w:val="DefaultParagraphFont"/>
    <w:rsid w:val="00EC0E9C"/>
    <w:rPr>
      <w:sz w:val="16"/>
      <w:vertAlign w:val="subscript"/>
    </w:rPr>
  </w:style>
  <w:style w:type="character" w:customStyle="1" w:styleId="Superscript">
    <w:name w:val="Superscript"/>
    <w:basedOn w:val="DefaultParagraphFont"/>
    <w:rsid w:val="00EC0E9C"/>
    <w:rPr>
      <w:sz w:val="16"/>
      <w:vertAlign w:val="superscript"/>
    </w:rPr>
  </w:style>
  <w:style w:type="character" w:customStyle="1" w:styleId="Symbols">
    <w:name w:val="Symbols"/>
    <w:basedOn w:val="DefaultParagraphFont"/>
    <w:rsid w:val="00EC0E9C"/>
    <w:rPr>
      <w:rFonts w:ascii="Symbol" w:hAnsi="Symbol"/>
    </w:rPr>
  </w:style>
  <w:style w:type="character" w:customStyle="1" w:styleId="MenuOptions">
    <w:name w:val="Menu Options"/>
    <w:basedOn w:val="DefaultParagraphFont"/>
    <w:rsid w:val="00EC0E9C"/>
    <w:rPr>
      <w:rFonts w:ascii="Arial Narrow" w:hAnsi="Arial Narrow"/>
      <w:smallCaps/>
    </w:rPr>
  </w:style>
  <w:style w:type="character" w:customStyle="1" w:styleId="Buttons">
    <w:name w:val="Buttons"/>
    <w:basedOn w:val="DefaultParagraphFont"/>
    <w:rsid w:val="00EC0E9C"/>
    <w:rPr>
      <w:b/>
    </w:rPr>
  </w:style>
  <w:style w:type="character" w:customStyle="1" w:styleId="Underlined">
    <w:name w:val="Underlined"/>
    <w:basedOn w:val="DefaultParagraphFont"/>
    <w:rsid w:val="00EC0E9C"/>
    <w:rPr>
      <w:u w:val="single"/>
    </w:rPr>
  </w:style>
  <w:style w:type="paragraph" w:customStyle="1" w:styleId="TableBodyTextRight">
    <w:name w:val="Table Body Text Right"/>
    <w:basedOn w:val="TableBodyText"/>
    <w:rsid w:val="00EC0E9C"/>
    <w:pPr>
      <w:widowControl w:val="0"/>
      <w:autoSpaceDE w:val="0"/>
      <w:autoSpaceDN w:val="0"/>
      <w:adjustRightInd w:val="0"/>
      <w:jc w:val="right"/>
    </w:pPr>
    <w:rPr>
      <w:rFonts w:cs="Arial"/>
      <w:szCs w:val="18"/>
    </w:rPr>
  </w:style>
  <w:style w:type="paragraph" w:customStyle="1" w:styleId="CopyrightText">
    <w:name w:val="Copyright Text"/>
    <w:basedOn w:val="BodyText"/>
    <w:rsid w:val="00EC0E9C"/>
    <w:rPr>
      <w:sz w:val="18"/>
    </w:rPr>
  </w:style>
  <w:style w:type="paragraph" w:customStyle="1" w:styleId="BodySmallRight">
    <w:name w:val="Body Small Right"/>
    <w:basedOn w:val="BodyTextRight"/>
    <w:rsid w:val="00EC0E9C"/>
    <w:rPr>
      <w:sz w:val="18"/>
      <w:szCs w:val="18"/>
    </w:rPr>
  </w:style>
  <w:style w:type="paragraph" w:customStyle="1" w:styleId="MarginEdition">
    <w:name w:val="Margin Edition"/>
    <w:basedOn w:val="MarginNote"/>
    <w:rsid w:val="00EC0E9C"/>
    <w:pPr>
      <w:spacing w:before="0" w:after="0"/>
    </w:pPr>
    <w:rPr>
      <w:rFonts w:ascii="Times New Roman" w:hAnsi="Times New Roman"/>
      <w:color w:val="999999"/>
    </w:rPr>
  </w:style>
  <w:style w:type="paragraph" w:customStyle="1" w:styleId="Spacer">
    <w:name w:val="Spacer"/>
    <w:basedOn w:val="Normal"/>
    <w:rsid w:val="00EC0E9C"/>
    <w:rPr>
      <w:sz w:val="2"/>
      <w:szCs w:val="2"/>
    </w:rPr>
  </w:style>
  <w:style w:type="character" w:customStyle="1" w:styleId="Small">
    <w:name w:val="Small"/>
    <w:basedOn w:val="DefaultParagraphFont"/>
    <w:rsid w:val="00EC0E9C"/>
    <w:rPr>
      <w:sz w:val="16"/>
    </w:rPr>
  </w:style>
  <w:style w:type="paragraph" w:customStyle="1" w:styleId="WideTable">
    <w:name w:val="Wide Table"/>
    <w:basedOn w:val="Normal"/>
    <w:rsid w:val="00EC0E9C"/>
    <w:pPr>
      <w:ind w:left="-1418"/>
    </w:pPr>
    <w:rPr>
      <w:sz w:val="2"/>
      <w:szCs w:val="2"/>
    </w:rPr>
  </w:style>
  <w:style w:type="character" w:styleId="PageNumber">
    <w:name w:val="page number"/>
    <w:basedOn w:val="DefaultParagraphFont"/>
    <w:rsid w:val="00EC0E9C"/>
  </w:style>
  <w:style w:type="paragraph" w:styleId="Quote">
    <w:name w:val="Quote"/>
    <w:basedOn w:val="Heading1"/>
    <w:link w:val="QuoteChar"/>
    <w:qFormat/>
    <w:rsid w:val="00EC0E9C"/>
    <w:rPr>
      <w:b w:val="0"/>
      <w:sz w:val="72"/>
      <w:szCs w:val="72"/>
      <w:lang w:val="en-NZ"/>
    </w:rPr>
  </w:style>
  <w:style w:type="character" w:customStyle="1" w:styleId="QuoteChar">
    <w:name w:val="Quote Char"/>
    <w:basedOn w:val="DefaultParagraphFont"/>
    <w:link w:val="Quote"/>
    <w:rsid w:val="00EC0E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E9C"/>
    <w:pPr>
      <w:pageBreakBefore/>
    </w:pPr>
  </w:style>
  <w:style w:type="paragraph" w:customStyle="1" w:styleId="Border">
    <w:name w:val="Border"/>
    <w:basedOn w:val="Normal"/>
    <w:qFormat/>
    <w:rsid w:val="00EC0E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E9C"/>
    <w:rPr>
      <w:b/>
      <w:bCs/>
      <w:i/>
      <w:iCs/>
      <w:color w:val="auto"/>
    </w:rPr>
  </w:style>
  <w:style w:type="paragraph" w:styleId="IntenseQuote">
    <w:name w:val="Intense Quote"/>
    <w:basedOn w:val="Normal"/>
    <w:next w:val="Normal"/>
    <w:link w:val="IntenseQuoteChar"/>
    <w:uiPriority w:val="30"/>
    <w:qFormat/>
    <w:rsid w:val="00EC0E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E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0E9C"/>
    <w:rPr>
      <w:smallCaps/>
      <w:color w:val="auto"/>
      <w:u w:val="single"/>
    </w:rPr>
  </w:style>
  <w:style w:type="character" w:styleId="IntenseReference">
    <w:name w:val="Intense Reference"/>
    <w:basedOn w:val="DefaultParagraphFont"/>
    <w:uiPriority w:val="32"/>
    <w:qFormat/>
    <w:rsid w:val="00EC0E9C"/>
    <w:rPr>
      <w:b/>
      <w:bCs/>
      <w:smallCaps/>
      <w:color w:val="auto"/>
      <w:spacing w:val="5"/>
      <w:u w:val="single"/>
    </w:rPr>
  </w:style>
  <w:style w:type="paragraph" w:customStyle="1" w:styleId="2ColumnHeading">
    <w:name w:val="2Column Heading"/>
    <w:basedOn w:val="BodyText"/>
    <w:qFormat/>
    <w:rsid w:val="00EC0E9C"/>
    <w:pPr>
      <w:spacing w:after="60"/>
      <w:ind w:left="-2268"/>
    </w:pPr>
    <w:rPr>
      <w:b/>
    </w:rPr>
  </w:style>
  <w:style w:type="paragraph" w:customStyle="1" w:styleId="Heading1TOC">
    <w:name w:val="Heading1 TOC"/>
    <w:basedOn w:val="Normal"/>
    <w:qFormat/>
    <w:rsid w:val="00EC0E9C"/>
    <w:pPr>
      <w:spacing w:before="240" w:after="120"/>
    </w:pPr>
    <w:rPr>
      <w:rFonts w:ascii="Times New Roman" w:hAnsi="Times New Roman"/>
      <w:b/>
      <w:sz w:val="32"/>
    </w:rPr>
  </w:style>
  <w:style w:type="paragraph" w:customStyle="1" w:styleId="Heading2TOC">
    <w:name w:val="Heading2 TOC"/>
    <w:basedOn w:val="Normal"/>
    <w:qFormat/>
    <w:rsid w:val="00EC0E9C"/>
    <w:pPr>
      <w:spacing w:before="240" w:after="60"/>
    </w:pPr>
    <w:rPr>
      <w:rFonts w:ascii="Times New Roman" w:hAnsi="Times New Roman"/>
      <w:b/>
      <w:sz w:val="28"/>
    </w:rPr>
  </w:style>
  <w:style w:type="character" w:customStyle="1" w:styleId="Underline">
    <w:name w:val="Underline"/>
    <w:basedOn w:val="DefaultParagraphFont"/>
    <w:qFormat/>
    <w:rsid w:val="00EC0E9C"/>
    <w:rPr>
      <w:u w:val="single"/>
    </w:rPr>
  </w:style>
  <w:style w:type="paragraph" w:styleId="BalloonText">
    <w:name w:val="Balloon Text"/>
    <w:basedOn w:val="Normal"/>
    <w:link w:val="BalloonTextChar"/>
    <w:rsid w:val="00EC0E9C"/>
    <w:rPr>
      <w:rFonts w:ascii="Tahoma" w:hAnsi="Tahoma" w:cs="Tahoma"/>
      <w:sz w:val="16"/>
      <w:szCs w:val="16"/>
    </w:rPr>
  </w:style>
  <w:style w:type="character" w:customStyle="1" w:styleId="BalloonTextChar">
    <w:name w:val="Balloon Text Char"/>
    <w:basedOn w:val="DefaultParagraphFont"/>
    <w:link w:val="BalloonText"/>
    <w:rsid w:val="00EC0E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0E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0E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0E9C"/>
    <w:rPr>
      <w:b/>
      <w:color w:val="660033"/>
      <w:spacing w:val="0"/>
    </w:rPr>
  </w:style>
  <w:style w:type="paragraph" w:customStyle="1" w:styleId="Nameditemlist">
    <w:name w:val="Named item list"/>
    <w:basedOn w:val="BodyText"/>
    <w:qFormat/>
    <w:rsid w:val="00EC0E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1805</Words>
  <Characters>12491</Characters>
  <Application>Microsoft Office Word</Application>
  <DocSecurity>0</DocSecurity>
  <Lines>407</Lines>
  <Paragraphs>181</Paragraphs>
  <ScaleCrop>false</ScaleCrop>
  <Company>Author-it Software Corporation Ltd.</Company>
  <LinksUpToDate>false</LinksUpToDate>
  <CharactersWithSpaces>14215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BSBCOM503B Develop processes for the management of breaches in compliance requirements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2012-10-05T11:20:00Z</dcterms:created>
  <dcterms:modified xsi:type="dcterms:W3CDTF">2012-10-05T11:20:00Z</dcterms:modified>
</cp:coreProperties>
</file>