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BD4" w:rsidP="00901BD4">
      <w:pPr>
        <w:pStyle w:val="Title"/>
      </w:pPr>
      <w:r>
        <w:fldChar w:fldCharType="begin"/>
      </w:r>
      <w:r>
        <w:instrText xml:space="preserve"> TITLE   \* MERGEFORMAT </w:instrText>
      </w:r>
      <w:r>
        <w:fldChar w:fldCharType="separate"/>
      </w:r>
      <w:r>
        <w:t>BSBSLS404A Secure prospect commitment</w:t>
      </w:r>
      <w:r>
        <w:fldChar w:fldCharType="end"/>
      </w:r>
    </w:p>
    <w:p w:rsidR="00901BD4" w:rsidP="00901BD4">
      <w:pPr>
        <w:pStyle w:val="Version"/>
        <w:sectPr w:rsidSect="00C74F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F7A" w:rsidP="00C74F7A">
      <w:pPr>
        <w:pStyle w:val="SuperHeading"/>
      </w:pPr>
      <w:r w:rsidRPr="00C74F7A">
        <w:t>BSBSLS404A Secure prospect commitment</w:t>
      </w:r>
    </w:p>
    <w:p w:rsidR="00000000" w:rsidRPr="00C74F7A" w:rsidP="00C74F7A">
      <w:pPr>
        <w:pStyle w:val="Heading1"/>
      </w:pPr>
      <w:bookmarkStart w:id="1" w:name="O_312923"/>
      <w:bookmarkEnd w:id="1"/>
      <w:r w:rsidRPr="00C74F7A">
        <w:t>Modification History</w:t>
      </w:r>
    </w:p>
    <w:p w:rsidR="00000000" w:rsidRPr="00C74F7A" w:rsidP="00C74F7A">
      <w:pPr>
        <w:pStyle w:val="Heading1"/>
      </w:pPr>
      <w:bookmarkStart w:id="2" w:name="O_312924"/>
      <w:bookmarkEnd w:id="2"/>
      <w:r w:rsidRPr="00C74F7A">
        <w:t>Unit Descriptor</w:t>
      </w:r>
    </w:p>
    <w:p w:rsidR="00000000" w:rsidRPr="00C74F7A" w:rsidP="00C74F7A">
      <w:pPr>
        <w:pStyle w:val="BodyText"/>
      </w:pPr>
      <w:r w:rsidRPr="00C74F7A">
        <w:t>This unit describes the performance outcomes, skills and knowledge required to use sales processes associated with securing prospect commitment t</w:t>
      </w:r>
      <w:r w:rsidRPr="00C74F7A">
        <w:t>o proceed with a sale.</w:t>
      </w:r>
    </w:p>
    <w:p w:rsidR="00000000" w:rsidRPr="00C74F7A" w:rsidP="00C74F7A">
      <w:pPr>
        <w:pStyle w:val="BodyText"/>
      </w:pPr>
      <w:r w:rsidRPr="00C74F7A">
        <w:t>No licensing, legislative, regulatory or certification requirements apply to this unit at the time of endorsement.</w:t>
      </w:r>
    </w:p>
    <w:p w:rsidR="00000000" w:rsidRPr="00C74F7A" w:rsidP="00C74F7A">
      <w:pPr>
        <w:pStyle w:val="BodyText"/>
      </w:pPr>
      <w:r w:rsidRPr="00C74F7A">
        <w:t>This unit describes the performance outcomes, skills and knowledge required to use sales processes associated with sec</w:t>
      </w:r>
      <w:r w:rsidRPr="00C74F7A">
        <w:t>uring prospect commitment to proceed with a sale.</w:t>
      </w:r>
    </w:p>
    <w:p w:rsidR="00000000" w:rsidRPr="00C74F7A" w:rsidP="00C74F7A">
      <w:pPr>
        <w:pStyle w:val="BodyText"/>
      </w:pPr>
      <w:r w:rsidRPr="00C74F7A">
        <w:t>No licensing, legislative, regulatory or certification requirements apply to this unit at the time of endorsement.</w:t>
      </w:r>
    </w:p>
    <w:p w:rsidR="00000000" w:rsidRPr="00C74F7A" w:rsidP="00C74F7A">
      <w:pPr>
        <w:pStyle w:val="AllowPageBreak"/>
      </w:pPr>
    </w:p>
    <w:p w:rsidR="00000000" w:rsidRPr="00C74F7A" w:rsidP="00C74F7A">
      <w:pPr>
        <w:pStyle w:val="Heading1"/>
      </w:pPr>
      <w:bookmarkStart w:id="3" w:name="O_312925"/>
      <w:bookmarkEnd w:id="3"/>
      <w:r w:rsidRPr="00C74F7A">
        <w:t>Application of the Unit</w:t>
      </w:r>
    </w:p>
    <w:p w:rsidR="00000000" w:rsidRPr="00C74F7A" w:rsidP="00C74F7A">
      <w:pPr>
        <w:pStyle w:val="BodyText"/>
      </w:pPr>
      <w:r w:rsidRPr="00C74F7A">
        <w:t>This unit applies to individuals in a sales relate</w:t>
      </w:r>
      <w:r w:rsidRPr="00C74F7A">
        <w:t>d position in a small, medium or large enterprise across a wide variety of industries who secure a prospects commitment to purchase a product or service. They may contribute to securing prospect commitment individually or as a supporting member of a larger</w:t>
      </w:r>
      <w:r w:rsidRPr="00C74F7A">
        <w:t xml:space="preserve"> sales team.</w:t>
      </w:r>
    </w:p>
    <w:p w:rsidR="00000000" w:rsidRPr="00C74F7A" w:rsidP="00C74F7A">
      <w:pPr>
        <w:pStyle w:val="BodyText"/>
      </w:pPr>
      <w:r w:rsidRPr="00C74F7A">
        <w:t>This unit applies to individuals in a sales related position in a small, medium or large enterprise across a wide variety of industries who secure a prospects commitment to purchase a product or service. They may contribute to securing prospec</w:t>
      </w:r>
      <w:r w:rsidRPr="00C74F7A">
        <w:t>t commitment individually or as a supporting member of a larger sales team.</w:t>
      </w:r>
    </w:p>
    <w:p w:rsidR="00000000" w:rsidRPr="00C74F7A" w:rsidP="00C74F7A">
      <w:pPr>
        <w:pStyle w:val="AllowPageBreak"/>
      </w:pPr>
    </w:p>
    <w:p w:rsidR="00000000" w:rsidRPr="00C74F7A" w:rsidP="00C74F7A">
      <w:pPr>
        <w:pStyle w:val="Heading1"/>
      </w:pPr>
      <w:bookmarkStart w:id="4" w:name="O_312926"/>
      <w:bookmarkEnd w:id="4"/>
      <w:r w:rsidRPr="00C74F7A">
        <w:t>Licensing/Regulatory Information</w:t>
      </w:r>
    </w:p>
    <w:p w:rsidR="00000000" w:rsidRPr="00C74F7A" w:rsidP="00C74F7A">
      <w:pPr>
        <w:pStyle w:val="BodyText"/>
      </w:pPr>
      <w:r w:rsidRPr="00C74F7A">
        <w:t>Refer to Unit Descriptor</w:t>
      </w:r>
    </w:p>
    <w:p w:rsidR="00000000" w:rsidRPr="00C74F7A" w:rsidP="00C74F7A">
      <w:pPr>
        <w:pStyle w:val="AllowPageBreak"/>
      </w:pPr>
    </w:p>
    <w:p w:rsidR="00000000" w:rsidRPr="00C74F7A" w:rsidP="00C74F7A">
      <w:pPr>
        <w:pStyle w:val="Heading1"/>
      </w:pPr>
      <w:bookmarkStart w:id="5" w:name="O_312927"/>
      <w:bookmarkEnd w:id="5"/>
      <w:r w:rsidRPr="00C74F7A">
        <w:t>Pre-Requisites</w:t>
      </w:r>
    </w:p>
    <w:p w:rsidR="00000000" w:rsidRPr="00C74F7A" w:rsidP="00C74F7A">
      <w:pPr>
        <w:pStyle w:val="Heading1"/>
      </w:pPr>
      <w:bookmarkStart w:id="6" w:name="O_312921"/>
      <w:bookmarkEnd w:id="6"/>
      <w:r w:rsidRPr="00C74F7A">
        <w:t>Employability Skills Information</w:t>
      </w:r>
    </w:p>
    <w:p w:rsidR="00000000" w:rsidRPr="00C74F7A" w:rsidP="00C74F7A">
      <w:pPr>
        <w:pStyle w:val="BodyText"/>
      </w:pPr>
      <w:r w:rsidRPr="00C74F7A">
        <w:t>This unit contains employability skills.</w:t>
      </w:r>
    </w:p>
    <w:p w:rsidR="00000000" w:rsidRPr="00C74F7A" w:rsidP="00C74F7A">
      <w:pPr>
        <w:pStyle w:val="BodyText"/>
      </w:pPr>
      <w:r w:rsidRPr="00C74F7A">
        <w:t>This unit contains employability skills.</w:t>
      </w:r>
    </w:p>
    <w:p w:rsidR="00000000" w:rsidRPr="00C74F7A" w:rsidP="00C74F7A">
      <w:pPr>
        <w:pStyle w:val="AllowPageBreak"/>
      </w:pPr>
    </w:p>
    <w:p w:rsidR="00000000" w:rsidRPr="00C74F7A" w:rsidP="00C74F7A">
      <w:pPr>
        <w:pStyle w:val="Heading1"/>
      </w:pPr>
      <w:bookmarkStart w:id="7" w:name="O_312928"/>
      <w:bookmarkEnd w:id="7"/>
      <w:r w:rsidRPr="00C74F7A">
        <w:t>Elements and Performance Criteria Pre-Content</w:t>
      </w:r>
    </w:p>
    <w:p w:rsidR="00000000" w:rsidRPr="00C74F7A" w:rsidP="00C74F7A">
      <w:pPr>
        <w:pStyle w:val="BodyText"/>
      </w:pPr>
      <w:r w:rsidRPr="00C74F7A">
        <w:t>Elements describe the essential outcomes of a unit of competency.</w:t>
      </w:r>
    </w:p>
    <w:p w:rsidR="00000000" w:rsidRPr="00C74F7A" w:rsidP="00C74F7A">
      <w:pPr>
        <w:pStyle w:val="BodyText"/>
      </w:pPr>
      <w:r w:rsidRPr="00C74F7A">
        <w:t>Performance criteria describe the performance</w:t>
      </w:r>
      <w:r w:rsidRPr="00C74F7A">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C74F7A">
        <w:t>de.</w:t>
      </w:r>
    </w:p>
    <w:p w:rsidR="00000000" w:rsidRPr="00C74F7A" w:rsidP="00C74F7A">
      <w:pPr>
        <w:pStyle w:val="BodyText"/>
      </w:pPr>
      <w:r w:rsidRPr="00C74F7A">
        <w:t>Elements describe the essential outcomes of a unit of competency.</w:t>
      </w:r>
    </w:p>
    <w:p w:rsidR="00000000" w:rsidRPr="00C74F7A" w:rsidP="00C74F7A">
      <w:pPr>
        <w:pStyle w:val="BodyText"/>
      </w:pPr>
      <w:r w:rsidRPr="00C74F7A">
        <w:t>Performance criteria describe the performance needed to demonstrate achievement of the element. Where bold italicised text is used, further information is detailed in the required skills</w:t>
      </w:r>
      <w:r w:rsidRPr="00C74F7A">
        <w:t xml:space="preserve"> and knowledge section and the range statement. Assessment of performance is to be consistent with the evidence guide.</w:t>
      </w:r>
    </w:p>
    <w:p w:rsidR="00000000" w:rsidRPr="00C74F7A" w:rsidP="00C74F7A">
      <w:pPr>
        <w:pStyle w:val="AllowPageBreak"/>
      </w:pPr>
    </w:p>
    <w:p w:rsidR="00000000" w:rsidRPr="00C74F7A" w:rsidP="00C74F7A">
      <w:pPr>
        <w:pStyle w:val="Heading1"/>
      </w:pPr>
      <w:bookmarkStart w:id="8" w:name="O_312932"/>
      <w:bookmarkEnd w:id="8"/>
      <w:r w:rsidRPr="00C74F7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01BD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Elements and Performance Criteria</w:t>
            </w:r>
          </w:p>
        </w:tc>
      </w:tr>
      <w:tr w:rsidTr="00901BD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Performance Criteria</w:t>
            </w:r>
          </w:p>
        </w:tc>
      </w:tr>
      <w:tr w:rsidTr="00901BD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1</w:t>
            </w:r>
          </w:p>
        </w:tc>
        <w:tc>
          <w:tcPr>
            <w:tcW w:w="3000" w:type="dxa"/>
            <w:vMerge w:val="restart"/>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Respond to buying signals</w:t>
            </w: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1.1</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 xml:space="preserve">Identify </w:t>
            </w:r>
            <w:r w:rsidRPr="00C74F7A">
              <w:rPr>
                <w:rStyle w:val="SpecialBold"/>
              </w:rPr>
              <w:t xml:space="preserve">verbal </w:t>
            </w:r>
            <w:r w:rsidRPr="00C74F7A">
              <w:t xml:space="preserve">and </w:t>
            </w:r>
            <w:r w:rsidRPr="00C74F7A">
              <w:rPr>
                <w:rStyle w:val="SpecialBold"/>
              </w:rPr>
              <w:t xml:space="preserve">non-verbal buying signals </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1.2</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 xml:space="preserve">Assess verbal and non-verbal buying signals </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1.3</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Make a decision as to whether to respond to a buying signal by initiating close of sale</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1.4</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 xml:space="preserve">Utilise </w:t>
            </w:r>
            <w:r w:rsidRPr="00C74F7A">
              <w:rPr>
                <w:rStyle w:val="SpecialBold"/>
              </w:rPr>
              <w:t xml:space="preserve">trial closes </w:t>
            </w:r>
            <w:r w:rsidRPr="00C74F7A">
              <w:t xml:space="preserve">to assist the buyer to make decisions on minor points related to the </w:t>
            </w:r>
            <w:r w:rsidRPr="00C74F7A">
              <w:rPr>
                <w:rStyle w:val="SpecialBold"/>
              </w:rPr>
              <w:t>product</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1.5</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Use trial closes strategically during different stages of the sales process</w:t>
            </w:r>
          </w:p>
        </w:tc>
      </w:tr>
      <w:tr w:rsidTr="00901BD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2</w:t>
            </w:r>
          </w:p>
        </w:tc>
        <w:tc>
          <w:tcPr>
            <w:tcW w:w="3000" w:type="dxa"/>
            <w:vMerge w:val="restart"/>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Negotiate the sale</w:t>
            </w: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2.1</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 xml:space="preserve">Initiate a </w:t>
            </w:r>
            <w:r w:rsidRPr="00C74F7A">
              <w:rPr>
                <w:rStyle w:val="SpecialBold"/>
              </w:rPr>
              <w:t xml:space="preserve">formal close </w:t>
            </w:r>
            <w:r w:rsidRPr="00C74F7A">
              <w:t>to the sales process following one or more tri</w:t>
            </w:r>
            <w:r w:rsidRPr="00C74F7A">
              <w:t>al closes</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2.2</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 xml:space="preserve">Negotiate </w:t>
            </w:r>
            <w:r w:rsidRPr="00C74F7A">
              <w:rPr>
                <w:rStyle w:val="SpecialBold"/>
              </w:rPr>
              <w:t xml:space="preserve">conditions </w:t>
            </w:r>
            <w:r w:rsidRPr="00C74F7A">
              <w:t xml:space="preserve">of the agreement </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2.3</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Assess a range of different strategies to close the sale</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2.4</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Select a strategy to close the sale</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2.5</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Utilise supportive and confirming language to support the closure of the sales process</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2.6</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Describe and demonstrate options for simple sales transactions to match specified situations</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2.7</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Respond to the prospect's decision to purchase in an assertive manner</w:t>
            </w:r>
          </w:p>
        </w:tc>
      </w:tr>
      <w:tr w:rsidTr="00901BD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3</w:t>
            </w:r>
          </w:p>
        </w:tc>
        <w:tc>
          <w:tcPr>
            <w:tcW w:w="3000" w:type="dxa"/>
            <w:vMerge w:val="restart"/>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Finalise the agreement</w:t>
            </w: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3.1</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Outline a summary of the agreement to the buyer</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3.2</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Confirm the buyer's decision</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3.3</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Ensure process and completion of the sales transaction comply with organisational requirements</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3.4</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 xml:space="preserve">Prepare and complete sales documents </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3.5</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Ensure advice on financing arrangements is accurate, matches the buyer's financial situation, and complies with organisational requirements</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3.6</w:t>
            </w:r>
          </w:p>
        </w:tc>
        <w:tc>
          <w:tcPr>
            <w:tcW w:w="51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Identify and present cross selling opportunities to the buyer</w:t>
            </w:r>
          </w:p>
        </w:tc>
      </w:tr>
      <w:tr w:rsidTr="00901B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3.7</w:t>
            </w:r>
          </w:p>
        </w:tc>
        <w:tc>
          <w:tcPr>
            <w:tcW w:w="5100" w:type="dxa"/>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t>Express a desire to continue the sales r</w:t>
            </w:r>
            <w:r w:rsidRPr="00C74F7A">
              <w:t>elationship and conduct future sales transactions</w:t>
            </w:r>
          </w:p>
        </w:tc>
      </w:tr>
    </w:tbl>
    <w:p w:rsidR="00000000" w:rsidRPr="00C74F7A" w:rsidP="00C74F7A">
      <w:pPr>
        <w:pStyle w:val="BodyText"/>
      </w:pPr>
    </w:p>
    <w:p w:rsidR="00000000" w:rsidRPr="00C74F7A" w:rsidP="00C74F7A">
      <w:pPr>
        <w:pStyle w:val="AllowPageBreak"/>
      </w:pPr>
    </w:p>
    <w:p w:rsidR="00000000" w:rsidRPr="00C74F7A" w:rsidP="00C74F7A">
      <w:pPr>
        <w:pStyle w:val="Heading1"/>
      </w:pPr>
      <w:bookmarkStart w:id="9" w:name="O_312929"/>
      <w:bookmarkEnd w:id="9"/>
      <w:r w:rsidRPr="00C74F7A">
        <w:t>Required Skills and Knowledge</w:t>
      </w:r>
    </w:p>
    <w:tbl>
      <w:tblPr>
        <w:tblW w:w="0" w:type="auto"/>
        <w:tblLayout w:type="fixed"/>
        <w:tblCellMar>
          <w:left w:w="62" w:type="dxa"/>
          <w:right w:w="62" w:type="dxa"/>
        </w:tblCellMar>
        <w:tblLook w:val="0000"/>
      </w:tblPr>
      <w:tblGrid>
        <w:gridCol w:w="9000"/>
      </w:tblGrid>
      <w:tr w:rsidTr="00901BD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p>
        </w:tc>
      </w:tr>
      <w:tr w:rsidTr="00901BD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 xml:space="preserve">This section describes the skills and knowledge required for this unit. </w:t>
            </w:r>
          </w:p>
        </w:tc>
      </w:tr>
      <w:tr w:rsidTr="00901BD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Required skills</w:t>
            </w:r>
          </w:p>
        </w:tc>
      </w:tr>
      <w:tr w:rsidTr="00901BD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t>conflict resolution skills to mange client dissatisfaction and criticism</w:t>
            </w:r>
          </w:p>
          <w:p w:rsidR="00000000" w:rsidRPr="00C74F7A" w:rsidP="00C74F7A">
            <w:pPr>
              <w:pStyle w:val="BodyText"/>
            </w:pPr>
            <w:r w:rsidRPr="00C74F7A">
              <w:t>customer service skills to determine client needs and preferences</w:t>
            </w:r>
          </w:p>
          <w:p w:rsidR="00000000" w:rsidRPr="00C74F7A" w:rsidP="00C74F7A">
            <w:pPr>
              <w:pStyle w:val="BodyText"/>
            </w:pPr>
            <w:r w:rsidRPr="00C74F7A">
              <w:t>interpersonal skills to develop rapport and build relationships with clients</w:t>
            </w:r>
          </w:p>
          <w:p w:rsidR="00000000" w:rsidP="00C74F7A">
            <w:pPr>
              <w:pStyle w:val="BodyText"/>
              <w:rPr>
                <w:lang w:val="en-NZ"/>
              </w:rPr>
            </w:pPr>
            <w:r w:rsidRPr="00C74F7A">
              <w:t xml:space="preserve">literacy and numeracy skills to prepare </w:t>
            </w:r>
            <w:r w:rsidRPr="00C74F7A">
              <w:t>sales documentation, process sales transactions and calculate financing arrangements.</w:t>
            </w:r>
          </w:p>
        </w:tc>
      </w:tr>
      <w:tr w:rsidTr="00901BD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Required knowledge</w:t>
            </w:r>
          </w:p>
        </w:tc>
      </w:tr>
      <w:tr w:rsidTr="00901BD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t xml:space="preserve">detailed product knowledge, including product:   </w:t>
            </w:r>
          </w:p>
          <w:p w:rsidR="00000000" w:rsidRPr="00C74F7A" w:rsidP="00C74F7A">
            <w:pPr>
              <w:pStyle w:val="BodyText"/>
            </w:pPr>
            <w:r w:rsidRPr="00C74F7A">
              <w:t>advantages and disadvantages</w:t>
            </w:r>
          </w:p>
          <w:p w:rsidR="00000000" w:rsidRPr="00C74F7A" w:rsidP="00C74F7A">
            <w:pPr>
              <w:pStyle w:val="BodyText"/>
            </w:pPr>
            <w:r w:rsidRPr="00C74F7A">
              <w:t>features</w:t>
            </w:r>
          </w:p>
          <w:p w:rsidR="00000000" w:rsidRPr="00C74F7A" w:rsidP="00C74F7A">
            <w:pPr>
              <w:pStyle w:val="BodyText"/>
            </w:pPr>
            <w:r w:rsidRPr="00C74F7A">
              <w:t>service benefits</w:t>
            </w:r>
          </w:p>
          <w:p w:rsidR="00000000" w:rsidRPr="00C74F7A" w:rsidP="00C74F7A">
            <w:pPr>
              <w:pStyle w:val="BodyText"/>
            </w:pPr>
          </w:p>
          <w:p w:rsidR="00000000" w:rsidRPr="00C74F7A" w:rsidP="00C74F7A">
            <w:pPr>
              <w:pStyle w:val="BodyText"/>
            </w:pPr>
            <w:r w:rsidRPr="00C74F7A">
              <w:t>identification and overview knowledge of ke</w:t>
            </w:r>
            <w:r w:rsidRPr="00C74F7A">
              <w:t xml:space="preserve">y provisions of relevant legislation from all levels of government that affects business operations, codes of practice and national standards, such as:     </w:t>
            </w:r>
          </w:p>
          <w:p w:rsidR="00000000" w:rsidRPr="00C74F7A" w:rsidP="00C74F7A">
            <w:pPr>
              <w:pStyle w:val="BodyText"/>
            </w:pPr>
            <w:r w:rsidRPr="00C74F7A">
              <w:t xml:space="preserve">anti-discrimination </w:t>
            </w:r>
          </w:p>
          <w:p w:rsidR="00000000" w:rsidRPr="00C74F7A" w:rsidP="00C74F7A">
            <w:pPr>
              <w:pStyle w:val="BodyText"/>
            </w:pPr>
            <w:r w:rsidRPr="00C74F7A">
              <w:t>ethical principles</w:t>
            </w:r>
          </w:p>
          <w:p w:rsidR="00000000" w:rsidRPr="00C74F7A" w:rsidP="00C74F7A">
            <w:pPr>
              <w:pStyle w:val="BodyText"/>
            </w:pPr>
            <w:r w:rsidRPr="00C74F7A">
              <w:t>consumer protection</w:t>
            </w:r>
          </w:p>
          <w:p w:rsidR="00000000" w:rsidRPr="00C74F7A" w:rsidP="00C74F7A">
            <w:pPr>
              <w:pStyle w:val="BodyText"/>
            </w:pPr>
            <w:r w:rsidRPr="00C74F7A">
              <w:t>contract law</w:t>
            </w:r>
          </w:p>
          <w:p w:rsidR="00000000" w:rsidRPr="00C74F7A" w:rsidP="00C74F7A">
            <w:pPr>
              <w:pStyle w:val="BodyText"/>
            </w:pPr>
            <w:r w:rsidRPr="00C74F7A">
              <w:t>privacy laws</w:t>
            </w:r>
          </w:p>
          <w:p w:rsidR="00000000" w:rsidRPr="00C74F7A" w:rsidP="00C74F7A">
            <w:pPr>
              <w:pStyle w:val="BodyText"/>
            </w:pPr>
            <w:r w:rsidRPr="00C74F7A">
              <w:t>Trade Practices Act</w:t>
            </w:r>
          </w:p>
          <w:p w:rsidR="00000000" w:rsidRPr="00C74F7A" w:rsidP="00C74F7A">
            <w:pPr>
              <w:pStyle w:val="BodyText"/>
            </w:pPr>
          </w:p>
          <w:p w:rsidR="00000000" w:rsidRPr="00C74F7A" w:rsidP="00C74F7A">
            <w:pPr>
              <w:pStyle w:val="BodyText"/>
            </w:pPr>
            <w:r w:rsidRPr="00C74F7A">
              <w:t xml:space="preserve">principles of sales closure techniques.  </w:t>
            </w:r>
          </w:p>
        </w:tc>
      </w:tr>
    </w:tbl>
    <w:p w:rsidR="00000000" w:rsidRPr="00C74F7A" w:rsidP="00C74F7A">
      <w:pPr>
        <w:pStyle w:val="BodyText"/>
      </w:pPr>
    </w:p>
    <w:p w:rsidR="00000000" w:rsidRPr="00C74F7A" w:rsidP="00C74F7A">
      <w:pPr>
        <w:pStyle w:val="AllowPageBreak"/>
      </w:pPr>
    </w:p>
    <w:p w:rsidR="00000000" w:rsidRPr="00C74F7A" w:rsidP="00C74F7A">
      <w:pPr>
        <w:pStyle w:val="Heading1"/>
      </w:pPr>
      <w:bookmarkStart w:id="10" w:name="O_312930"/>
      <w:bookmarkEnd w:id="10"/>
      <w:r w:rsidRPr="00C74F7A">
        <w:t>Evidence Guide</w:t>
      </w:r>
    </w:p>
    <w:tbl>
      <w:tblPr>
        <w:tblW w:w="0" w:type="auto"/>
        <w:tblLayout w:type="fixed"/>
        <w:tblCellMar>
          <w:left w:w="62" w:type="dxa"/>
          <w:right w:w="62" w:type="dxa"/>
        </w:tblCellMar>
        <w:tblLook w:val="0000"/>
      </w:tblPr>
      <w:tblGrid>
        <w:gridCol w:w="4500"/>
        <w:gridCol w:w="4500"/>
      </w:tblGrid>
      <w:tr w:rsidTr="00901B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4F7A">
            <w:pPr>
              <w:pStyle w:val="BodyText"/>
              <w:rPr>
                <w:lang w:val="en-NZ"/>
              </w:rPr>
            </w:pPr>
          </w:p>
        </w:tc>
      </w:tr>
      <w:tr w:rsidTr="00901B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The evidence guide provides advice on assessment and must be read in conjunction with the performance criteria, required skills and knowledge, range stateme</w:t>
            </w:r>
            <w:r w:rsidRPr="00C74F7A">
              <w:t xml:space="preserve">nt and the Assessment Guidelines for the Training Package. </w:t>
            </w:r>
          </w:p>
        </w:tc>
      </w:tr>
      <w:tr w:rsidTr="00901B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p>
        </w:tc>
      </w:tr>
      <w:tr w:rsidTr="00901B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t xml:space="preserve">Evidence of the following is essential:    </w:t>
            </w:r>
          </w:p>
          <w:p w:rsidR="00000000" w:rsidRPr="00C74F7A" w:rsidP="00C74F7A">
            <w:pPr>
              <w:pStyle w:val="BodyText"/>
            </w:pPr>
            <w:r w:rsidRPr="00C74F7A">
              <w:t>sales situations where the candidate clearly identifies and appropriately responds to buying signals before trialling closes, negotiating sale conditions and securing the sale</w:t>
            </w:r>
          </w:p>
          <w:p w:rsidR="00000000" w:rsidP="00C74F7A">
            <w:pPr>
              <w:pStyle w:val="BodyText"/>
              <w:rPr>
                <w:lang w:val="en-NZ"/>
              </w:rPr>
            </w:pPr>
            <w:r w:rsidRPr="00C74F7A">
              <w:t>knowledge of principles of sales closure techniques.</w:t>
            </w:r>
          </w:p>
        </w:tc>
      </w:tr>
      <w:tr w:rsidTr="00901B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Context of and specific re</w:t>
            </w:r>
            <w:r w:rsidRPr="00C74F7A">
              <w:rPr>
                <w:rStyle w:val="SpecialBold"/>
              </w:rPr>
              <w:t>sources for assessment</w:t>
            </w:r>
          </w:p>
        </w:tc>
        <w:tc>
          <w:tcPr>
            <w:tcW w:w="4500" w:type="dxa"/>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t xml:space="preserve">Assessment must ensure:    </w:t>
            </w:r>
          </w:p>
          <w:p w:rsidR="00000000" w:rsidRPr="00C74F7A" w:rsidP="00C74F7A">
            <w:pPr>
              <w:pStyle w:val="BodyText"/>
            </w:pPr>
            <w:r w:rsidRPr="00C74F7A">
              <w:t>access to an actual workplace or simulated environment</w:t>
            </w:r>
          </w:p>
          <w:p w:rsidR="00000000" w:rsidP="00C74F7A">
            <w:pPr>
              <w:pStyle w:val="BodyText"/>
              <w:rPr>
                <w:lang w:val="en-NZ"/>
              </w:rPr>
            </w:pPr>
            <w:r w:rsidRPr="00C74F7A">
              <w:t>access to appropriate documentation and resources normally used in the workplace.</w:t>
            </w:r>
          </w:p>
        </w:tc>
      </w:tr>
      <w:tr w:rsidTr="00901B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t>A range of assessment methods should be used t</w:t>
            </w:r>
            <w:r w:rsidRPr="00C74F7A">
              <w:t xml:space="preserve">o assess practical skills and knowledge. The following examples are appropriate for this unit:    </w:t>
            </w:r>
          </w:p>
          <w:p w:rsidR="00000000" w:rsidRPr="00C74F7A" w:rsidP="00C74F7A">
            <w:pPr>
              <w:pStyle w:val="BodyText"/>
            </w:pPr>
            <w:r w:rsidRPr="00C74F7A">
              <w:t>analysis of responses to case studies and scenarios</w:t>
            </w:r>
          </w:p>
          <w:p w:rsidR="00000000" w:rsidRPr="00C74F7A" w:rsidP="00C74F7A">
            <w:pPr>
              <w:pStyle w:val="BodyText"/>
            </w:pPr>
            <w:r w:rsidRPr="00C74F7A">
              <w:t>observations of interactions with prospects when securing commitment</w:t>
            </w:r>
          </w:p>
          <w:p w:rsidR="00000000" w:rsidRPr="00C74F7A" w:rsidP="00C74F7A">
            <w:pPr>
              <w:pStyle w:val="BodyText"/>
            </w:pPr>
            <w:r w:rsidRPr="00C74F7A">
              <w:t>direct questioning combined with por</w:t>
            </w:r>
            <w:r w:rsidRPr="00C74F7A">
              <w:t>tfolios of evidence and third party workplace reports of on-the-job performance by the candidate</w:t>
            </w:r>
          </w:p>
          <w:p w:rsidR="00000000" w:rsidRPr="00C74F7A" w:rsidP="00C74F7A">
            <w:pPr>
              <w:pStyle w:val="BodyText"/>
            </w:pPr>
            <w:r w:rsidRPr="00C74F7A">
              <w:t>oral or written questioning to assess knowledge of verbal and non-verbal buying signals, trial closes, proposed sales solutions and ways to overcome buyer resi</w:t>
            </w:r>
            <w:r w:rsidRPr="00C74F7A">
              <w:t>stance</w:t>
            </w:r>
          </w:p>
          <w:p w:rsidR="00000000" w:rsidRPr="00C74F7A" w:rsidP="00C74F7A">
            <w:pPr>
              <w:pStyle w:val="BodyText"/>
            </w:pPr>
            <w:r w:rsidRPr="00C74F7A">
              <w:t>observation of strategies used to secure a sale</w:t>
            </w:r>
          </w:p>
          <w:p w:rsidR="00000000" w:rsidRPr="00C74F7A" w:rsidP="00C74F7A">
            <w:pPr>
              <w:pStyle w:val="BodyText"/>
            </w:pPr>
            <w:r w:rsidRPr="00C74F7A">
              <w:t>review of cross selling opportunities presented to the buyer</w:t>
            </w:r>
          </w:p>
          <w:p w:rsidR="00000000" w:rsidRPr="00C74F7A" w:rsidP="00C74F7A">
            <w:pPr>
              <w:pStyle w:val="BodyText"/>
            </w:pPr>
            <w:r w:rsidRPr="00C74F7A">
              <w:t>review of completed sales documents</w:t>
            </w:r>
          </w:p>
          <w:p w:rsidR="00000000" w:rsidP="00C74F7A">
            <w:pPr>
              <w:pStyle w:val="BodyText"/>
              <w:rPr>
                <w:lang w:val="en-NZ"/>
              </w:rPr>
            </w:pPr>
            <w:r w:rsidRPr="00C74F7A">
              <w:t>assessment of advice provided on financing arrangements.</w:t>
            </w:r>
          </w:p>
        </w:tc>
      </w:tr>
      <w:tr w:rsidTr="00901B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t>Holistic a</w:t>
            </w:r>
            <w:r w:rsidRPr="00C74F7A">
              <w:t xml:space="preserve">ssessment with other units relevant to the industry sector, workplace and job role is recommended, for example:    </w:t>
            </w:r>
          </w:p>
          <w:p w:rsidR="00000000" w:rsidRPr="00C74F7A" w:rsidP="00C74F7A">
            <w:pPr>
              <w:pStyle w:val="BodyText"/>
            </w:pPr>
            <w:r w:rsidRPr="00C74F7A">
              <w:t>BSBPRO401A Develop product knowledge</w:t>
            </w:r>
          </w:p>
          <w:p w:rsidR="00000000" w:rsidRPr="00C74F7A" w:rsidP="00C74F7A">
            <w:pPr>
              <w:pStyle w:val="BodyText"/>
            </w:pPr>
            <w:r w:rsidRPr="00C74F7A">
              <w:t>BSBSLS403A Present a sales solution</w:t>
            </w:r>
          </w:p>
          <w:p w:rsidR="00000000" w:rsidRPr="00C74F7A" w:rsidP="00C74F7A">
            <w:pPr>
              <w:pStyle w:val="BodyText"/>
            </w:pPr>
            <w:r w:rsidRPr="00C74F7A">
              <w:t>BSBSLS406A Self-manage sales performance.</w:t>
            </w:r>
          </w:p>
        </w:tc>
      </w:tr>
    </w:tbl>
    <w:p w:rsidR="00000000" w:rsidRPr="00C74F7A" w:rsidP="00C74F7A">
      <w:pPr>
        <w:pStyle w:val="BodyText"/>
      </w:pPr>
    </w:p>
    <w:p w:rsidR="00000000" w:rsidRPr="00C74F7A" w:rsidP="00C74F7A">
      <w:pPr>
        <w:pStyle w:val="AllowPageBreak"/>
      </w:pPr>
    </w:p>
    <w:p w:rsidR="00000000" w:rsidRPr="00C74F7A" w:rsidP="00C74F7A">
      <w:pPr>
        <w:pStyle w:val="Heading1"/>
      </w:pPr>
      <w:bookmarkStart w:id="11" w:name="O_312931"/>
      <w:bookmarkEnd w:id="11"/>
      <w:r w:rsidRPr="00C74F7A">
        <w:t>Range Statement</w:t>
      </w:r>
    </w:p>
    <w:tbl>
      <w:tblPr>
        <w:tblW w:w="0" w:type="auto"/>
        <w:tblLayout w:type="fixed"/>
        <w:tblCellMar>
          <w:left w:w="62" w:type="dxa"/>
          <w:right w:w="62" w:type="dxa"/>
        </w:tblCellMar>
        <w:tblLook w:val="0000"/>
      </w:tblPr>
      <w:tblGrid>
        <w:gridCol w:w="4500"/>
        <w:gridCol w:w="4500"/>
      </w:tblGrid>
      <w:tr w:rsidTr="00901B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4F7A">
            <w:pPr>
              <w:pStyle w:val="BodyText"/>
              <w:rPr>
                <w:lang w:val="en-NZ"/>
              </w:rPr>
            </w:pPr>
          </w:p>
        </w:tc>
      </w:tr>
      <w:tr w:rsidTr="00901B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The range statement relates to the unit of competency as a whole. It allows for different work environments and situations that may affect performance. Bold italicised wording, if used in the performance criteria, is detailed below. Esse</w:t>
            </w:r>
            <w:r w:rsidRPr="00C74F7A">
              <w:t xml:space="preserve">ntial operating conditions that may be present with training and assessment (depending on the work situation, needs of the candidate, accessibility of the item, and local industry and regional contexts) may also be included. </w:t>
            </w:r>
          </w:p>
        </w:tc>
      </w:tr>
      <w:tr w:rsidTr="00901B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Verbal buying signals</w:t>
            </w:r>
            <w:r w:rsidRPr="00C74F7A">
              <w:t xml:space="preserve"> may in</w:t>
            </w:r>
            <w:r w:rsidRPr="00C74F7A">
              <w:t xml:space="preserve">clude: </w:t>
            </w:r>
          </w:p>
        </w:tc>
        <w:tc>
          <w:tcPr>
            <w:tcW w:w="4500" w:type="dxa"/>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t>confirmations</w:t>
            </w:r>
          </w:p>
          <w:p w:rsidR="00000000" w:rsidRPr="00C74F7A" w:rsidP="00C74F7A">
            <w:pPr>
              <w:pStyle w:val="BodyText"/>
            </w:pPr>
            <w:r w:rsidRPr="00C74F7A">
              <w:t>questions</w:t>
            </w:r>
          </w:p>
          <w:p w:rsidR="00000000" w:rsidP="00C74F7A">
            <w:pPr>
              <w:pStyle w:val="BodyText"/>
              <w:rPr>
                <w:lang w:val="en-NZ"/>
              </w:rPr>
            </w:pPr>
            <w:r w:rsidRPr="00C74F7A">
              <w:t>statement of requirement by prospect</w:t>
            </w:r>
          </w:p>
        </w:tc>
      </w:tr>
      <w:tr w:rsidTr="00901B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Non</w:t>
            </w:r>
            <w:r w:rsidRPr="00C74F7A">
              <w:t>-</w:t>
            </w:r>
            <w:r w:rsidRPr="00C74F7A">
              <w:rPr>
                <w:rStyle w:val="SpecialBold"/>
              </w:rPr>
              <w:t>verbal buying signals</w:t>
            </w:r>
            <w:r w:rsidRPr="00C74F7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t>close examination of the product by the prospect</w:t>
            </w:r>
          </w:p>
          <w:p w:rsidR="00000000" w:rsidRPr="00C74F7A" w:rsidP="00C74F7A">
            <w:pPr>
              <w:pStyle w:val="BodyText"/>
            </w:pPr>
            <w:r w:rsidRPr="00C74F7A">
              <w:t>moving closer to where a product is to be installed</w:t>
            </w:r>
          </w:p>
          <w:p w:rsidR="00000000" w:rsidP="00C74F7A">
            <w:pPr>
              <w:pStyle w:val="BodyText"/>
              <w:rPr>
                <w:lang w:val="en-NZ"/>
              </w:rPr>
            </w:pPr>
            <w:r w:rsidRPr="00C74F7A">
              <w:t>smiling and nodding</w:t>
            </w:r>
          </w:p>
        </w:tc>
      </w:tr>
      <w:tr w:rsidTr="00901B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Trial closes</w:t>
            </w:r>
            <w:r w:rsidRPr="00C74F7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t>question or paraphrase that focuses the interaction on a minor point related to sale of the product that might lead to closing the sale</w:t>
            </w:r>
          </w:p>
        </w:tc>
      </w:tr>
      <w:tr w:rsidTr="00901B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Products</w:t>
            </w:r>
            <w:r w:rsidRPr="00C74F7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t>goods</w:t>
            </w:r>
          </w:p>
          <w:p w:rsidR="00000000" w:rsidRPr="00C74F7A" w:rsidP="00C74F7A">
            <w:pPr>
              <w:pStyle w:val="BodyText"/>
            </w:pPr>
            <w:r w:rsidRPr="00C74F7A">
              <w:t>ideas</w:t>
            </w:r>
          </w:p>
          <w:p w:rsidR="00000000" w:rsidP="00C74F7A">
            <w:pPr>
              <w:pStyle w:val="BodyText"/>
              <w:rPr>
                <w:lang w:val="en-NZ"/>
              </w:rPr>
            </w:pPr>
            <w:r w:rsidRPr="00C74F7A">
              <w:t>services</w:t>
            </w:r>
          </w:p>
        </w:tc>
      </w:tr>
      <w:tr w:rsidTr="00901B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Formal close</w:t>
            </w:r>
            <w:r w:rsidRPr="00C74F7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t>inducement</w:t>
            </w:r>
          </w:p>
          <w:p w:rsidR="00000000" w:rsidRPr="00C74F7A" w:rsidP="00C74F7A">
            <w:pPr>
              <w:pStyle w:val="BodyText"/>
            </w:pPr>
            <w:r w:rsidRPr="00C74F7A">
              <w:t>narrative close</w:t>
            </w:r>
          </w:p>
          <w:p w:rsidR="00000000" w:rsidRPr="00C74F7A" w:rsidP="00C74F7A">
            <w:pPr>
              <w:pStyle w:val="BodyText"/>
            </w:pPr>
            <w:r w:rsidRPr="00C74F7A">
              <w:t>reque</w:t>
            </w:r>
            <w:r w:rsidRPr="00C74F7A">
              <w:t>st by the salesperson to the prospect to agree to purchase the product/service</w:t>
            </w:r>
          </w:p>
          <w:p w:rsidR="00000000" w:rsidRPr="00C74F7A" w:rsidP="00C74F7A">
            <w:pPr>
              <w:pStyle w:val="BodyText"/>
            </w:pPr>
            <w:r w:rsidRPr="00C74F7A">
              <w:t>offering alternative choices</w:t>
            </w:r>
          </w:p>
          <w:p w:rsidR="00000000" w:rsidP="00C74F7A">
            <w:pPr>
              <w:pStyle w:val="BodyText"/>
              <w:rPr>
                <w:lang w:val="en-NZ"/>
              </w:rPr>
            </w:pPr>
            <w:r w:rsidRPr="00C74F7A">
              <w:t>summary of product benefits</w:t>
            </w:r>
          </w:p>
        </w:tc>
      </w:tr>
      <w:tr w:rsidTr="00901B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4F7A">
            <w:pPr>
              <w:pStyle w:val="BodyText"/>
              <w:rPr>
                <w:lang w:val="en-NZ"/>
              </w:rPr>
            </w:pPr>
            <w:r w:rsidRPr="00C74F7A">
              <w:rPr>
                <w:rStyle w:val="SpecialBold"/>
              </w:rPr>
              <w:t>Conditions</w:t>
            </w:r>
            <w:r w:rsidRPr="00C74F7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74F7A" w:rsidP="00C74F7A">
            <w:pPr>
              <w:pStyle w:val="BodyText"/>
            </w:pPr>
            <w:r w:rsidRPr="00C74F7A">
              <w:t>client loyalty</w:t>
            </w:r>
          </w:p>
          <w:p w:rsidR="00000000" w:rsidRPr="00C74F7A" w:rsidP="00C74F7A">
            <w:pPr>
              <w:pStyle w:val="BodyText"/>
            </w:pPr>
            <w:r w:rsidRPr="00C74F7A">
              <w:t>delivery</w:t>
            </w:r>
          </w:p>
          <w:p w:rsidR="00000000" w:rsidRPr="00C74F7A" w:rsidP="00C74F7A">
            <w:pPr>
              <w:pStyle w:val="BodyText"/>
            </w:pPr>
            <w:r w:rsidRPr="00C74F7A">
              <w:t>length of contract</w:t>
            </w:r>
          </w:p>
          <w:p w:rsidR="00000000" w:rsidRPr="00C74F7A" w:rsidP="00C74F7A">
            <w:pPr>
              <w:pStyle w:val="BodyText"/>
            </w:pPr>
            <w:r w:rsidRPr="00C74F7A">
              <w:t>payment options</w:t>
            </w:r>
          </w:p>
          <w:p w:rsidR="00000000" w:rsidRPr="00C74F7A" w:rsidP="00C74F7A">
            <w:pPr>
              <w:pStyle w:val="BodyText"/>
            </w:pPr>
            <w:r w:rsidRPr="00C74F7A">
              <w:t>price</w:t>
            </w:r>
          </w:p>
        </w:tc>
      </w:tr>
    </w:tbl>
    <w:p w:rsidR="00000000" w:rsidRPr="00C74F7A" w:rsidP="00C74F7A">
      <w:pPr>
        <w:pStyle w:val="BodyText"/>
      </w:pPr>
    </w:p>
    <w:p w:rsidR="00000000" w:rsidRPr="00C74F7A" w:rsidP="00C74F7A">
      <w:pPr>
        <w:pStyle w:val="AllowPageBreak"/>
      </w:pPr>
    </w:p>
    <w:p w:rsidR="00000000" w:rsidRPr="00C74F7A" w:rsidP="00C74F7A">
      <w:pPr>
        <w:pStyle w:val="Heading1"/>
      </w:pPr>
      <w:bookmarkStart w:id="12" w:name="O_312933"/>
      <w:bookmarkEnd w:id="12"/>
      <w:r w:rsidRPr="00C74F7A">
        <w:t>Unit Secto</w:t>
      </w:r>
      <w:r w:rsidRPr="00C74F7A">
        <w:t>r(s)</w:t>
      </w:r>
    </w:p>
    <w:p w:rsidR="00000000" w:rsidRPr="00C74F7A" w:rsidP="00C74F7A">
      <w:pPr>
        <w:pStyle w:val="BodyText"/>
      </w:pPr>
      <w:r w:rsidRPr="00C74F7A">
        <w:t>empty</w:t>
      </w:r>
    </w:p>
    <w:p w:rsidR="00000000" w:rsidRPr="00C74F7A" w:rsidP="00C74F7A">
      <w:pPr>
        <w:pStyle w:val="BodyText"/>
      </w:pPr>
      <w:r w:rsidRPr="00C74F7A">
        <w:t>empt</w:t>
      </w:r>
    </w:p>
    <w:p w:rsidR="00000000" w:rsidRPr="00C74F7A" w:rsidP="00C74F7A">
      <w:pPr>
        <w:pStyle w:val="AllowPageBreak"/>
      </w:pPr>
    </w:p>
    <w:p w:rsidR="00000000" w:rsidRPr="00C74F7A" w:rsidP="00C74F7A">
      <w:pPr>
        <w:pStyle w:val="Heading1"/>
      </w:pPr>
      <w:bookmarkStart w:id="13" w:name="O_312922"/>
      <w:bookmarkEnd w:id="13"/>
      <w:r w:rsidRPr="00C74F7A">
        <w:t>Competency field</w:t>
      </w:r>
    </w:p>
    <w:p w:rsidR="00000000" w:rsidRPr="00C74F7A" w:rsidP="00C74F7A">
      <w:pPr>
        <w:pStyle w:val="BodyText"/>
      </w:pPr>
      <w:r w:rsidRPr="00C74F7A">
        <w:t>Business Development - Sales</w:t>
      </w:r>
    </w:p>
    <w:p w:rsidR="00000000" w:rsidRPr="00C74F7A" w:rsidP="00C74F7A">
      <w:pPr>
        <w:pStyle w:val="BodyText"/>
      </w:pPr>
      <w:r w:rsidRPr="00C74F7A">
        <w:t>Business Development - Sales</w:t>
      </w:r>
    </w:p>
    <w:p w:rsidR="00000000" w:rsidRPr="00C74F7A" w:rsidP="00C74F7A"/>
    <w:sectPr w:rsidSect="00C74F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BD4" w:rsidP="00901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D4" w:rsidP="00C74F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01BD4" w:rsidP="00C74F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1BD4" w:rsidP="00C74F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BD4" w:rsidP="00901B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D4" w:rsidP="00C74F7A">
    <w:pPr>
      <w:pStyle w:val="Header"/>
      <w:framePr w:wrap="around"/>
    </w:pPr>
    <w:r>
      <w:fldChar w:fldCharType="begin"/>
    </w:r>
    <w:r>
      <w:instrText xml:space="preserve"> TITLE   \* MERGEFORMAT </w:instrText>
    </w:r>
    <w:r>
      <w:fldChar w:fldCharType="separate"/>
    </w:r>
    <w:r>
      <w:t>BSBSLS404A Secure prospect commitment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1BD4" w:rsidP="00C74F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F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4F7A"/>
    <w:pPr>
      <w:spacing w:before="360" w:after="60"/>
      <w:outlineLvl w:val="0"/>
    </w:pPr>
    <w:rPr>
      <w:sz w:val="32"/>
    </w:rPr>
  </w:style>
  <w:style w:type="paragraph" w:styleId="Heading2">
    <w:name w:val="heading 2"/>
    <w:basedOn w:val="HeadingBase"/>
    <w:next w:val="BodyText"/>
    <w:link w:val="Heading2Char"/>
    <w:qFormat/>
    <w:rsid w:val="00C74F7A"/>
    <w:pPr>
      <w:keepLines/>
      <w:spacing w:before="240" w:after="120"/>
      <w:outlineLvl w:val="1"/>
    </w:pPr>
    <w:rPr>
      <w:sz w:val="28"/>
      <w:szCs w:val="40"/>
    </w:rPr>
  </w:style>
  <w:style w:type="paragraph" w:styleId="Heading3">
    <w:name w:val="heading 3"/>
    <w:basedOn w:val="HeadingBase"/>
    <w:next w:val="BodyText"/>
    <w:link w:val="Heading3Char"/>
    <w:qFormat/>
    <w:rsid w:val="00C74F7A"/>
    <w:pPr>
      <w:spacing w:before="180" w:after="120"/>
      <w:outlineLvl w:val="2"/>
    </w:pPr>
    <w:rPr>
      <w:spacing w:val="-10"/>
      <w:kern w:val="32"/>
    </w:rPr>
  </w:style>
  <w:style w:type="paragraph" w:styleId="Heading4">
    <w:name w:val="heading 4"/>
    <w:basedOn w:val="HeadingBase"/>
    <w:next w:val="BodyText"/>
    <w:link w:val="Heading4Char"/>
    <w:qFormat/>
    <w:rsid w:val="00C74F7A"/>
    <w:pPr>
      <w:spacing w:before="160" w:after="120"/>
      <w:outlineLvl w:val="3"/>
    </w:pPr>
    <w:rPr>
      <w:sz w:val="22"/>
    </w:rPr>
  </w:style>
  <w:style w:type="paragraph" w:styleId="Heading5">
    <w:name w:val="heading 5"/>
    <w:basedOn w:val="HeadingBase"/>
    <w:next w:val="Normal"/>
    <w:link w:val="Heading5Char"/>
    <w:qFormat/>
    <w:rsid w:val="00C74F7A"/>
    <w:pPr>
      <w:spacing w:before="80"/>
      <w:outlineLvl w:val="4"/>
    </w:pPr>
    <w:rPr>
      <w:color w:val="918585"/>
      <w:sz w:val="20"/>
    </w:rPr>
  </w:style>
  <w:style w:type="paragraph" w:styleId="Heading6">
    <w:name w:val="heading 6"/>
    <w:basedOn w:val="HeadingBase"/>
    <w:next w:val="Normal"/>
    <w:link w:val="Heading6Char"/>
    <w:qFormat/>
    <w:rsid w:val="00C74F7A"/>
    <w:pPr>
      <w:spacing w:before="60"/>
      <w:outlineLvl w:val="5"/>
    </w:pPr>
    <w:rPr>
      <w:color w:val="918585"/>
      <w:sz w:val="20"/>
    </w:rPr>
  </w:style>
  <w:style w:type="paragraph" w:styleId="Heading7">
    <w:name w:val="heading 7"/>
    <w:basedOn w:val="Normal"/>
    <w:next w:val="Normal"/>
    <w:link w:val="Heading7Char"/>
    <w:qFormat/>
    <w:rsid w:val="00C74F7A"/>
    <w:pPr>
      <w:ind w:left="720"/>
      <w:outlineLvl w:val="6"/>
    </w:pPr>
    <w:rPr>
      <w:i/>
    </w:rPr>
  </w:style>
  <w:style w:type="paragraph" w:styleId="Heading8">
    <w:name w:val="heading 8"/>
    <w:basedOn w:val="Normal"/>
    <w:next w:val="Normal"/>
    <w:link w:val="Heading8Char"/>
    <w:qFormat/>
    <w:rsid w:val="00C74F7A"/>
    <w:pPr>
      <w:ind w:left="720"/>
      <w:outlineLvl w:val="7"/>
    </w:pPr>
    <w:rPr>
      <w:i/>
    </w:rPr>
  </w:style>
  <w:style w:type="paragraph" w:styleId="Heading9">
    <w:name w:val="heading 9"/>
    <w:basedOn w:val="Normal"/>
    <w:next w:val="Normal"/>
    <w:link w:val="Heading9Char"/>
    <w:qFormat/>
    <w:rsid w:val="00C74F7A"/>
    <w:pPr>
      <w:ind w:left="720"/>
      <w:outlineLvl w:val="8"/>
    </w:pPr>
    <w:rPr>
      <w:i/>
    </w:rPr>
  </w:style>
  <w:style w:type="character" w:default="1" w:styleId="DefaultParagraphFont">
    <w:name w:val="Default Paragraph Font"/>
    <w:uiPriority w:val="1"/>
    <w:unhideWhenUsed/>
    <w:rsid w:val="00C74F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F7A"/>
  </w:style>
  <w:style w:type="character" w:customStyle="1" w:styleId="Heading1Char">
    <w:name w:val="Heading 1 Char"/>
    <w:basedOn w:val="DefaultParagraphFont"/>
    <w:link w:val="Heading1"/>
    <w:rsid w:val="00C74F7A"/>
    <w:rPr>
      <w:rFonts w:ascii="Times New Roman" w:eastAsia="Times New Roman" w:hAnsi="Times New Roman" w:cs="Times New Roman"/>
      <w:b/>
      <w:sz w:val="32"/>
      <w:szCs w:val="20"/>
      <w:lang w:eastAsia="en-US"/>
    </w:rPr>
  </w:style>
  <w:style w:type="paragraph" w:styleId="BodyText">
    <w:name w:val="Body Text"/>
    <w:basedOn w:val="Normal"/>
    <w:link w:val="BodyTextChar"/>
    <w:rsid w:val="00C74F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F7A"/>
    <w:rPr>
      <w:rFonts w:ascii="Times New Roman" w:eastAsia="Times New Roman" w:hAnsi="Times New Roman" w:cs="Times New Roman"/>
      <w:sz w:val="24"/>
      <w:lang w:val="en-US" w:eastAsia="en-US"/>
    </w:rPr>
  </w:style>
  <w:style w:type="paragraph" w:styleId="Footer">
    <w:name w:val="footer"/>
    <w:basedOn w:val="Normal"/>
    <w:link w:val="FooterChar"/>
    <w:rsid w:val="00C74F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F7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74F7A"/>
    <w:rPr>
      <w:b/>
      <w:spacing w:val="0"/>
    </w:rPr>
  </w:style>
  <w:style w:type="paragraph" w:styleId="Header">
    <w:name w:val="header"/>
    <w:basedOn w:val="Normal"/>
    <w:link w:val="HeaderChar"/>
    <w:rsid w:val="00C74F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F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4F7A"/>
    <w:pPr>
      <w:spacing w:before="240" w:after="120"/>
      <w:outlineLvl w:val="0"/>
    </w:pPr>
    <w:rPr>
      <w:rFonts w:ascii="Times New Roman" w:hAnsi="Times New Roman"/>
      <w:b/>
      <w:sz w:val="28"/>
    </w:rPr>
  </w:style>
  <w:style w:type="paragraph" w:customStyle="1" w:styleId="AllowPageBreak">
    <w:name w:val="AllowPageBreak"/>
    <w:rsid w:val="00C74F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4F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F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F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F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F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F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4F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4F7A"/>
    <w:rPr>
      <w:rFonts w:ascii="Courier New" w:eastAsia="Times New Roman" w:hAnsi="Courier New" w:cs="Times New Roman"/>
      <w:i/>
      <w:szCs w:val="20"/>
      <w:lang w:val="en-US" w:eastAsia="en-US"/>
    </w:rPr>
  </w:style>
  <w:style w:type="paragraph" w:customStyle="1" w:styleId="HeadingBase">
    <w:name w:val="Heading Base"/>
    <w:rsid w:val="00C74F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F7A"/>
    <w:pPr>
      <w:tabs>
        <w:tab w:val="right" w:leader="dot" w:pos="9072"/>
      </w:tabs>
      <w:ind w:left="567"/>
    </w:pPr>
    <w:rPr>
      <w:szCs w:val="22"/>
    </w:rPr>
  </w:style>
  <w:style w:type="paragraph" w:customStyle="1" w:styleId="TOCBase">
    <w:name w:val="TOC Base"/>
    <w:rsid w:val="00C74F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F7A"/>
    <w:pPr>
      <w:tabs>
        <w:tab w:val="right" w:leader="dot" w:pos="9072"/>
      </w:tabs>
      <w:spacing w:before="40" w:after="40"/>
      <w:ind w:left="284"/>
    </w:pPr>
    <w:rPr>
      <w:rFonts w:ascii="Times New Roman" w:hAnsi="Times New Roman"/>
    </w:rPr>
  </w:style>
  <w:style w:type="paragraph" w:styleId="TOC1">
    <w:name w:val="toc 1"/>
    <w:basedOn w:val="TOCBase"/>
    <w:next w:val="Normal"/>
    <w:rsid w:val="00C74F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4F7A"/>
    <w:pPr>
      <w:spacing w:before="5040"/>
      <w:jc w:val="center"/>
    </w:pPr>
    <w:rPr>
      <w:sz w:val="48"/>
      <w:szCs w:val="72"/>
      <w:lang w:val="en-US"/>
    </w:rPr>
  </w:style>
  <w:style w:type="character" w:customStyle="1" w:styleId="TitleChar">
    <w:name w:val="Title Char"/>
    <w:basedOn w:val="DefaultParagraphFont"/>
    <w:link w:val="Title"/>
    <w:rsid w:val="00C74F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F7A"/>
    <w:pPr>
      <w:tabs>
        <w:tab w:val="left" w:pos="3600"/>
        <w:tab w:val="left" w:pos="3958"/>
      </w:tabs>
    </w:pPr>
  </w:style>
  <w:style w:type="paragraph" w:styleId="List">
    <w:name w:val="List"/>
    <w:basedOn w:val="BodyText"/>
    <w:next w:val="BodyText"/>
    <w:rsid w:val="00C74F7A"/>
    <w:pPr>
      <w:tabs>
        <w:tab w:val="left" w:pos="340"/>
      </w:tabs>
      <w:spacing w:before="60" w:after="60"/>
      <w:ind w:left="340" w:hanging="340"/>
    </w:pPr>
  </w:style>
  <w:style w:type="paragraph" w:styleId="ListBullet">
    <w:name w:val="List Bullet"/>
    <w:basedOn w:val="List"/>
    <w:rsid w:val="00C74F7A"/>
    <w:pPr>
      <w:numPr>
        <w:numId w:val="11"/>
      </w:numPr>
      <w:tabs>
        <w:tab w:val="clear" w:pos="340"/>
      </w:tabs>
      <w:spacing w:before="40" w:after="40"/>
    </w:pPr>
  </w:style>
  <w:style w:type="paragraph" w:customStyle="1" w:styleId="Note">
    <w:name w:val="Note"/>
    <w:basedOn w:val="BodyText"/>
    <w:rsid w:val="00C74F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F7A"/>
    <w:pPr>
      <w:framePr w:wrap="auto" w:hAnchor="text" w:y="6049"/>
    </w:pPr>
    <w:rPr>
      <w:color w:val="000000"/>
      <w:sz w:val="40"/>
    </w:rPr>
  </w:style>
  <w:style w:type="paragraph" w:customStyle="1" w:styleId="TOCTitle">
    <w:name w:val="TOCTitle"/>
    <w:basedOn w:val="Heading1"/>
    <w:rsid w:val="00C74F7A"/>
    <w:pPr>
      <w:spacing w:after="240"/>
      <w:jc w:val="center"/>
      <w:outlineLvl w:val="9"/>
    </w:pPr>
    <w:rPr>
      <w:caps/>
    </w:rPr>
  </w:style>
  <w:style w:type="paragraph" w:customStyle="1" w:styleId="Version">
    <w:name w:val="Version"/>
    <w:rsid w:val="00C74F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4F7A"/>
    <w:pPr>
      <w:numPr>
        <w:numId w:val="12"/>
      </w:numPr>
      <w:tabs>
        <w:tab w:val="clear" w:pos="680"/>
      </w:tabs>
    </w:pPr>
  </w:style>
  <w:style w:type="paragraph" w:styleId="Index1">
    <w:name w:val="index 1"/>
    <w:basedOn w:val="Normal"/>
    <w:next w:val="Normal"/>
    <w:semiHidden/>
    <w:rsid w:val="00C74F7A"/>
    <w:pPr>
      <w:keepNext w:val="0"/>
      <w:tabs>
        <w:tab w:val="right" w:pos="4176"/>
      </w:tabs>
      <w:ind w:left="198" w:hanging="198"/>
    </w:pPr>
    <w:rPr>
      <w:rFonts w:ascii="Garamond" w:hAnsi="Garamond"/>
    </w:rPr>
  </w:style>
  <w:style w:type="paragraph" w:styleId="IndexHeading">
    <w:name w:val="index heading"/>
    <w:basedOn w:val="Normal"/>
    <w:next w:val="Index1"/>
    <w:semiHidden/>
    <w:rsid w:val="00C74F7A"/>
    <w:pPr>
      <w:spacing w:before="120" w:after="120"/>
    </w:pPr>
    <w:rPr>
      <w:rFonts w:ascii="Arial" w:hAnsi="Arial"/>
      <w:b/>
      <w:color w:val="918585"/>
      <w:sz w:val="24"/>
    </w:rPr>
  </w:style>
  <w:style w:type="paragraph" w:customStyle="1" w:styleId="Chapter">
    <w:name w:val="Chapter"/>
    <w:basedOn w:val="Normal"/>
    <w:rsid w:val="00C74F7A"/>
    <w:pPr>
      <w:spacing w:before="240"/>
    </w:pPr>
    <w:rPr>
      <w:rFonts w:ascii="Times New Roman" w:hAnsi="Times New Roman"/>
      <w:smallCaps/>
      <w:spacing w:val="80"/>
      <w:sz w:val="28"/>
    </w:rPr>
  </w:style>
  <w:style w:type="paragraph" w:customStyle="1" w:styleId="InChapter">
    <w:name w:val="InChapter"/>
    <w:basedOn w:val="Heading3"/>
    <w:rsid w:val="00C74F7A"/>
    <w:pPr>
      <w:spacing w:after="240"/>
      <w:outlineLvl w:val="9"/>
    </w:pPr>
    <w:rPr>
      <w:noProof/>
    </w:rPr>
  </w:style>
  <w:style w:type="paragraph" w:styleId="Index2">
    <w:name w:val="index 2"/>
    <w:basedOn w:val="Normal"/>
    <w:next w:val="Normal"/>
    <w:semiHidden/>
    <w:rsid w:val="00C74F7A"/>
    <w:pPr>
      <w:tabs>
        <w:tab w:val="right" w:pos="4176"/>
      </w:tabs>
      <w:ind w:left="568" w:hanging="284"/>
    </w:pPr>
    <w:rPr>
      <w:rFonts w:ascii="Garamond" w:hAnsi="Garamond"/>
    </w:rPr>
  </w:style>
  <w:style w:type="paragraph" w:customStyle="1" w:styleId="Byline">
    <w:name w:val="Byline"/>
    <w:rsid w:val="00C74F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F7A"/>
    <w:pPr>
      <w:tabs>
        <w:tab w:val="clear" w:pos="3600"/>
        <w:tab w:val="clear" w:pos="3958"/>
      </w:tabs>
      <w:jc w:val="right"/>
    </w:pPr>
  </w:style>
  <w:style w:type="character" w:styleId="Emphasis">
    <w:name w:val="Emphasis"/>
    <w:basedOn w:val="DefaultParagraphFont"/>
    <w:qFormat/>
    <w:rsid w:val="00C74F7A"/>
    <w:rPr>
      <w:i/>
    </w:rPr>
  </w:style>
  <w:style w:type="paragraph" w:styleId="Caption">
    <w:name w:val="caption"/>
    <w:basedOn w:val="BodyText"/>
    <w:next w:val="Normal"/>
    <w:qFormat/>
    <w:rsid w:val="00C74F7A"/>
    <w:pPr>
      <w:framePr w:w="2268" w:hSpace="181" w:vSpace="181" w:wrap="around" w:vAnchor="text" w:hAnchor="page" w:x="1135" w:y="285" w:anchorLock="1"/>
    </w:pPr>
    <w:rPr>
      <w:i/>
    </w:rPr>
  </w:style>
  <w:style w:type="paragraph" w:customStyle="1" w:styleId="MiniTOCTitle">
    <w:name w:val="MiniTOCTitle"/>
    <w:basedOn w:val="Heading4"/>
    <w:rsid w:val="00C74F7A"/>
    <w:pPr>
      <w:spacing w:before="240"/>
      <w:outlineLvl w:val="9"/>
    </w:pPr>
    <w:rPr>
      <w:noProof/>
      <w:sz w:val="24"/>
    </w:rPr>
  </w:style>
  <w:style w:type="paragraph" w:customStyle="1" w:styleId="MiniTOCItem">
    <w:name w:val="MiniTOCItem"/>
    <w:basedOn w:val="ListBullet"/>
    <w:rsid w:val="00C74F7A"/>
    <w:pPr>
      <w:numPr>
        <w:numId w:val="0"/>
      </w:numPr>
      <w:tabs>
        <w:tab w:val="right" w:leader="dot" w:pos="6521"/>
      </w:tabs>
      <w:spacing w:before="0" w:after="0"/>
    </w:pPr>
  </w:style>
  <w:style w:type="paragraph" w:customStyle="1" w:styleId="TOFTitle">
    <w:name w:val="TOFTitle"/>
    <w:basedOn w:val="TOCTitle"/>
    <w:rsid w:val="00C74F7A"/>
  </w:style>
  <w:style w:type="paragraph" w:styleId="TableofFigures">
    <w:name w:val="table of figures"/>
    <w:basedOn w:val="Normal"/>
    <w:next w:val="Normal"/>
    <w:semiHidden/>
    <w:rsid w:val="00C74F7A"/>
    <w:pPr>
      <w:tabs>
        <w:tab w:val="right" w:leader="dot" w:pos="9072"/>
      </w:tabs>
      <w:ind w:left="970" w:hanging="403"/>
    </w:pPr>
    <w:rPr>
      <w:rFonts w:ascii="Times New Roman" w:hAnsi="Times New Roman"/>
      <w:b/>
    </w:rPr>
  </w:style>
  <w:style w:type="paragraph" w:styleId="ListNumber">
    <w:name w:val="List Number"/>
    <w:basedOn w:val="List"/>
    <w:rsid w:val="00C74F7A"/>
    <w:pPr>
      <w:numPr>
        <w:numId w:val="9"/>
      </w:numPr>
    </w:pPr>
  </w:style>
  <w:style w:type="character" w:customStyle="1" w:styleId="WingdingSymbols">
    <w:name w:val="Wingding Symbols"/>
    <w:rsid w:val="00C74F7A"/>
    <w:rPr>
      <w:rFonts w:ascii="Wingdings" w:hAnsi="Wingdings"/>
    </w:rPr>
  </w:style>
  <w:style w:type="paragraph" w:customStyle="1" w:styleId="TableHeading">
    <w:name w:val="Table Heading"/>
    <w:basedOn w:val="HeadingBase"/>
    <w:rsid w:val="00C74F7A"/>
    <w:pPr>
      <w:keepLines/>
      <w:pBdr>
        <w:bottom w:val="single" w:sz="6" w:space="1" w:color="918585"/>
      </w:pBdr>
      <w:spacing w:before="240"/>
    </w:pPr>
  </w:style>
  <w:style w:type="character" w:customStyle="1" w:styleId="HotSpot">
    <w:name w:val="HotSpot"/>
    <w:rsid w:val="00C74F7A"/>
    <w:rPr>
      <w:color w:val="0033CC"/>
      <w:u w:val="none"/>
    </w:rPr>
  </w:style>
  <w:style w:type="paragraph" w:customStyle="1" w:styleId="BodyTextRight">
    <w:name w:val="Body Text Right"/>
    <w:basedOn w:val="BodyText"/>
    <w:rsid w:val="00C74F7A"/>
    <w:pPr>
      <w:spacing w:before="0" w:after="0"/>
      <w:jc w:val="right"/>
    </w:pPr>
  </w:style>
  <w:style w:type="paragraph" w:styleId="Index3">
    <w:name w:val="index 3"/>
    <w:basedOn w:val="ListNumber2"/>
    <w:next w:val="Normal"/>
    <w:semiHidden/>
    <w:rsid w:val="00C74F7A"/>
    <w:pPr>
      <w:numPr>
        <w:numId w:val="0"/>
      </w:numPr>
      <w:tabs>
        <w:tab w:val="right" w:leader="dot" w:pos="4176"/>
      </w:tabs>
    </w:pPr>
  </w:style>
  <w:style w:type="paragraph" w:styleId="ListNumber2">
    <w:name w:val="List Number 2"/>
    <w:basedOn w:val="List2"/>
    <w:rsid w:val="00C74F7A"/>
    <w:pPr>
      <w:numPr>
        <w:numId w:val="8"/>
      </w:numPr>
      <w:tabs>
        <w:tab w:val="clear" w:pos="1060"/>
      </w:tabs>
    </w:pPr>
  </w:style>
  <w:style w:type="paragraph" w:customStyle="1" w:styleId="MarginNote">
    <w:name w:val="Margin Note"/>
    <w:basedOn w:val="BodyText"/>
    <w:rsid w:val="00C74F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F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F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4F7A"/>
    <w:rPr>
      <w:sz w:val="32"/>
    </w:rPr>
  </w:style>
  <w:style w:type="paragraph" w:customStyle="1" w:styleId="HeadingProcedure">
    <w:name w:val="Heading Procedure"/>
    <w:basedOn w:val="HeadingBase"/>
    <w:next w:val="Normal"/>
    <w:rsid w:val="00C74F7A"/>
    <w:pPr>
      <w:tabs>
        <w:tab w:val="left" w:pos="0"/>
      </w:tabs>
      <w:spacing w:before="120" w:after="60"/>
    </w:pPr>
    <w:rPr>
      <w:i/>
      <w:color w:val="918585"/>
      <w:sz w:val="22"/>
    </w:rPr>
  </w:style>
  <w:style w:type="paragraph" w:customStyle="1" w:styleId="TableBodyText">
    <w:name w:val="Table Body Text"/>
    <w:basedOn w:val="BodyText"/>
    <w:rsid w:val="00C74F7A"/>
    <w:pPr>
      <w:spacing w:before="60" w:after="60"/>
    </w:pPr>
  </w:style>
  <w:style w:type="paragraph" w:styleId="ListContinue">
    <w:name w:val="List Continue"/>
    <w:basedOn w:val="List"/>
    <w:rsid w:val="00C74F7A"/>
    <w:pPr>
      <w:ind w:firstLine="0"/>
    </w:pPr>
  </w:style>
  <w:style w:type="paragraph" w:customStyle="1" w:styleId="ListNote">
    <w:name w:val="List Note"/>
    <w:basedOn w:val="List"/>
    <w:rsid w:val="00C74F7A"/>
    <w:pPr>
      <w:pBdr>
        <w:top w:val="single" w:sz="6" w:space="2" w:color="918585"/>
        <w:bottom w:val="single" w:sz="6" w:space="2" w:color="918585"/>
      </w:pBdr>
      <w:tabs>
        <w:tab w:val="left" w:pos="1021"/>
      </w:tabs>
      <w:ind w:firstLine="0"/>
    </w:pPr>
  </w:style>
  <w:style w:type="paragraph" w:customStyle="1" w:styleId="Warning">
    <w:name w:val="Warning"/>
    <w:basedOn w:val="BodyText"/>
    <w:rsid w:val="00C74F7A"/>
    <w:pPr>
      <w:shd w:val="clear" w:color="auto" w:fill="D9D9D9"/>
      <w:tabs>
        <w:tab w:val="left" w:pos="992"/>
      </w:tabs>
      <w:ind w:left="119" w:right="119"/>
    </w:pPr>
    <w:rPr>
      <w:sz w:val="20"/>
    </w:rPr>
  </w:style>
  <w:style w:type="paragraph" w:customStyle="1" w:styleId="MarginIcons">
    <w:name w:val="Margin Icons"/>
    <w:basedOn w:val="BodyText"/>
    <w:rsid w:val="00C74F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F7A"/>
    <w:rPr>
      <w:rFonts w:ascii="Courier New" w:hAnsi="Courier New"/>
    </w:rPr>
  </w:style>
  <w:style w:type="paragraph" w:customStyle="1" w:styleId="NoteBullet">
    <w:name w:val="Note Bullet"/>
    <w:basedOn w:val="Note"/>
    <w:rsid w:val="00C74F7A"/>
    <w:pPr>
      <w:tabs>
        <w:tab w:val="clear" w:pos="680"/>
      </w:tabs>
      <w:spacing w:before="60" w:after="60"/>
    </w:pPr>
  </w:style>
  <w:style w:type="paragraph" w:customStyle="1" w:styleId="SubHeading2">
    <w:name w:val="SubHeading2"/>
    <w:basedOn w:val="HeadingBase"/>
    <w:rsid w:val="00C74F7A"/>
    <w:pPr>
      <w:spacing w:before="240" w:after="60"/>
    </w:pPr>
    <w:rPr>
      <w:sz w:val="20"/>
    </w:rPr>
  </w:style>
  <w:style w:type="paragraph" w:customStyle="1" w:styleId="SubHeading1">
    <w:name w:val="SubHeading1"/>
    <w:basedOn w:val="HeadingBase"/>
    <w:rsid w:val="00C74F7A"/>
    <w:pPr>
      <w:spacing w:before="240" w:after="60"/>
    </w:pPr>
    <w:rPr>
      <w:color w:val="918585"/>
      <w:sz w:val="22"/>
    </w:rPr>
  </w:style>
  <w:style w:type="paragraph" w:customStyle="1" w:styleId="SideHeading">
    <w:name w:val="Side Heading"/>
    <w:basedOn w:val="HeadingBase"/>
    <w:rsid w:val="00C74F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F7A"/>
    <w:pPr>
      <w:numPr>
        <w:numId w:val="10"/>
      </w:numPr>
    </w:pPr>
  </w:style>
  <w:style w:type="paragraph" w:styleId="PlainText">
    <w:name w:val="Plain Text"/>
    <w:basedOn w:val="Normal"/>
    <w:link w:val="PlainTextChar"/>
    <w:rsid w:val="00C74F7A"/>
    <w:rPr>
      <w:sz w:val="20"/>
    </w:rPr>
  </w:style>
  <w:style w:type="character" w:customStyle="1" w:styleId="PlainTextChar">
    <w:name w:val="Plain Text Char"/>
    <w:basedOn w:val="DefaultParagraphFont"/>
    <w:link w:val="PlainText"/>
    <w:rsid w:val="00C74F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4F7A"/>
    <w:rPr>
      <w:b/>
      <w:smallCaps/>
    </w:rPr>
  </w:style>
  <w:style w:type="paragraph" w:customStyle="1" w:styleId="TableListNumber">
    <w:name w:val="Table List Number"/>
    <w:basedOn w:val="ListNumber"/>
    <w:rsid w:val="00C74F7A"/>
    <w:pPr>
      <w:numPr>
        <w:numId w:val="0"/>
      </w:numPr>
    </w:pPr>
  </w:style>
  <w:style w:type="paragraph" w:styleId="TOC4">
    <w:name w:val="toc 4"/>
    <w:basedOn w:val="TOCBase"/>
    <w:next w:val="Normal"/>
    <w:semiHidden/>
    <w:rsid w:val="00C74F7A"/>
    <w:pPr>
      <w:tabs>
        <w:tab w:val="right" w:leader="dot" w:pos="9071"/>
      </w:tabs>
      <w:ind w:left="1701"/>
    </w:pPr>
  </w:style>
  <w:style w:type="paragraph" w:customStyle="1" w:styleId="ListAlpha">
    <w:name w:val="List Alpha"/>
    <w:basedOn w:val="List"/>
    <w:rsid w:val="00C74F7A"/>
    <w:pPr>
      <w:numPr>
        <w:numId w:val="7"/>
      </w:numPr>
    </w:pPr>
  </w:style>
  <w:style w:type="paragraph" w:customStyle="1" w:styleId="ListAlpha2">
    <w:name w:val="List Alpha 2"/>
    <w:basedOn w:val="List2"/>
    <w:rsid w:val="00C74F7A"/>
    <w:pPr>
      <w:numPr>
        <w:numId w:val="6"/>
      </w:numPr>
    </w:pPr>
  </w:style>
  <w:style w:type="paragraph" w:styleId="List2">
    <w:name w:val="List 2"/>
    <w:basedOn w:val="BodyText"/>
    <w:rsid w:val="00C74F7A"/>
    <w:pPr>
      <w:tabs>
        <w:tab w:val="left" w:pos="680"/>
      </w:tabs>
      <w:spacing w:before="60" w:after="60"/>
      <w:ind w:left="680" w:hanging="340"/>
    </w:pPr>
  </w:style>
  <w:style w:type="paragraph" w:styleId="List3">
    <w:name w:val="List 3"/>
    <w:basedOn w:val="BodyText"/>
    <w:rsid w:val="00C74F7A"/>
    <w:pPr>
      <w:tabs>
        <w:tab w:val="left" w:pos="1021"/>
      </w:tabs>
      <w:spacing w:before="60" w:after="60"/>
      <w:ind w:left="1020" w:hanging="340"/>
    </w:pPr>
  </w:style>
  <w:style w:type="paragraph" w:styleId="List4">
    <w:name w:val="List 4"/>
    <w:basedOn w:val="BodyText"/>
    <w:rsid w:val="00C74F7A"/>
    <w:pPr>
      <w:tabs>
        <w:tab w:val="left" w:pos="1361"/>
      </w:tabs>
      <w:spacing w:before="60" w:after="60"/>
      <w:ind w:left="1361" w:hanging="340"/>
    </w:pPr>
  </w:style>
  <w:style w:type="paragraph" w:styleId="List5">
    <w:name w:val="List 5"/>
    <w:basedOn w:val="BodyText"/>
    <w:rsid w:val="00C74F7A"/>
    <w:pPr>
      <w:tabs>
        <w:tab w:val="left" w:pos="1701"/>
      </w:tabs>
      <w:spacing w:before="60" w:after="60"/>
      <w:ind w:left="1701" w:hanging="340"/>
    </w:pPr>
  </w:style>
  <w:style w:type="paragraph" w:styleId="ListBullet3">
    <w:name w:val="List Bullet 3"/>
    <w:basedOn w:val="List3"/>
    <w:rsid w:val="00C74F7A"/>
    <w:pPr>
      <w:numPr>
        <w:numId w:val="13"/>
      </w:numPr>
      <w:tabs>
        <w:tab w:val="clear" w:pos="1021"/>
      </w:tabs>
      <w:ind w:left="1037" w:hanging="357"/>
    </w:pPr>
  </w:style>
  <w:style w:type="paragraph" w:styleId="ListBullet4">
    <w:name w:val="List Bullet 4"/>
    <w:basedOn w:val="List4"/>
    <w:rsid w:val="00C74F7A"/>
    <w:pPr>
      <w:numPr>
        <w:numId w:val="1"/>
      </w:numPr>
    </w:pPr>
  </w:style>
  <w:style w:type="paragraph" w:styleId="ListBullet5">
    <w:name w:val="List Bullet 5"/>
    <w:basedOn w:val="List5"/>
    <w:rsid w:val="00C74F7A"/>
    <w:pPr>
      <w:numPr>
        <w:numId w:val="2"/>
      </w:numPr>
    </w:pPr>
  </w:style>
  <w:style w:type="paragraph" w:styleId="ListContinue2">
    <w:name w:val="List Continue 2"/>
    <w:basedOn w:val="List2"/>
    <w:rsid w:val="00C74F7A"/>
    <w:pPr>
      <w:ind w:firstLine="0"/>
    </w:pPr>
  </w:style>
  <w:style w:type="paragraph" w:styleId="ListContinue3">
    <w:name w:val="List Continue 3"/>
    <w:basedOn w:val="List3"/>
    <w:rsid w:val="00C74F7A"/>
    <w:pPr>
      <w:ind w:left="1021" w:firstLine="0"/>
    </w:pPr>
  </w:style>
  <w:style w:type="paragraph" w:styleId="ListContinue4">
    <w:name w:val="List Continue 4"/>
    <w:basedOn w:val="List4"/>
    <w:rsid w:val="00C74F7A"/>
    <w:pPr>
      <w:ind w:firstLine="0"/>
    </w:pPr>
  </w:style>
  <w:style w:type="paragraph" w:styleId="ListContinue5">
    <w:name w:val="List Continue 5"/>
    <w:basedOn w:val="List5"/>
    <w:rsid w:val="00C74F7A"/>
    <w:pPr>
      <w:ind w:firstLine="0"/>
    </w:pPr>
  </w:style>
  <w:style w:type="paragraph" w:styleId="ListNumber3">
    <w:name w:val="List Number 3"/>
    <w:basedOn w:val="List3"/>
    <w:rsid w:val="00C74F7A"/>
    <w:pPr>
      <w:numPr>
        <w:numId w:val="3"/>
      </w:numPr>
    </w:pPr>
  </w:style>
  <w:style w:type="paragraph" w:styleId="ListNumber4">
    <w:name w:val="List Number 4"/>
    <w:basedOn w:val="List4"/>
    <w:rsid w:val="00C74F7A"/>
    <w:pPr>
      <w:numPr>
        <w:numId w:val="4"/>
      </w:numPr>
    </w:pPr>
  </w:style>
  <w:style w:type="paragraph" w:styleId="ListNumber5">
    <w:name w:val="List Number 5"/>
    <w:basedOn w:val="List5"/>
    <w:rsid w:val="00C74F7A"/>
    <w:pPr>
      <w:numPr>
        <w:numId w:val="5"/>
      </w:numPr>
    </w:pPr>
  </w:style>
  <w:style w:type="paragraph" w:styleId="BlockText">
    <w:name w:val="Block Text"/>
    <w:basedOn w:val="Normal"/>
    <w:rsid w:val="00C74F7A"/>
    <w:pPr>
      <w:spacing w:after="120"/>
      <w:ind w:left="1440" w:right="1440"/>
    </w:pPr>
  </w:style>
  <w:style w:type="character" w:customStyle="1" w:styleId="Subscript">
    <w:name w:val="Subscript"/>
    <w:basedOn w:val="DefaultParagraphFont"/>
    <w:rsid w:val="00C74F7A"/>
    <w:rPr>
      <w:sz w:val="16"/>
      <w:vertAlign w:val="subscript"/>
    </w:rPr>
  </w:style>
  <w:style w:type="character" w:customStyle="1" w:styleId="Superscript">
    <w:name w:val="Superscript"/>
    <w:basedOn w:val="DefaultParagraphFont"/>
    <w:rsid w:val="00C74F7A"/>
    <w:rPr>
      <w:sz w:val="16"/>
      <w:vertAlign w:val="superscript"/>
    </w:rPr>
  </w:style>
  <w:style w:type="character" w:customStyle="1" w:styleId="Symbols">
    <w:name w:val="Symbols"/>
    <w:basedOn w:val="DefaultParagraphFont"/>
    <w:rsid w:val="00C74F7A"/>
    <w:rPr>
      <w:rFonts w:ascii="Symbol" w:hAnsi="Symbol"/>
    </w:rPr>
  </w:style>
  <w:style w:type="character" w:customStyle="1" w:styleId="MenuOptions">
    <w:name w:val="Menu Options"/>
    <w:basedOn w:val="DefaultParagraphFont"/>
    <w:rsid w:val="00C74F7A"/>
    <w:rPr>
      <w:rFonts w:ascii="Arial Narrow" w:hAnsi="Arial Narrow"/>
      <w:smallCaps/>
    </w:rPr>
  </w:style>
  <w:style w:type="character" w:customStyle="1" w:styleId="Buttons">
    <w:name w:val="Buttons"/>
    <w:basedOn w:val="DefaultParagraphFont"/>
    <w:rsid w:val="00C74F7A"/>
    <w:rPr>
      <w:b/>
    </w:rPr>
  </w:style>
  <w:style w:type="character" w:customStyle="1" w:styleId="Underlined">
    <w:name w:val="Underlined"/>
    <w:basedOn w:val="DefaultParagraphFont"/>
    <w:rsid w:val="00C74F7A"/>
    <w:rPr>
      <w:u w:val="single"/>
    </w:rPr>
  </w:style>
  <w:style w:type="paragraph" w:customStyle="1" w:styleId="TableBodyTextRight">
    <w:name w:val="Table Body Text Right"/>
    <w:basedOn w:val="TableBodyText"/>
    <w:rsid w:val="00C74F7A"/>
    <w:pPr>
      <w:widowControl w:val="0"/>
      <w:autoSpaceDE w:val="0"/>
      <w:autoSpaceDN w:val="0"/>
      <w:adjustRightInd w:val="0"/>
      <w:jc w:val="right"/>
    </w:pPr>
    <w:rPr>
      <w:rFonts w:cs="Arial"/>
      <w:szCs w:val="18"/>
    </w:rPr>
  </w:style>
  <w:style w:type="paragraph" w:customStyle="1" w:styleId="CopyrightText">
    <w:name w:val="Copyright Text"/>
    <w:basedOn w:val="BodyText"/>
    <w:rsid w:val="00C74F7A"/>
    <w:rPr>
      <w:sz w:val="18"/>
    </w:rPr>
  </w:style>
  <w:style w:type="paragraph" w:customStyle="1" w:styleId="BodySmallRight">
    <w:name w:val="Body Small Right"/>
    <w:basedOn w:val="BodyTextRight"/>
    <w:rsid w:val="00C74F7A"/>
    <w:rPr>
      <w:sz w:val="18"/>
      <w:szCs w:val="18"/>
    </w:rPr>
  </w:style>
  <w:style w:type="paragraph" w:customStyle="1" w:styleId="MarginEdition">
    <w:name w:val="Margin Edition"/>
    <w:basedOn w:val="MarginNote"/>
    <w:rsid w:val="00C74F7A"/>
    <w:pPr>
      <w:spacing w:before="0" w:after="0"/>
    </w:pPr>
    <w:rPr>
      <w:rFonts w:ascii="Times New Roman" w:hAnsi="Times New Roman"/>
      <w:color w:val="999999"/>
    </w:rPr>
  </w:style>
  <w:style w:type="paragraph" w:customStyle="1" w:styleId="Spacer">
    <w:name w:val="Spacer"/>
    <w:basedOn w:val="Normal"/>
    <w:rsid w:val="00C74F7A"/>
    <w:rPr>
      <w:sz w:val="2"/>
      <w:szCs w:val="2"/>
    </w:rPr>
  </w:style>
  <w:style w:type="character" w:customStyle="1" w:styleId="Small">
    <w:name w:val="Small"/>
    <w:basedOn w:val="DefaultParagraphFont"/>
    <w:rsid w:val="00C74F7A"/>
    <w:rPr>
      <w:sz w:val="16"/>
    </w:rPr>
  </w:style>
  <w:style w:type="paragraph" w:customStyle="1" w:styleId="WideTable">
    <w:name w:val="Wide Table"/>
    <w:basedOn w:val="Normal"/>
    <w:rsid w:val="00C74F7A"/>
    <w:pPr>
      <w:ind w:left="-1418"/>
    </w:pPr>
    <w:rPr>
      <w:sz w:val="2"/>
      <w:szCs w:val="2"/>
    </w:rPr>
  </w:style>
  <w:style w:type="character" w:styleId="PageNumber">
    <w:name w:val="page number"/>
    <w:basedOn w:val="DefaultParagraphFont"/>
    <w:rsid w:val="00C74F7A"/>
  </w:style>
  <w:style w:type="paragraph" w:styleId="Quote">
    <w:name w:val="Quote"/>
    <w:basedOn w:val="Heading1"/>
    <w:link w:val="QuoteChar"/>
    <w:qFormat/>
    <w:rsid w:val="00C74F7A"/>
    <w:rPr>
      <w:b w:val="0"/>
      <w:sz w:val="72"/>
      <w:szCs w:val="72"/>
      <w:lang w:val="en-NZ"/>
    </w:rPr>
  </w:style>
  <w:style w:type="character" w:customStyle="1" w:styleId="QuoteChar">
    <w:name w:val="Quote Char"/>
    <w:basedOn w:val="DefaultParagraphFont"/>
    <w:link w:val="Quote"/>
    <w:rsid w:val="00C74F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F7A"/>
    <w:pPr>
      <w:pageBreakBefore/>
    </w:pPr>
  </w:style>
  <w:style w:type="paragraph" w:customStyle="1" w:styleId="Border">
    <w:name w:val="Border"/>
    <w:basedOn w:val="Normal"/>
    <w:qFormat/>
    <w:rsid w:val="00C74F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F7A"/>
    <w:rPr>
      <w:b/>
      <w:bCs/>
      <w:i/>
      <w:iCs/>
      <w:color w:val="auto"/>
    </w:rPr>
  </w:style>
  <w:style w:type="paragraph" w:styleId="IntenseQuote">
    <w:name w:val="Intense Quote"/>
    <w:basedOn w:val="Normal"/>
    <w:next w:val="Normal"/>
    <w:link w:val="IntenseQuoteChar"/>
    <w:uiPriority w:val="30"/>
    <w:qFormat/>
    <w:rsid w:val="00C74F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F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4F7A"/>
    <w:rPr>
      <w:smallCaps/>
      <w:color w:val="auto"/>
      <w:u w:val="single"/>
    </w:rPr>
  </w:style>
  <w:style w:type="character" w:styleId="IntenseReference">
    <w:name w:val="Intense Reference"/>
    <w:basedOn w:val="DefaultParagraphFont"/>
    <w:uiPriority w:val="32"/>
    <w:qFormat/>
    <w:rsid w:val="00C74F7A"/>
    <w:rPr>
      <w:b/>
      <w:bCs/>
      <w:smallCaps/>
      <w:color w:val="auto"/>
      <w:spacing w:val="5"/>
      <w:u w:val="single"/>
    </w:rPr>
  </w:style>
  <w:style w:type="paragraph" w:customStyle="1" w:styleId="2ColumnHeading">
    <w:name w:val="2Column Heading"/>
    <w:basedOn w:val="BodyText"/>
    <w:qFormat/>
    <w:rsid w:val="00C74F7A"/>
    <w:pPr>
      <w:spacing w:after="60"/>
      <w:ind w:left="-2268"/>
    </w:pPr>
    <w:rPr>
      <w:b/>
    </w:rPr>
  </w:style>
  <w:style w:type="paragraph" w:customStyle="1" w:styleId="Heading1TOC">
    <w:name w:val="Heading1 TOC"/>
    <w:basedOn w:val="Normal"/>
    <w:qFormat/>
    <w:rsid w:val="00C74F7A"/>
    <w:pPr>
      <w:spacing w:before="240" w:after="120"/>
    </w:pPr>
    <w:rPr>
      <w:rFonts w:ascii="Times New Roman" w:hAnsi="Times New Roman"/>
      <w:b/>
      <w:sz w:val="32"/>
    </w:rPr>
  </w:style>
  <w:style w:type="paragraph" w:customStyle="1" w:styleId="Heading2TOC">
    <w:name w:val="Heading2 TOC"/>
    <w:basedOn w:val="Normal"/>
    <w:qFormat/>
    <w:rsid w:val="00C74F7A"/>
    <w:pPr>
      <w:spacing w:before="240" w:after="60"/>
    </w:pPr>
    <w:rPr>
      <w:rFonts w:ascii="Times New Roman" w:hAnsi="Times New Roman"/>
      <w:b/>
      <w:sz w:val="28"/>
    </w:rPr>
  </w:style>
  <w:style w:type="character" w:customStyle="1" w:styleId="Underline">
    <w:name w:val="Underline"/>
    <w:basedOn w:val="DefaultParagraphFont"/>
    <w:qFormat/>
    <w:rsid w:val="00C74F7A"/>
    <w:rPr>
      <w:u w:val="single"/>
    </w:rPr>
  </w:style>
  <w:style w:type="character" w:customStyle="1" w:styleId="BoldandItalics">
    <w:name w:val="Bold and Italics"/>
    <w:qFormat/>
    <w:rsid w:val="00C74F7A"/>
    <w:rPr>
      <w:b/>
      <w:i/>
      <w:u w:val="none"/>
    </w:rPr>
  </w:style>
  <w:style w:type="paragraph" w:styleId="BalloonText">
    <w:name w:val="Balloon Text"/>
    <w:basedOn w:val="Normal"/>
    <w:link w:val="BalloonTextChar"/>
    <w:rsid w:val="00C74F7A"/>
    <w:rPr>
      <w:rFonts w:ascii="Tahoma" w:hAnsi="Tahoma" w:cs="Tahoma"/>
      <w:sz w:val="16"/>
      <w:szCs w:val="16"/>
    </w:rPr>
  </w:style>
  <w:style w:type="character" w:customStyle="1" w:styleId="BalloonTextChar">
    <w:name w:val="Balloon Text Char"/>
    <w:basedOn w:val="DefaultParagraphFont"/>
    <w:link w:val="BalloonText"/>
    <w:rsid w:val="00C74F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4F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F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6864</Characters>
  <Application>Microsoft Office Word</Application>
  <DocSecurity>0</DocSecurity>
  <Lines>274</Lines>
  <Paragraphs>151</Paragraphs>
  <ScaleCrop>false</ScaleCrop>
  <Company>Author-it Software Corporation Ltd.</Company>
  <LinksUpToDate>false</LinksUpToDate>
  <CharactersWithSpaces>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BSBSLS404A Secure prospect commitment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2012-05-26T14:15:00Z</dcterms:created>
  <dcterms:modified xsi:type="dcterms:W3CDTF">2012-05-26T14:15:00Z</dcterms:modified>
</cp:coreProperties>
</file>