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3C66DE" w:rsidP="003C66DE">
      <w:pPr>
        <w:pStyle w:val="Title"/>
      </w:pPr>
      <w:r>
        <w:fldChar w:fldCharType="begin"/>
      </w:r>
      <w:r>
        <w:instrText xml:space="preserve"> TITLE   \* MERGEFORMAT </w:instrText>
      </w:r>
      <w:r>
        <w:fldChar w:fldCharType="separate"/>
      </w:r>
      <w:r>
        <w:t>BSBSLS402A Identify sales prospects</w:t>
      </w:r>
      <w:r>
        <w:fldChar w:fldCharType="end"/>
      </w:r>
    </w:p>
    <w:p w:rsidR="003C66DE" w:rsidP="003C66DE">
      <w:pPr>
        <w:pStyle w:val="Version"/>
        <w:sectPr w:rsidSect="000377FF">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0377FF" w:rsidP="000377FF">
      <w:pPr>
        <w:pStyle w:val="SuperHeading"/>
      </w:pPr>
      <w:r w:rsidRPr="000377FF">
        <w:t>BSBSLS402A Identify sales prospects</w:t>
      </w:r>
    </w:p>
    <w:p w:rsidR="00000000" w:rsidRPr="000377FF" w:rsidP="000377FF">
      <w:pPr>
        <w:pStyle w:val="Heading1"/>
      </w:pPr>
      <w:bookmarkStart w:id="1" w:name="O_312685"/>
      <w:bookmarkEnd w:id="1"/>
      <w:r w:rsidRPr="000377FF">
        <w:t>Modification History</w:t>
      </w:r>
    </w:p>
    <w:p w:rsidR="00000000" w:rsidRPr="000377FF" w:rsidP="000377FF">
      <w:pPr>
        <w:pStyle w:val="Heading1"/>
      </w:pPr>
      <w:bookmarkStart w:id="2" w:name="O_312684"/>
      <w:bookmarkEnd w:id="2"/>
      <w:r w:rsidRPr="000377FF">
        <w:t>Unit Descriptor</w:t>
      </w:r>
    </w:p>
    <w:p w:rsidR="00000000" w:rsidRPr="000377FF" w:rsidP="000377FF">
      <w:pPr>
        <w:pStyle w:val="BodyText"/>
      </w:pPr>
      <w:r w:rsidRPr="000377FF">
        <w:t>This unit describes the performance outcomes, skills and knowledge required to identify of potential sales prospects through application of prospecting methods.</w:t>
      </w:r>
    </w:p>
    <w:p w:rsidR="00000000" w:rsidRPr="000377FF" w:rsidP="000377FF">
      <w:pPr>
        <w:pStyle w:val="BodyText"/>
      </w:pPr>
      <w:r w:rsidRPr="000377FF">
        <w:t>No licensing, legislative, regulatory or c</w:t>
      </w:r>
      <w:r w:rsidRPr="000377FF">
        <w:t>ertification requirements apply to this unit at the time of endorsement.</w:t>
      </w:r>
    </w:p>
    <w:p w:rsidR="00000000" w:rsidRPr="000377FF" w:rsidP="000377FF">
      <w:pPr>
        <w:pStyle w:val="BodyText"/>
      </w:pPr>
      <w:r w:rsidRPr="000377FF">
        <w:t>This unit describes the performance outcomes, skills and knowledge required to identify of potential sales prospects through application of prospecting methods.</w:t>
      </w:r>
    </w:p>
    <w:p w:rsidR="00000000" w:rsidRPr="000377FF" w:rsidP="000377FF">
      <w:pPr>
        <w:pStyle w:val="BodyText"/>
      </w:pPr>
      <w:r w:rsidRPr="000377FF">
        <w:t>No licensing, legislat</w:t>
      </w:r>
      <w:r w:rsidRPr="000377FF">
        <w:t>ive, regulatory or certification requirements apply to this unit at the time of endorsement.</w:t>
      </w:r>
    </w:p>
    <w:p w:rsidR="00000000" w:rsidRPr="000377FF" w:rsidP="000377FF">
      <w:pPr>
        <w:pStyle w:val="AllowPageBreak"/>
      </w:pPr>
    </w:p>
    <w:p w:rsidR="00000000" w:rsidRPr="000377FF" w:rsidP="000377FF">
      <w:pPr>
        <w:pStyle w:val="Heading1"/>
      </w:pPr>
      <w:bookmarkStart w:id="3" w:name="O_312683"/>
      <w:bookmarkEnd w:id="3"/>
      <w:r w:rsidRPr="000377FF">
        <w:t>Application of the Unit</w:t>
      </w:r>
    </w:p>
    <w:p w:rsidR="00000000" w:rsidRPr="000377FF" w:rsidP="000377FF">
      <w:pPr>
        <w:pStyle w:val="BodyText"/>
      </w:pPr>
      <w:r w:rsidRPr="000377FF">
        <w:t xml:space="preserve">This unit applies to individuals in a sales related position in a small, medium or large enterprise across a wide variety </w:t>
      </w:r>
      <w:r w:rsidRPr="000377FF">
        <w:t>of industries who identify and collate sales prospect information that can be used to generate leads. They may provide advice and support about aspects of sales solutions to support a sales team.</w:t>
      </w:r>
    </w:p>
    <w:p w:rsidR="00000000" w:rsidRPr="000377FF" w:rsidP="000377FF">
      <w:pPr>
        <w:pStyle w:val="BodyText"/>
      </w:pPr>
      <w:r w:rsidRPr="000377FF">
        <w:t>This unit applies to individuals in a sales related position</w:t>
      </w:r>
      <w:r w:rsidRPr="000377FF">
        <w:t xml:space="preserve"> in a small, medium or large enterprise across a wide variety of industries who identify and collate sales prospect information that can be used to generate leads. They may provide advice and support about aspects of sales solutions to support a sales team</w:t>
      </w:r>
      <w:r w:rsidRPr="000377FF">
        <w:t>.</w:t>
      </w:r>
    </w:p>
    <w:p w:rsidR="00000000" w:rsidRPr="000377FF" w:rsidP="000377FF">
      <w:pPr>
        <w:pStyle w:val="AllowPageBreak"/>
      </w:pPr>
    </w:p>
    <w:p w:rsidR="00000000" w:rsidRPr="000377FF" w:rsidP="000377FF">
      <w:pPr>
        <w:pStyle w:val="Heading1"/>
      </w:pPr>
      <w:bookmarkStart w:id="4" w:name="O_312682"/>
      <w:bookmarkEnd w:id="4"/>
      <w:r w:rsidRPr="000377FF">
        <w:t>Licensing/Regulatory Information</w:t>
      </w:r>
    </w:p>
    <w:p w:rsidR="00000000" w:rsidRPr="000377FF" w:rsidP="000377FF">
      <w:pPr>
        <w:pStyle w:val="BodyText"/>
      </w:pPr>
      <w:r w:rsidRPr="000377FF">
        <w:t>Refer to Unit Descriptor</w:t>
      </w:r>
    </w:p>
    <w:p w:rsidR="00000000" w:rsidRPr="000377FF" w:rsidP="000377FF">
      <w:pPr>
        <w:pStyle w:val="AllowPageBreak"/>
      </w:pPr>
    </w:p>
    <w:p w:rsidR="00000000" w:rsidRPr="000377FF" w:rsidP="000377FF">
      <w:pPr>
        <w:pStyle w:val="Heading1"/>
      </w:pPr>
      <w:bookmarkStart w:id="5" w:name="O_312681"/>
      <w:bookmarkEnd w:id="5"/>
      <w:r w:rsidRPr="000377FF">
        <w:t>Pre-Requisites</w:t>
      </w:r>
    </w:p>
    <w:p w:rsidR="00000000" w:rsidRPr="000377FF" w:rsidP="000377FF">
      <w:pPr>
        <w:pStyle w:val="Heading1"/>
      </w:pPr>
      <w:bookmarkStart w:id="6" w:name="O_312686"/>
      <w:bookmarkEnd w:id="6"/>
      <w:r w:rsidRPr="000377FF">
        <w:t>Employability Skills Information</w:t>
      </w:r>
    </w:p>
    <w:p w:rsidR="00000000" w:rsidRPr="000377FF" w:rsidP="000377FF">
      <w:pPr>
        <w:pStyle w:val="BodyText"/>
      </w:pPr>
      <w:r w:rsidRPr="000377FF">
        <w:t>This unit contains employability skills.</w:t>
      </w:r>
    </w:p>
    <w:p w:rsidR="00000000" w:rsidRPr="000377FF" w:rsidP="000377FF">
      <w:pPr>
        <w:pStyle w:val="BodyText"/>
      </w:pPr>
      <w:r w:rsidRPr="000377FF">
        <w:t>This unit contains employability skills.</w:t>
      </w:r>
    </w:p>
    <w:p w:rsidR="00000000" w:rsidRPr="000377FF" w:rsidP="000377FF">
      <w:pPr>
        <w:pStyle w:val="AllowPageBreak"/>
      </w:pPr>
    </w:p>
    <w:p w:rsidR="00000000" w:rsidRPr="000377FF" w:rsidP="000377FF">
      <w:pPr>
        <w:pStyle w:val="Heading1"/>
      </w:pPr>
      <w:bookmarkStart w:id="7" w:name="O_312676"/>
      <w:bookmarkEnd w:id="7"/>
      <w:r w:rsidRPr="000377FF">
        <w:t>Elements and Performance Criteria Pre-Content</w:t>
      </w:r>
    </w:p>
    <w:p w:rsidR="00000000" w:rsidRPr="000377FF" w:rsidP="000377FF">
      <w:pPr>
        <w:pStyle w:val="BodyText"/>
      </w:pPr>
      <w:r w:rsidRPr="000377FF">
        <w:t>Elements describe the essential outcomes of a unit of competency.</w:t>
      </w:r>
    </w:p>
    <w:p w:rsidR="00000000" w:rsidRPr="000377FF" w:rsidP="000377FF">
      <w:pPr>
        <w:pStyle w:val="BodyText"/>
      </w:pPr>
      <w:r w:rsidRPr="000377FF">
        <w:t>Performance criteria describe the performance needed to demonstrate achievement of the element. Where bold italicised text is used, further inf</w:t>
      </w:r>
      <w:r w:rsidRPr="000377FF">
        <w:t>ormation is detailed in the required skills and knowledge section and the range statement. Assessment of performance is to be consistent with the evidence guide.</w:t>
      </w:r>
    </w:p>
    <w:p w:rsidR="00000000" w:rsidRPr="000377FF" w:rsidP="000377FF">
      <w:pPr>
        <w:pStyle w:val="BodyText"/>
      </w:pPr>
      <w:r w:rsidRPr="000377FF">
        <w:t>Elements describe the essential outcomes of a unit of competency.</w:t>
      </w:r>
    </w:p>
    <w:p w:rsidR="00000000" w:rsidRPr="000377FF" w:rsidP="000377FF">
      <w:pPr>
        <w:pStyle w:val="BodyText"/>
      </w:pPr>
      <w:r w:rsidRPr="000377FF">
        <w:t>Performance criteria describ</w:t>
      </w:r>
      <w:r w:rsidRPr="000377FF">
        <w:t>e the performance needed to demonstrate achievement of the element. Where bold italicised text is used, further information is detailed in the required skills and knowledge section and the range statement. Assessment of performance is to be consistent with</w:t>
      </w:r>
      <w:r w:rsidRPr="000377FF">
        <w:t xml:space="preserve"> the evidence guide.</w:t>
      </w:r>
    </w:p>
    <w:p w:rsidR="00000000" w:rsidRPr="000377FF" w:rsidP="000377FF">
      <w:pPr>
        <w:pStyle w:val="AllowPageBreak"/>
      </w:pPr>
    </w:p>
    <w:p w:rsidR="00000000" w:rsidRPr="000377FF" w:rsidP="000377FF">
      <w:pPr>
        <w:pStyle w:val="Heading1"/>
      </w:pPr>
      <w:bookmarkStart w:id="8" w:name="O_312680"/>
      <w:bookmarkEnd w:id="8"/>
      <w:r w:rsidRPr="000377FF">
        <w:t>Elements and Performance Criteria</w:t>
      </w:r>
    </w:p>
    <w:tbl>
      <w:tblPr>
        <w:tblW w:w="0" w:type="auto"/>
        <w:tblLayout w:type="fixed"/>
        <w:tblCellMar>
          <w:left w:w="62" w:type="dxa"/>
          <w:right w:w="62" w:type="dxa"/>
        </w:tblCellMar>
        <w:tblLook w:val="0000"/>
      </w:tblPr>
      <w:tblGrid>
        <w:gridCol w:w="400"/>
        <w:gridCol w:w="3000"/>
        <w:gridCol w:w="500"/>
        <w:gridCol w:w="5100"/>
      </w:tblGrid>
      <w:tr w:rsidTr="003C66DE">
        <w:tblPrEx>
          <w:tblW w:w="0" w:type="auto"/>
          <w:tblLayout w:type="fixed"/>
          <w:tblCellMar>
            <w:left w:w="62" w:type="dxa"/>
            <w:right w:w="62" w:type="dxa"/>
          </w:tblCellMar>
          <w:tblLook w:val="0000"/>
        </w:tblPrEx>
        <w:tc>
          <w:tcPr>
            <w:tcW w:w="9000" w:type="dxa"/>
            <w:gridSpan w:val="4"/>
            <w:tcBorders>
              <w:top w:val="nil"/>
              <w:left w:val="nil"/>
              <w:bottom w:val="nil"/>
              <w:right w:val="nil"/>
            </w:tcBorders>
            <w:tcMar>
              <w:top w:w="0" w:type="dxa"/>
              <w:left w:w="62" w:type="dxa"/>
              <w:bottom w:w="0" w:type="dxa"/>
              <w:right w:w="62" w:type="dxa"/>
            </w:tcMar>
          </w:tcPr>
          <w:p w:rsidR="00000000" w:rsidP="000377FF">
            <w:pPr>
              <w:pStyle w:val="BodyText"/>
              <w:rPr>
                <w:lang w:val="en-NZ"/>
              </w:rPr>
            </w:pPr>
            <w:r w:rsidRPr="000377FF">
              <w:rPr>
                <w:rStyle w:val="SpecialBold"/>
              </w:rPr>
              <w:t>Elements and Performance Criteria</w:t>
            </w:r>
          </w:p>
        </w:tc>
      </w:tr>
      <w:tr w:rsidTr="003C66DE">
        <w:tblPrEx>
          <w:tblW w:w="0" w:type="auto"/>
          <w:tblLayout w:type="fixed"/>
          <w:tblCellMar>
            <w:left w:w="62" w:type="dxa"/>
            <w:right w:w="62" w:type="dxa"/>
          </w:tblCellMar>
          <w:tblLook w:val="0000"/>
        </w:tblPrEx>
        <w:tc>
          <w:tcPr>
            <w:tcW w:w="3400" w:type="dxa"/>
            <w:gridSpan w:val="2"/>
            <w:tcBorders>
              <w:top w:val="nil"/>
              <w:left w:val="nil"/>
              <w:bottom w:val="nil"/>
              <w:right w:val="nil"/>
            </w:tcBorders>
            <w:tcMar>
              <w:top w:w="0" w:type="dxa"/>
              <w:left w:w="62" w:type="dxa"/>
              <w:bottom w:w="0" w:type="dxa"/>
              <w:right w:w="62" w:type="dxa"/>
            </w:tcMar>
          </w:tcPr>
          <w:p w:rsidR="00000000" w:rsidRPr="000377FF" w:rsidP="000377FF">
            <w:pPr>
              <w:pStyle w:val="BodyText"/>
            </w:pPr>
            <w:r w:rsidRPr="000377FF">
              <w:rPr>
                <w:rStyle w:val="SpecialBold"/>
              </w:rPr>
              <w:t>Element</w:t>
            </w:r>
          </w:p>
        </w:tc>
        <w:tc>
          <w:tcPr>
            <w:tcW w:w="5600" w:type="dxa"/>
            <w:gridSpan w:val="2"/>
            <w:tcBorders>
              <w:top w:val="nil"/>
              <w:left w:val="nil"/>
              <w:bottom w:val="nil"/>
              <w:right w:val="nil"/>
            </w:tcBorders>
            <w:tcMar>
              <w:top w:w="0" w:type="dxa"/>
              <w:left w:w="62" w:type="dxa"/>
              <w:bottom w:w="0" w:type="dxa"/>
              <w:right w:w="62" w:type="dxa"/>
            </w:tcMar>
          </w:tcPr>
          <w:p w:rsidR="00000000" w:rsidP="000377FF">
            <w:pPr>
              <w:pStyle w:val="BodyText"/>
              <w:rPr>
                <w:lang w:val="en-NZ"/>
              </w:rPr>
            </w:pPr>
            <w:r w:rsidRPr="000377FF">
              <w:rPr>
                <w:rStyle w:val="SpecialBold"/>
              </w:rPr>
              <w:t>Performance Criteria</w:t>
            </w:r>
          </w:p>
        </w:tc>
      </w:tr>
      <w:tr w:rsidTr="003C66DE">
        <w:tblPrEx>
          <w:tblW w:w="0" w:type="auto"/>
          <w:tblLayout w:type="fixed"/>
          <w:tblCellMar>
            <w:left w:w="62" w:type="dxa"/>
            <w:right w:w="62" w:type="dxa"/>
          </w:tblCellMar>
          <w:tblLook w:val="0000"/>
        </w:tblPrEx>
        <w:tc>
          <w:tcPr>
            <w:tcW w:w="400" w:type="dxa"/>
            <w:vMerge w:val="restart"/>
            <w:tcBorders>
              <w:top w:val="nil"/>
              <w:left w:val="nil"/>
              <w:bottom w:val="nil"/>
              <w:right w:val="nil"/>
            </w:tcBorders>
            <w:tcMar>
              <w:top w:w="0" w:type="dxa"/>
              <w:left w:w="62" w:type="dxa"/>
              <w:bottom w:w="0" w:type="dxa"/>
              <w:right w:w="62" w:type="dxa"/>
            </w:tcMar>
          </w:tcPr>
          <w:p w:rsidR="00000000" w:rsidP="000377FF">
            <w:pPr>
              <w:pStyle w:val="BodyText"/>
              <w:rPr>
                <w:lang w:val="en-NZ"/>
              </w:rPr>
            </w:pPr>
            <w:r w:rsidRPr="000377FF">
              <w:t>1</w:t>
            </w:r>
          </w:p>
        </w:tc>
        <w:tc>
          <w:tcPr>
            <w:tcW w:w="3000" w:type="dxa"/>
            <w:vMerge w:val="restart"/>
            <w:tcBorders>
              <w:top w:val="nil"/>
              <w:left w:val="nil"/>
              <w:bottom w:val="nil"/>
              <w:right w:val="nil"/>
            </w:tcBorders>
            <w:tcMar>
              <w:top w:w="0" w:type="dxa"/>
              <w:left w:w="62" w:type="dxa"/>
              <w:bottom w:w="0" w:type="dxa"/>
              <w:right w:w="62" w:type="dxa"/>
            </w:tcMar>
          </w:tcPr>
          <w:p w:rsidR="00000000" w:rsidP="000377FF">
            <w:pPr>
              <w:pStyle w:val="BodyText"/>
              <w:rPr>
                <w:lang w:val="en-NZ"/>
              </w:rPr>
            </w:pPr>
            <w:r w:rsidRPr="000377FF">
              <w:t>Employ prospecting methods</w:t>
            </w:r>
          </w:p>
        </w:tc>
        <w:tc>
          <w:tcPr>
            <w:tcW w:w="500" w:type="dxa"/>
            <w:tcBorders>
              <w:top w:val="nil"/>
              <w:left w:val="nil"/>
              <w:bottom w:val="nil"/>
              <w:right w:val="nil"/>
            </w:tcBorders>
            <w:tcMar>
              <w:top w:w="0" w:type="dxa"/>
              <w:left w:w="62" w:type="dxa"/>
              <w:bottom w:w="0" w:type="dxa"/>
              <w:right w:w="62" w:type="dxa"/>
            </w:tcMar>
          </w:tcPr>
          <w:p w:rsidR="00000000" w:rsidP="000377FF">
            <w:pPr>
              <w:pStyle w:val="BodyText"/>
              <w:rPr>
                <w:lang w:val="en-NZ"/>
              </w:rPr>
            </w:pPr>
            <w:r w:rsidRPr="000377FF">
              <w:t>1.1</w:t>
            </w:r>
          </w:p>
        </w:tc>
        <w:tc>
          <w:tcPr>
            <w:tcW w:w="5100" w:type="dxa"/>
            <w:tcBorders>
              <w:top w:val="nil"/>
              <w:left w:val="nil"/>
              <w:bottom w:val="nil"/>
              <w:right w:val="nil"/>
            </w:tcBorders>
            <w:tcMar>
              <w:top w:w="0" w:type="dxa"/>
              <w:left w:w="62" w:type="dxa"/>
              <w:bottom w:w="0" w:type="dxa"/>
              <w:right w:w="62" w:type="dxa"/>
            </w:tcMar>
          </w:tcPr>
          <w:p w:rsidR="00000000" w:rsidP="000377FF">
            <w:pPr>
              <w:pStyle w:val="BodyText"/>
              <w:rPr>
                <w:lang w:val="en-NZ"/>
              </w:rPr>
            </w:pPr>
            <w:r w:rsidRPr="000377FF">
              <w:t xml:space="preserve">Identify a range of </w:t>
            </w:r>
            <w:r w:rsidRPr="000377FF">
              <w:rPr>
                <w:rStyle w:val="SpecialBold"/>
              </w:rPr>
              <w:t xml:space="preserve">prospecting methods </w:t>
            </w:r>
          </w:p>
        </w:tc>
      </w:tr>
      <w:tr w:rsidTr="003C66DE">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0377FF">
            <w:pPr>
              <w:pStyle w:val="BodyText"/>
              <w:rPr>
                <w:lang w:val="en-NZ"/>
              </w:rPr>
            </w:pPr>
            <w:r w:rsidRPr="000377FF">
              <w:t>1.2</w:t>
            </w:r>
          </w:p>
        </w:tc>
        <w:tc>
          <w:tcPr>
            <w:tcW w:w="5100" w:type="dxa"/>
            <w:tcBorders>
              <w:top w:val="nil"/>
              <w:left w:val="nil"/>
              <w:bottom w:val="nil"/>
              <w:right w:val="nil"/>
            </w:tcBorders>
            <w:tcMar>
              <w:top w:w="0" w:type="dxa"/>
              <w:left w:w="62" w:type="dxa"/>
              <w:bottom w:w="0" w:type="dxa"/>
              <w:right w:w="62" w:type="dxa"/>
            </w:tcMar>
          </w:tcPr>
          <w:p w:rsidR="00000000" w:rsidP="000377FF">
            <w:pPr>
              <w:pStyle w:val="BodyText"/>
              <w:rPr>
                <w:lang w:val="en-NZ"/>
              </w:rPr>
            </w:pPr>
            <w:r w:rsidRPr="000377FF">
              <w:t xml:space="preserve">Consider and evaluate the strengths and limitations of primary and secondary </w:t>
            </w:r>
            <w:r w:rsidRPr="000377FF">
              <w:rPr>
                <w:rStyle w:val="SpecialBold"/>
              </w:rPr>
              <w:t xml:space="preserve">prospecting methods </w:t>
            </w:r>
          </w:p>
        </w:tc>
      </w:tr>
      <w:tr w:rsidTr="003C66DE">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0377FF">
            <w:pPr>
              <w:pStyle w:val="BodyText"/>
              <w:rPr>
                <w:lang w:val="en-NZ"/>
              </w:rPr>
            </w:pPr>
            <w:r w:rsidRPr="000377FF">
              <w:t>1.3</w:t>
            </w:r>
          </w:p>
        </w:tc>
        <w:tc>
          <w:tcPr>
            <w:tcW w:w="5100" w:type="dxa"/>
            <w:tcBorders>
              <w:top w:val="nil"/>
              <w:left w:val="nil"/>
              <w:bottom w:val="nil"/>
              <w:right w:val="nil"/>
            </w:tcBorders>
            <w:tcMar>
              <w:top w:w="0" w:type="dxa"/>
              <w:left w:w="62" w:type="dxa"/>
              <w:bottom w:w="0" w:type="dxa"/>
              <w:right w:w="62" w:type="dxa"/>
            </w:tcMar>
          </w:tcPr>
          <w:p w:rsidR="00000000" w:rsidP="000377FF">
            <w:pPr>
              <w:pStyle w:val="BodyText"/>
              <w:rPr>
                <w:lang w:val="en-NZ"/>
              </w:rPr>
            </w:pPr>
            <w:r w:rsidRPr="000377FF">
              <w:t xml:space="preserve">Select prospecting methods to match the market to which the </w:t>
            </w:r>
            <w:r w:rsidRPr="000377FF">
              <w:rPr>
                <w:rStyle w:val="SpecialBold"/>
              </w:rPr>
              <w:t xml:space="preserve">product </w:t>
            </w:r>
            <w:r w:rsidRPr="000377FF">
              <w:t>is targeted</w:t>
            </w:r>
          </w:p>
        </w:tc>
      </w:tr>
      <w:tr w:rsidTr="003C66DE">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0377FF">
            <w:pPr>
              <w:pStyle w:val="BodyText"/>
              <w:rPr>
                <w:lang w:val="en-NZ"/>
              </w:rPr>
            </w:pPr>
            <w:r w:rsidRPr="000377FF">
              <w:t>1.4</w:t>
            </w:r>
          </w:p>
        </w:tc>
        <w:tc>
          <w:tcPr>
            <w:tcW w:w="5100" w:type="dxa"/>
            <w:tcBorders>
              <w:top w:val="nil"/>
              <w:left w:val="nil"/>
              <w:bottom w:val="nil"/>
              <w:right w:val="nil"/>
            </w:tcBorders>
            <w:tcMar>
              <w:top w:w="0" w:type="dxa"/>
              <w:left w:w="62" w:type="dxa"/>
              <w:bottom w:w="0" w:type="dxa"/>
              <w:right w:w="62" w:type="dxa"/>
            </w:tcMar>
          </w:tcPr>
          <w:p w:rsidR="00000000" w:rsidP="000377FF">
            <w:pPr>
              <w:pStyle w:val="BodyText"/>
              <w:rPr>
                <w:lang w:val="en-NZ"/>
              </w:rPr>
            </w:pPr>
            <w:r w:rsidRPr="000377FF">
              <w:t xml:space="preserve">Target present, previous and new </w:t>
            </w:r>
            <w:r w:rsidRPr="000377FF">
              <w:rPr>
                <w:rStyle w:val="SpecialBold"/>
              </w:rPr>
              <w:t xml:space="preserve">clients </w:t>
            </w:r>
            <w:r w:rsidRPr="000377FF">
              <w:t>through chosen prospect</w:t>
            </w:r>
            <w:r w:rsidRPr="000377FF">
              <w:t>ing methods</w:t>
            </w:r>
          </w:p>
        </w:tc>
      </w:tr>
      <w:tr w:rsidTr="003C66DE">
        <w:tblPrEx>
          <w:tblW w:w="0" w:type="auto"/>
          <w:tblLayout w:type="fixed"/>
          <w:tblCellMar>
            <w:left w:w="62" w:type="dxa"/>
            <w:right w:w="62" w:type="dxa"/>
          </w:tblCellMar>
          <w:tblLook w:val="0000"/>
        </w:tblPrEx>
        <w:tc>
          <w:tcPr>
            <w:tcW w:w="400" w:type="dxa"/>
            <w:vMerge w:val="restart"/>
            <w:tcBorders>
              <w:top w:val="nil"/>
              <w:left w:val="nil"/>
              <w:bottom w:val="nil"/>
              <w:right w:val="nil"/>
            </w:tcBorders>
            <w:tcMar>
              <w:top w:w="0" w:type="dxa"/>
              <w:left w:w="62" w:type="dxa"/>
              <w:bottom w:w="0" w:type="dxa"/>
              <w:right w:w="62" w:type="dxa"/>
            </w:tcMar>
          </w:tcPr>
          <w:p w:rsidR="00000000" w:rsidP="000377FF">
            <w:pPr>
              <w:pStyle w:val="BodyText"/>
              <w:rPr>
                <w:lang w:val="en-NZ"/>
              </w:rPr>
            </w:pPr>
            <w:r w:rsidRPr="000377FF">
              <w:t>2</w:t>
            </w:r>
          </w:p>
        </w:tc>
        <w:tc>
          <w:tcPr>
            <w:tcW w:w="3000" w:type="dxa"/>
            <w:vMerge w:val="restart"/>
            <w:tcBorders>
              <w:top w:val="nil"/>
              <w:left w:val="nil"/>
              <w:bottom w:val="nil"/>
              <w:right w:val="nil"/>
            </w:tcBorders>
            <w:tcMar>
              <w:top w:w="0" w:type="dxa"/>
              <w:left w:w="62" w:type="dxa"/>
              <w:bottom w:w="0" w:type="dxa"/>
              <w:right w:w="62" w:type="dxa"/>
            </w:tcMar>
          </w:tcPr>
          <w:p w:rsidR="00000000" w:rsidP="000377FF">
            <w:pPr>
              <w:pStyle w:val="BodyText"/>
              <w:rPr>
                <w:lang w:val="en-NZ"/>
              </w:rPr>
            </w:pPr>
            <w:r w:rsidRPr="000377FF">
              <w:t>Qualify prospects</w:t>
            </w:r>
          </w:p>
        </w:tc>
        <w:tc>
          <w:tcPr>
            <w:tcW w:w="500" w:type="dxa"/>
            <w:tcBorders>
              <w:top w:val="nil"/>
              <w:left w:val="nil"/>
              <w:bottom w:val="nil"/>
              <w:right w:val="nil"/>
            </w:tcBorders>
            <w:tcMar>
              <w:top w:w="0" w:type="dxa"/>
              <w:left w:w="62" w:type="dxa"/>
              <w:bottom w:w="0" w:type="dxa"/>
              <w:right w:w="62" w:type="dxa"/>
            </w:tcMar>
          </w:tcPr>
          <w:p w:rsidR="00000000" w:rsidP="000377FF">
            <w:pPr>
              <w:pStyle w:val="BodyText"/>
              <w:rPr>
                <w:lang w:val="en-NZ"/>
              </w:rPr>
            </w:pPr>
            <w:r w:rsidRPr="000377FF">
              <w:t>2.1</w:t>
            </w:r>
          </w:p>
        </w:tc>
        <w:tc>
          <w:tcPr>
            <w:tcW w:w="5100" w:type="dxa"/>
            <w:tcBorders>
              <w:top w:val="nil"/>
              <w:left w:val="nil"/>
              <w:bottom w:val="nil"/>
              <w:right w:val="nil"/>
            </w:tcBorders>
            <w:tcMar>
              <w:top w:w="0" w:type="dxa"/>
              <w:left w:w="62" w:type="dxa"/>
              <w:bottom w:w="0" w:type="dxa"/>
              <w:right w:w="62" w:type="dxa"/>
            </w:tcMar>
          </w:tcPr>
          <w:p w:rsidR="00000000" w:rsidP="000377FF">
            <w:pPr>
              <w:pStyle w:val="BodyText"/>
              <w:rPr>
                <w:lang w:val="en-NZ"/>
              </w:rPr>
            </w:pPr>
            <w:r w:rsidRPr="000377FF">
              <w:t xml:space="preserve">Research and establish criteria for qualifying leads </w:t>
            </w:r>
          </w:p>
        </w:tc>
      </w:tr>
      <w:tr w:rsidTr="003C66DE">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0377FF">
            <w:pPr>
              <w:pStyle w:val="BodyText"/>
              <w:rPr>
                <w:lang w:val="en-NZ"/>
              </w:rPr>
            </w:pPr>
            <w:r w:rsidRPr="000377FF">
              <w:t>2.2</w:t>
            </w:r>
          </w:p>
        </w:tc>
        <w:tc>
          <w:tcPr>
            <w:tcW w:w="5100" w:type="dxa"/>
            <w:tcBorders>
              <w:top w:val="nil"/>
              <w:left w:val="nil"/>
              <w:bottom w:val="nil"/>
              <w:right w:val="nil"/>
            </w:tcBorders>
            <w:tcMar>
              <w:top w:w="0" w:type="dxa"/>
              <w:left w:w="62" w:type="dxa"/>
              <w:bottom w:w="0" w:type="dxa"/>
              <w:right w:w="62" w:type="dxa"/>
            </w:tcMar>
          </w:tcPr>
          <w:p w:rsidR="00000000" w:rsidP="000377FF">
            <w:pPr>
              <w:pStyle w:val="BodyText"/>
              <w:rPr>
                <w:lang w:val="en-NZ"/>
              </w:rPr>
            </w:pPr>
            <w:r w:rsidRPr="000377FF">
              <w:t xml:space="preserve">Ensure criteria are established according to buyer accessibility, </w:t>
            </w:r>
            <w:r w:rsidRPr="000377FF">
              <w:rPr>
                <w:rStyle w:val="SpecialBold"/>
              </w:rPr>
              <w:t xml:space="preserve">buyer motives, </w:t>
            </w:r>
            <w:r w:rsidRPr="000377FF">
              <w:t>product affordability, purchase authority, legal compliance and return for the seller</w:t>
            </w:r>
          </w:p>
        </w:tc>
      </w:tr>
      <w:tr w:rsidTr="003C66DE">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0377FF">
            <w:pPr>
              <w:pStyle w:val="BodyText"/>
              <w:rPr>
                <w:lang w:val="en-NZ"/>
              </w:rPr>
            </w:pPr>
            <w:r w:rsidRPr="000377FF">
              <w:t>2.3</w:t>
            </w:r>
          </w:p>
        </w:tc>
        <w:tc>
          <w:tcPr>
            <w:tcW w:w="5100" w:type="dxa"/>
            <w:tcBorders>
              <w:top w:val="nil"/>
              <w:left w:val="nil"/>
              <w:bottom w:val="nil"/>
              <w:right w:val="nil"/>
            </w:tcBorders>
            <w:tcMar>
              <w:top w:w="0" w:type="dxa"/>
              <w:left w:w="62" w:type="dxa"/>
              <w:bottom w:w="0" w:type="dxa"/>
              <w:right w:w="62" w:type="dxa"/>
            </w:tcMar>
          </w:tcPr>
          <w:p w:rsidR="00000000" w:rsidP="000377FF">
            <w:pPr>
              <w:pStyle w:val="BodyText"/>
              <w:rPr>
                <w:lang w:val="en-NZ"/>
              </w:rPr>
            </w:pPr>
            <w:r w:rsidRPr="000377FF">
              <w:t>Ensure the established criteria represent a standard against which the buying potential of individuals and groups is gauged</w:t>
            </w:r>
          </w:p>
        </w:tc>
      </w:tr>
      <w:tr w:rsidTr="003C66DE">
        <w:tblPrEx>
          <w:tblW w:w="0" w:type="auto"/>
          <w:tblLayout w:type="fixed"/>
          <w:tblCellMar>
            <w:left w:w="62" w:type="dxa"/>
            <w:right w:w="62" w:type="dxa"/>
          </w:tblCellMar>
          <w:tblLook w:val="0000"/>
        </w:tblPrEx>
        <w:tc>
          <w:tcPr>
            <w:tcW w:w="400" w:type="dxa"/>
            <w:vMerge w:val="restart"/>
            <w:tcBorders>
              <w:top w:val="nil"/>
              <w:left w:val="nil"/>
              <w:bottom w:val="nil"/>
              <w:right w:val="nil"/>
            </w:tcBorders>
            <w:tcMar>
              <w:top w:w="0" w:type="dxa"/>
              <w:left w:w="62" w:type="dxa"/>
              <w:bottom w:w="0" w:type="dxa"/>
              <w:right w:w="62" w:type="dxa"/>
            </w:tcMar>
          </w:tcPr>
          <w:p w:rsidR="00000000" w:rsidP="000377FF">
            <w:pPr>
              <w:pStyle w:val="BodyText"/>
              <w:rPr>
                <w:lang w:val="en-NZ"/>
              </w:rPr>
            </w:pPr>
            <w:r w:rsidRPr="000377FF">
              <w:t>3</w:t>
            </w:r>
          </w:p>
        </w:tc>
        <w:tc>
          <w:tcPr>
            <w:tcW w:w="3000" w:type="dxa"/>
            <w:vMerge w:val="restart"/>
            <w:tcBorders>
              <w:top w:val="nil"/>
              <w:left w:val="nil"/>
              <w:bottom w:val="nil"/>
              <w:right w:val="nil"/>
            </w:tcBorders>
            <w:tcMar>
              <w:top w:w="0" w:type="dxa"/>
              <w:left w:w="62" w:type="dxa"/>
              <w:bottom w:w="0" w:type="dxa"/>
              <w:right w:w="62" w:type="dxa"/>
            </w:tcMar>
          </w:tcPr>
          <w:p w:rsidR="00000000" w:rsidP="000377FF">
            <w:pPr>
              <w:pStyle w:val="BodyText"/>
              <w:rPr>
                <w:lang w:val="en-NZ"/>
              </w:rPr>
            </w:pPr>
            <w:r w:rsidRPr="000377FF">
              <w:t>Manage prospect information</w:t>
            </w:r>
          </w:p>
        </w:tc>
        <w:tc>
          <w:tcPr>
            <w:tcW w:w="500" w:type="dxa"/>
            <w:tcBorders>
              <w:top w:val="nil"/>
              <w:left w:val="nil"/>
              <w:bottom w:val="nil"/>
              <w:right w:val="nil"/>
            </w:tcBorders>
            <w:tcMar>
              <w:top w:w="0" w:type="dxa"/>
              <w:left w:w="62" w:type="dxa"/>
              <w:bottom w:w="0" w:type="dxa"/>
              <w:right w:w="62" w:type="dxa"/>
            </w:tcMar>
          </w:tcPr>
          <w:p w:rsidR="00000000" w:rsidP="000377FF">
            <w:pPr>
              <w:pStyle w:val="BodyText"/>
              <w:rPr>
                <w:lang w:val="en-NZ"/>
              </w:rPr>
            </w:pPr>
            <w:r w:rsidRPr="000377FF">
              <w:t>3.1</w:t>
            </w:r>
          </w:p>
        </w:tc>
        <w:tc>
          <w:tcPr>
            <w:tcW w:w="5100" w:type="dxa"/>
            <w:tcBorders>
              <w:top w:val="nil"/>
              <w:left w:val="nil"/>
              <w:bottom w:val="nil"/>
              <w:right w:val="nil"/>
            </w:tcBorders>
            <w:tcMar>
              <w:top w:w="0" w:type="dxa"/>
              <w:left w:w="62" w:type="dxa"/>
              <w:bottom w:w="0" w:type="dxa"/>
              <w:right w:w="62" w:type="dxa"/>
            </w:tcMar>
          </w:tcPr>
          <w:p w:rsidR="00000000" w:rsidP="000377FF">
            <w:pPr>
              <w:pStyle w:val="BodyText"/>
              <w:rPr>
                <w:lang w:val="en-NZ"/>
              </w:rPr>
            </w:pPr>
            <w:r w:rsidRPr="000377FF">
              <w:t xml:space="preserve">Develop a system to record prospect information </w:t>
            </w:r>
          </w:p>
        </w:tc>
      </w:tr>
      <w:tr w:rsidTr="003C66DE">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0377FF">
            <w:pPr>
              <w:pStyle w:val="BodyText"/>
              <w:rPr>
                <w:lang w:val="en-NZ"/>
              </w:rPr>
            </w:pPr>
            <w:r w:rsidRPr="000377FF">
              <w:t>3.2</w:t>
            </w:r>
          </w:p>
        </w:tc>
        <w:tc>
          <w:tcPr>
            <w:tcW w:w="5100" w:type="dxa"/>
            <w:tcBorders>
              <w:top w:val="nil"/>
              <w:left w:val="nil"/>
              <w:bottom w:val="nil"/>
              <w:right w:val="nil"/>
            </w:tcBorders>
            <w:tcMar>
              <w:top w:w="0" w:type="dxa"/>
              <w:left w:w="62" w:type="dxa"/>
              <w:bottom w:w="0" w:type="dxa"/>
              <w:right w:w="62" w:type="dxa"/>
            </w:tcMar>
          </w:tcPr>
          <w:p w:rsidR="00000000" w:rsidP="000377FF">
            <w:pPr>
              <w:pStyle w:val="BodyText"/>
              <w:rPr>
                <w:lang w:val="en-NZ"/>
              </w:rPr>
            </w:pPr>
            <w:r w:rsidRPr="000377FF">
              <w:t>Implement the system for recording prospect information</w:t>
            </w:r>
          </w:p>
        </w:tc>
      </w:tr>
      <w:tr w:rsidTr="003C66DE">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0377FF">
            <w:pPr>
              <w:pStyle w:val="BodyText"/>
              <w:rPr>
                <w:lang w:val="en-NZ"/>
              </w:rPr>
            </w:pPr>
            <w:r w:rsidRPr="000377FF">
              <w:t>3.3</w:t>
            </w:r>
          </w:p>
        </w:tc>
        <w:tc>
          <w:tcPr>
            <w:tcW w:w="5100" w:type="dxa"/>
            <w:tcBorders>
              <w:top w:val="nil"/>
              <w:left w:val="nil"/>
              <w:bottom w:val="nil"/>
              <w:right w:val="nil"/>
            </w:tcBorders>
            <w:tcMar>
              <w:top w:w="0" w:type="dxa"/>
              <w:left w:w="62" w:type="dxa"/>
              <w:bottom w:w="0" w:type="dxa"/>
              <w:right w:w="62" w:type="dxa"/>
            </w:tcMar>
          </w:tcPr>
          <w:p w:rsidR="00000000" w:rsidP="000377FF">
            <w:pPr>
              <w:pStyle w:val="BodyText"/>
              <w:rPr>
                <w:lang w:val="en-NZ"/>
              </w:rPr>
            </w:pPr>
            <w:r w:rsidRPr="000377FF">
              <w:t>Monitor the system for recording prospect information for effectiveness</w:t>
            </w:r>
          </w:p>
        </w:tc>
      </w:tr>
      <w:tr w:rsidTr="003C66DE">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0377FF">
            <w:pPr>
              <w:pStyle w:val="BodyText"/>
              <w:rPr>
                <w:lang w:val="en-NZ"/>
              </w:rPr>
            </w:pPr>
            <w:r w:rsidRPr="000377FF">
              <w:t>3.4</w:t>
            </w:r>
          </w:p>
        </w:tc>
        <w:tc>
          <w:tcPr>
            <w:tcW w:w="5100" w:type="dxa"/>
            <w:tcBorders>
              <w:top w:val="nil"/>
              <w:left w:val="nil"/>
              <w:bottom w:val="nil"/>
              <w:right w:val="nil"/>
            </w:tcBorders>
            <w:tcMar>
              <w:top w:w="0" w:type="dxa"/>
              <w:left w:w="62" w:type="dxa"/>
              <w:bottom w:w="0" w:type="dxa"/>
              <w:right w:w="62" w:type="dxa"/>
            </w:tcMar>
          </w:tcPr>
          <w:p w:rsidR="00000000" w:rsidP="000377FF">
            <w:pPr>
              <w:pStyle w:val="BodyText"/>
              <w:rPr>
                <w:lang w:val="en-NZ"/>
              </w:rPr>
            </w:pPr>
            <w:r w:rsidRPr="000377FF">
              <w:t xml:space="preserve">Evaluate the system for recording prospect information </w:t>
            </w:r>
          </w:p>
        </w:tc>
      </w:tr>
      <w:tr w:rsidTr="003C66DE">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0377FF">
            <w:pPr>
              <w:pStyle w:val="BodyText"/>
              <w:rPr>
                <w:lang w:val="en-NZ"/>
              </w:rPr>
            </w:pPr>
            <w:r w:rsidRPr="000377FF">
              <w:t>3.5</w:t>
            </w:r>
          </w:p>
        </w:tc>
        <w:tc>
          <w:tcPr>
            <w:tcW w:w="5100" w:type="dxa"/>
            <w:tcBorders>
              <w:top w:val="nil"/>
              <w:left w:val="nil"/>
              <w:bottom w:val="nil"/>
              <w:right w:val="nil"/>
            </w:tcBorders>
            <w:tcMar>
              <w:top w:w="0" w:type="dxa"/>
              <w:left w:w="62" w:type="dxa"/>
              <w:bottom w:w="0" w:type="dxa"/>
              <w:right w:w="62" w:type="dxa"/>
            </w:tcMar>
          </w:tcPr>
          <w:p w:rsidR="00000000" w:rsidRPr="000377FF" w:rsidP="000377FF">
            <w:pPr>
              <w:pStyle w:val="BodyText"/>
            </w:pPr>
            <w:r w:rsidRPr="000377FF">
              <w:t>Refine the system for recording prospect information based on evaluation of system</w:t>
            </w:r>
          </w:p>
        </w:tc>
      </w:tr>
    </w:tbl>
    <w:p w:rsidR="00000000" w:rsidRPr="000377FF" w:rsidP="000377FF">
      <w:pPr>
        <w:pStyle w:val="BodyText"/>
      </w:pPr>
    </w:p>
    <w:p w:rsidR="00000000" w:rsidRPr="000377FF" w:rsidP="000377FF">
      <w:pPr>
        <w:pStyle w:val="AllowPageBreak"/>
      </w:pPr>
    </w:p>
    <w:p w:rsidR="00000000" w:rsidRPr="000377FF" w:rsidP="000377FF">
      <w:pPr>
        <w:pStyle w:val="Heading1"/>
      </w:pPr>
      <w:bookmarkStart w:id="9" w:name="O_312679"/>
      <w:bookmarkEnd w:id="9"/>
      <w:r w:rsidRPr="000377FF">
        <w:t>Required Skills and Knowledge</w:t>
      </w:r>
    </w:p>
    <w:tbl>
      <w:tblPr>
        <w:tblW w:w="0" w:type="auto"/>
        <w:tblLayout w:type="fixed"/>
        <w:tblCellMar>
          <w:left w:w="62" w:type="dxa"/>
          <w:right w:w="62" w:type="dxa"/>
        </w:tblCellMar>
        <w:tblLook w:val="0000"/>
      </w:tblPr>
      <w:tblGrid>
        <w:gridCol w:w="9000"/>
      </w:tblGrid>
      <w:tr w:rsidTr="003C66DE">
        <w:tblPrEx>
          <w:tblW w:w="0" w:type="auto"/>
          <w:tblLayout w:type="fixed"/>
          <w:tblCellMar>
            <w:left w:w="62" w:type="dxa"/>
            <w:right w:w="62" w:type="dxa"/>
          </w:tblCellMar>
          <w:tblLook w:val="0000"/>
        </w:tblPrEx>
        <w:tc>
          <w:tcPr>
            <w:tcW w:w="9000" w:type="dxa"/>
            <w:tcBorders>
              <w:top w:val="nil"/>
              <w:left w:val="nil"/>
              <w:bottom w:val="nil"/>
              <w:right w:val="nil"/>
            </w:tcBorders>
            <w:tcMar>
              <w:top w:w="0" w:type="dxa"/>
              <w:left w:w="62" w:type="dxa"/>
              <w:bottom w:w="0" w:type="dxa"/>
              <w:right w:w="62" w:type="dxa"/>
            </w:tcMar>
          </w:tcPr>
          <w:p w:rsidR="00000000" w:rsidP="000377FF">
            <w:pPr>
              <w:pStyle w:val="BodyText"/>
              <w:rPr>
                <w:lang w:val="en-NZ"/>
              </w:rPr>
            </w:pPr>
          </w:p>
        </w:tc>
      </w:tr>
      <w:tr w:rsidTr="003C66DE">
        <w:tblPrEx>
          <w:tblW w:w="0" w:type="auto"/>
          <w:tblLayout w:type="fixed"/>
          <w:tblCellMar>
            <w:left w:w="62" w:type="dxa"/>
            <w:right w:w="62" w:type="dxa"/>
          </w:tblCellMar>
          <w:tblLook w:val="0000"/>
        </w:tblPrEx>
        <w:tc>
          <w:tcPr>
            <w:tcW w:w="9000" w:type="dxa"/>
            <w:tcBorders>
              <w:top w:val="nil"/>
              <w:left w:val="nil"/>
              <w:bottom w:val="nil"/>
              <w:right w:val="nil"/>
            </w:tcBorders>
            <w:tcMar>
              <w:top w:w="0" w:type="dxa"/>
              <w:left w:w="62" w:type="dxa"/>
              <w:bottom w:w="0" w:type="dxa"/>
              <w:right w:w="62" w:type="dxa"/>
            </w:tcMar>
          </w:tcPr>
          <w:p w:rsidR="00000000" w:rsidP="000377FF">
            <w:pPr>
              <w:pStyle w:val="BodyText"/>
              <w:rPr>
                <w:lang w:val="en-NZ"/>
              </w:rPr>
            </w:pPr>
            <w:r w:rsidRPr="000377FF">
              <w:t xml:space="preserve">This section describes the skills and knowledge required for this unit. </w:t>
            </w:r>
          </w:p>
        </w:tc>
      </w:tr>
      <w:tr w:rsidTr="003C66DE">
        <w:tblPrEx>
          <w:tblW w:w="0" w:type="auto"/>
          <w:tblLayout w:type="fixed"/>
          <w:tblCellMar>
            <w:left w:w="62" w:type="dxa"/>
            <w:right w:w="62" w:type="dxa"/>
          </w:tblCellMar>
          <w:tblLook w:val="0000"/>
        </w:tblPrEx>
        <w:tc>
          <w:tcPr>
            <w:tcW w:w="9000" w:type="dxa"/>
            <w:tcBorders>
              <w:top w:val="nil"/>
              <w:left w:val="nil"/>
              <w:bottom w:val="nil"/>
              <w:right w:val="nil"/>
            </w:tcBorders>
            <w:tcMar>
              <w:top w:w="0" w:type="dxa"/>
              <w:left w:w="62" w:type="dxa"/>
              <w:bottom w:w="0" w:type="dxa"/>
              <w:right w:w="62" w:type="dxa"/>
            </w:tcMar>
          </w:tcPr>
          <w:p w:rsidR="00000000" w:rsidP="000377FF">
            <w:pPr>
              <w:pStyle w:val="BodyText"/>
              <w:rPr>
                <w:lang w:val="en-NZ"/>
              </w:rPr>
            </w:pPr>
            <w:r w:rsidRPr="000377FF">
              <w:rPr>
                <w:rStyle w:val="SpecialBold"/>
              </w:rPr>
              <w:t>Required skills</w:t>
            </w:r>
          </w:p>
        </w:tc>
      </w:tr>
      <w:tr w:rsidTr="003C66DE">
        <w:tblPrEx>
          <w:tblW w:w="0" w:type="auto"/>
          <w:tblLayout w:type="fixed"/>
          <w:tblCellMar>
            <w:left w:w="62" w:type="dxa"/>
            <w:right w:w="62" w:type="dxa"/>
          </w:tblCellMar>
          <w:tblLook w:val="0000"/>
        </w:tblPrEx>
        <w:tc>
          <w:tcPr>
            <w:tcW w:w="9000" w:type="dxa"/>
            <w:tcBorders>
              <w:top w:val="nil"/>
              <w:left w:val="nil"/>
              <w:bottom w:val="nil"/>
              <w:right w:val="nil"/>
            </w:tcBorders>
            <w:tcMar>
              <w:top w:w="0" w:type="dxa"/>
              <w:left w:w="62" w:type="dxa"/>
              <w:bottom w:w="0" w:type="dxa"/>
              <w:right w:w="62" w:type="dxa"/>
            </w:tcMar>
          </w:tcPr>
          <w:p w:rsidR="00000000" w:rsidRPr="000377FF" w:rsidP="000377FF">
            <w:pPr>
              <w:pStyle w:val="BodyText"/>
            </w:pPr>
            <w:r w:rsidRPr="000377FF">
              <w:t>literacy skills to interpret legal requirements, company policies and procedures</w:t>
            </w:r>
          </w:p>
          <w:p w:rsidR="00000000" w:rsidRPr="000377FF" w:rsidP="000377FF">
            <w:pPr>
              <w:pStyle w:val="BodyText"/>
            </w:pPr>
            <w:r w:rsidRPr="000377FF">
              <w:t>research and data analysis skills to determine prospect requirements</w:t>
            </w:r>
          </w:p>
          <w:p w:rsidR="00000000" w:rsidP="000377FF">
            <w:pPr>
              <w:pStyle w:val="BodyText"/>
              <w:rPr>
                <w:lang w:val="en-NZ"/>
              </w:rPr>
            </w:pPr>
            <w:r w:rsidRPr="000377FF">
              <w:t>technology skills to design and record formats to facilitate information storage and retrieval.</w:t>
            </w:r>
          </w:p>
        </w:tc>
      </w:tr>
      <w:tr w:rsidTr="003C66DE">
        <w:tblPrEx>
          <w:tblW w:w="0" w:type="auto"/>
          <w:tblLayout w:type="fixed"/>
          <w:tblCellMar>
            <w:left w:w="62" w:type="dxa"/>
            <w:right w:w="62" w:type="dxa"/>
          </w:tblCellMar>
          <w:tblLook w:val="0000"/>
        </w:tblPrEx>
        <w:tc>
          <w:tcPr>
            <w:tcW w:w="9000" w:type="dxa"/>
            <w:tcBorders>
              <w:top w:val="nil"/>
              <w:left w:val="nil"/>
              <w:bottom w:val="nil"/>
              <w:right w:val="nil"/>
            </w:tcBorders>
            <w:tcMar>
              <w:top w:w="0" w:type="dxa"/>
              <w:left w:w="62" w:type="dxa"/>
              <w:bottom w:w="0" w:type="dxa"/>
              <w:right w:w="62" w:type="dxa"/>
            </w:tcMar>
          </w:tcPr>
          <w:p w:rsidR="00000000" w:rsidP="000377FF">
            <w:pPr>
              <w:pStyle w:val="BodyText"/>
              <w:rPr>
                <w:lang w:val="en-NZ"/>
              </w:rPr>
            </w:pPr>
            <w:r w:rsidRPr="000377FF">
              <w:rPr>
                <w:rStyle w:val="SpecialBold"/>
              </w:rPr>
              <w:t xml:space="preserve">Required </w:t>
            </w:r>
            <w:r w:rsidRPr="000377FF">
              <w:rPr>
                <w:rStyle w:val="SpecialBold"/>
              </w:rPr>
              <w:t>knowledge</w:t>
            </w:r>
          </w:p>
        </w:tc>
      </w:tr>
      <w:tr w:rsidTr="003C66DE">
        <w:tblPrEx>
          <w:tblW w:w="0" w:type="auto"/>
          <w:tblLayout w:type="fixed"/>
          <w:tblCellMar>
            <w:left w:w="62" w:type="dxa"/>
            <w:right w:w="62" w:type="dxa"/>
          </w:tblCellMar>
          <w:tblLook w:val="0000"/>
        </w:tblPrEx>
        <w:tc>
          <w:tcPr>
            <w:tcW w:w="9000" w:type="dxa"/>
            <w:tcBorders>
              <w:top w:val="nil"/>
              <w:left w:val="nil"/>
              <w:bottom w:val="nil"/>
              <w:right w:val="nil"/>
            </w:tcBorders>
            <w:tcMar>
              <w:top w:w="0" w:type="dxa"/>
              <w:left w:w="62" w:type="dxa"/>
              <w:bottom w:w="0" w:type="dxa"/>
              <w:right w:w="62" w:type="dxa"/>
            </w:tcMar>
          </w:tcPr>
          <w:p w:rsidR="00000000" w:rsidRPr="000377FF" w:rsidP="000377FF">
            <w:pPr>
              <w:pStyle w:val="BodyText"/>
            </w:pPr>
            <w:r w:rsidRPr="000377FF">
              <w:t>principles of buyer motives</w:t>
            </w:r>
          </w:p>
          <w:p w:rsidR="00000000" w:rsidRPr="000377FF" w:rsidP="000377FF">
            <w:pPr>
              <w:pStyle w:val="BodyText"/>
            </w:pPr>
            <w:r w:rsidRPr="000377FF">
              <w:t xml:space="preserve">identification and overview knowledge of key provisions of relevant legislation from all levels of government that affects business operations, codes of practice and national standards, such as:   </w:t>
            </w:r>
          </w:p>
          <w:p w:rsidR="00000000" w:rsidRPr="000377FF" w:rsidP="000377FF">
            <w:pPr>
              <w:pStyle w:val="BodyText"/>
            </w:pPr>
            <w:r w:rsidRPr="000377FF">
              <w:t>anti-discrimination</w:t>
            </w:r>
            <w:r w:rsidRPr="000377FF">
              <w:t xml:space="preserve"> </w:t>
            </w:r>
          </w:p>
          <w:p w:rsidR="00000000" w:rsidRPr="000377FF" w:rsidP="000377FF">
            <w:pPr>
              <w:pStyle w:val="BodyText"/>
            </w:pPr>
          </w:p>
          <w:p w:rsidR="00000000" w:rsidRPr="000377FF" w:rsidP="000377FF">
            <w:pPr>
              <w:pStyle w:val="BodyText"/>
            </w:pPr>
            <w:r w:rsidRPr="000377FF">
              <w:t xml:space="preserve">ethical principles     </w:t>
            </w:r>
          </w:p>
          <w:p w:rsidR="00000000" w:rsidRPr="000377FF" w:rsidP="000377FF">
            <w:pPr>
              <w:pStyle w:val="BodyText"/>
            </w:pPr>
            <w:r w:rsidRPr="000377FF">
              <w:t>consumer protection</w:t>
            </w:r>
          </w:p>
          <w:p w:rsidR="00000000" w:rsidRPr="000377FF" w:rsidP="000377FF">
            <w:pPr>
              <w:pStyle w:val="BodyText"/>
            </w:pPr>
            <w:r w:rsidRPr="000377FF">
              <w:t>contract law</w:t>
            </w:r>
          </w:p>
          <w:p w:rsidR="00000000" w:rsidRPr="000377FF" w:rsidP="000377FF">
            <w:pPr>
              <w:pStyle w:val="BodyText"/>
            </w:pPr>
            <w:r w:rsidRPr="000377FF">
              <w:t>privacy laws</w:t>
            </w:r>
          </w:p>
          <w:p w:rsidR="00000000" w:rsidRPr="000377FF" w:rsidP="000377FF">
            <w:pPr>
              <w:pStyle w:val="BodyText"/>
            </w:pPr>
            <w:r w:rsidRPr="000377FF">
              <w:t>Trade Practices Act</w:t>
            </w:r>
          </w:p>
          <w:p w:rsidR="00000000" w:rsidRPr="000377FF" w:rsidP="000377FF">
            <w:pPr>
              <w:pStyle w:val="BodyText"/>
            </w:pPr>
          </w:p>
          <w:p w:rsidR="00000000" w:rsidRPr="000377FF" w:rsidP="000377FF">
            <w:pPr>
              <w:pStyle w:val="BodyText"/>
            </w:pPr>
            <w:r w:rsidRPr="000377FF">
              <w:t xml:space="preserve">benefits and key features of own organisation's and competitors' products  </w:t>
            </w:r>
          </w:p>
          <w:p w:rsidR="00000000" w:rsidRPr="000377FF" w:rsidP="000377FF">
            <w:pPr>
              <w:pStyle w:val="BodyText"/>
            </w:pPr>
            <w:r w:rsidRPr="000377FF">
              <w:t>information management strategies used to manage prospect data</w:t>
            </w:r>
          </w:p>
          <w:p w:rsidR="00000000" w:rsidRPr="000377FF" w:rsidP="000377FF">
            <w:pPr>
              <w:pStyle w:val="BodyText"/>
            </w:pPr>
            <w:r w:rsidRPr="000377FF">
              <w:t>prospecting methods use</w:t>
            </w:r>
            <w:r w:rsidRPr="000377FF">
              <w:t>d in the sales process.</w:t>
            </w:r>
          </w:p>
        </w:tc>
      </w:tr>
    </w:tbl>
    <w:p w:rsidR="00000000" w:rsidRPr="000377FF" w:rsidP="000377FF">
      <w:pPr>
        <w:pStyle w:val="BodyText"/>
      </w:pPr>
    </w:p>
    <w:p w:rsidR="00000000" w:rsidRPr="000377FF" w:rsidP="000377FF">
      <w:pPr>
        <w:pStyle w:val="AllowPageBreak"/>
      </w:pPr>
    </w:p>
    <w:p w:rsidR="00000000" w:rsidRPr="000377FF" w:rsidP="000377FF">
      <w:pPr>
        <w:pStyle w:val="Heading1"/>
      </w:pPr>
      <w:bookmarkStart w:id="10" w:name="O_312678"/>
      <w:bookmarkEnd w:id="10"/>
      <w:r w:rsidRPr="000377FF">
        <w:t>Evidence Guide</w:t>
      </w:r>
    </w:p>
    <w:tbl>
      <w:tblPr>
        <w:tblW w:w="0" w:type="auto"/>
        <w:tblLayout w:type="fixed"/>
        <w:tblCellMar>
          <w:left w:w="62" w:type="dxa"/>
          <w:right w:w="62" w:type="dxa"/>
        </w:tblCellMar>
        <w:tblLook w:val="0000"/>
      </w:tblPr>
      <w:tblGrid>
        <w:gridCol w:w="4500"/>
        <w:gridCol w:w="4500"/>
      </w:tblGrid>
      <w:tr w:rsidTr="003C66DE">
        <w:tblPrEx>
          <w:tblW w:w="0" w:type="auto"/>
          <w:tblLayout w:type="fixed"/>
          <w:tblCellMar>
            <w:left w:w="62" w:type="dxa"/>
            <w:right w:w="62" w:type="dxa"/>
          </w:tblCellMar>
          <w:tblLook w:val="0000"/>
        </w:tblPrEx>
        <w:tc>
          <w:tcPr>
            <w:tcW w:w="9000" w:type="dxa"/>
            <w:gridSpan w:val="2"/>
            <w:tcBorders>
              <w:top w:val="nil"/>
              <w:left w:val="nil"/>
              <w:bottom w:val="nil"/>
              <w:right w:val="nil"/>
            </w:tcBorders>
            <w:tcMar>
              <w:top w:w="0" w:type="dxa"/>
              <w:left w:w="62" w:type="dxa"/>
              <w:bottom w:w="0" w:type="dxa"/>
              <w:right w:w="62" w:type="dxa"/>
            </w:tcMar>
          </w:tcPr>
          <w:p w:rsidR="00000000" w:rsidP="000377FF">
            <w:pPr>
              <w:pStyle w:val="BodyText"/>
              <w:rPr>
                <w:lang w:val="en-NZ"/>
              </w:rPr>
            </w:pPr>
          </w:p>
        </w:tc>
      </w:tr>
      <w:tr w:rsidTr="003C66DE">
        <w:tblPrEx>
          <w:tblW w:w="0" w:type="auto"/>
          <w:tblLayout w:type="fixed"/>
          <w:tblCellMar>
            <w:left w:w="62" w:type="dxa"/>
            <w:right w:w="62" w:type="dxa"/>
          </w:tblCellMar>
          <w:tblLook w:val="0000"/>
        </w:tblPrEx>
        <w:tc>
          <w:tcPr>
            <w:tcW w:w="9000" w:type="dxa"/>
            <w:gridSpan w:val="2"/>
            <w:tcBorders>
              <w:top w:val="nil"/>
              <w:left w:val="nil"/>
              <w:bottom w:val="nil"/>
              <w:right w:val="nil"/>
            </w:tcBorders>
            <w:tcMar>
              <w:top w:w="0" w:type="dxa"/>
              <w:left w:w="62" w:type="dxa"/>
              <w:bottom w:w="0" w:type="dxa"/>
              <w:right w:w="62" w:type="dxa"/>
            </w:tcMar>
          </w:tcPr>
          <w:p w:rsidR="00000000" w:rsidP="000377FF">
            <w:pPr>
              <w:pStyle w:val="BodyText"/>
              <w:rPr>
                <w:lang w:val="en-NZ"/>
              </w:rPr>
            </w:pPr>
            <w:r w:rsidRPr="000377FF">
              <w:t xml:space="preserve">The evidence guide provides advice on assessment and must be read in conjunction with the performance criteria, required skills and knowledge, </w:t>
            </w:r>
            <w:r w:rsidRPr="000377FF">
              <w:t xml:space="preserve">range statement and the Assessment Guidelines for the Training Package. </w:t>
            </w:r>
          </w:p>
        </w:tc>
      </w:tr>
      <w:tr w:rsidTr="003C66DE">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0377FF">
            <w:pPr>
              <w:pStyle w:val="BodyText"/>
              <w:rPr>
                <w:lang w:val="en-NZ"/>
              </w:rPr>
            </w:pPr>
            <w:r w:rsidRPr="000377FF">
              <w:rPr>
                <w:rStyle w:val="SpecialBold"/>
              </w:rPr>
              <w:t>Overview of assessment</w:t>
            </w:r>
          </w:p>
        </w:tc>
        <w:tc>
          <w:tcPr>
            <w:tcW w:w="4500" w:type="dxa"/>
            <w:tcBorders>
              <w:top w:val="nil"/>
              <w:left w:val="nil"/>
              <w:bottom w:val="nil"/>
              <w:right w:val="nil"/>
            </w:tcBorders>
            <w:tcMar>
              <w:top w:w="0" w:type="dxa"/>
              <w:left w:w="62" w:type="dxa"/>
              <w:bottom w:w="0" w:type="dxa"/>
              <w:right w:w="62" w:type="dxa"/>
            </w:tcMar>
          </w:tcPr>
          <w:p w:rsidR="00000000" w:rsidP="000377FF">
            <w:pPr>
              <w:pStyle w:val="BodyText"/>
              <w:rPr>
                <w:lang w:val="en-NZ"/>
              </w:rPr>
            </w:pPr>
          </w:p>
        </w:tc>
      </w:tr>
      <w:tr w:rsidTr="003C66DE">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0377FF">
            <w:pPr>
              <w:pStyle w:val="BodyText"/>
              <w:rPr>
                <w:lang w:val="en-NZ"/>
              </w:rPr>
            </w:pPr>
            <w:r w:rsidRPr="000377FF">
              <w:rPr>
                <w:rStyle w:val="SpecialBold"/>
              </w:rPr>
              <w:t>Critical aspects for assessment and evidence required to demonstrate competency in this unit</w:t>
            </w:r>
          </w:p>
        </w:tc>
        <w:tc>
          <w:tcPr>
            <w:tcW w:w="4500" w:type="dxa"/>
            <w:tcBorders>
              <w:top w:val="nil"/>
              <w:left w:val="nil"/>
              <w:bottom w:val="nil"/>
              <w:right w:val="nil"/>
            </w:tcBorders>
            <w:tcMar>
              <w:top w:w="0" w:type="dxa"/>
              <w:left w:w="62" w:type="dxa"/>
              <w:bottom w:w="0" w:type="dxa"/>
              <w:right w:w="62" w:type="dxa"/>
            </w:tcMar>
          </w:tcPr>
          <w:p w:rsidR="00000000" w:rsidRPr="000377FF" w:rsidP="000377FF">
            <w:pPr>
              <w:pStyle w:val="BodyText"/>
            </w:pPr>
            <w:r w:rsidRPr="000377FF">
              <w:t xml:space="preserve">Evidence of the following is essential:    </w:t>
            </w:r>
          </w:p>
          <w:p w:rsidR="00000000" w:rsidRPr="000377FF" w:rsidP="000377FF">
            <w:pPr>
              <w:pStyle w:val="BodyText"/>
            </w:pPr>
            <w:r w:rsidRPr="000377FF">
              <w:t>demonstration of the use and management of different prospecting methods targeting a present, previous and new client</w:t>
            </w:r>
          </w:p>
          <w:p w:rsidR="00000000" w:rsidRPr="000377FF" w:rsidP="000377FF">
            <w:pPr>
              <w:pStyle w:val="BodyText"/>
            </w:pPr>
            <w:r w:rsidRPr="000377FF">
              <w:t>research and establishment of criteria used in qualifying leads identified through prospecting methods</w:t>
            </w:r>
          </w:p>
          <w:p w:rsidR="00000000" w:rsidP="000377FF">
            <w:pPr>
              <w:pStyle w:val="BodyText"/>
              <w:rPr>
                <w:lang w:val="en-NZ"/>
              </w:rPr>
            </w:pPr>
            <w:r w:rsidRPr="000377FF">
              <w:t>recording, storage and retrieval of</w:t>
            </w:r>
            <w:r w:rsidRPr="000377FF">
              <w:t xml:space="preserve"> prospect information.</w:t>
            </w:r>
          </w:p>
        </w:tc>
      </w:tr>
      <w:tr w:rsidTr="003C66DE">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0377FF">
            <w:pPr>
              <w:pStyle w:val="BodyText"/>
              <w:rPr>
                <w:lang w:val="en-NZ"/>
              </w:rPr>
            </w:pPr>
            <w:r w:rsidRPr="000377FF">
              <w:rPr>
                <w:rStyle w:val="SpecialBold"/>
              </w:rPr>
              <w:t>Context of and specific resources for assessment</w:t>
            </w:r>
          </w:p>
        </w:tc>
        <w:tc>
          <w:tcPr>
            <w:tcW w:w="4500" w:type="dxa"/>
            <w:tcBorders>
              <w:top w:val="nil"/>
              <w:left w:val="nil"/>
              <w:bottom w:val="nil"/>
              <w:right w:val="nil"/>
            </w:tcBorders>
            <w:tcMar>
              <w:top w:w="0" w:type="dxa"/>
              <w:left w:w="62" w:type="dxa"/>
              <w:bottom w:w="0" w:type="dxa"/>
              <w:right w:w="62" w:type="dxa"/>
            </w:tcMar>
          </w:tcPr>
          <w:p w:rsidR="00000000" w:rsidRPr="000377FF" w:rsidP="000377FF">
            <w:pPr>
              <w:pStyle w:val="BodyText"/>
            </w:pPr>
            <w:r w:rsidRPr="000377FF">
              <w:t xml:space="preserve">Assessment must ensure:    </w:t>
            </w:r>
          </w:p>
          <w:p w:rsidR="00000000" w:rsidRPr="000377FF" w:rsidP="000377FF">
            <w:pPr>
              <w:pStyle w:val="BodyText"/>
            </w:pPr>
            <w:r w:rsidRPr="000377FF">
              <w:t>access to an actual workplace or simulated environment</w:t>
            </w:r>
          </w:p>
          <w:p w:rsidR="00000000" w:rsidP="000377FF">
            <w:pPr>
              <w:pStyle w:val="BodyText"/>
              <w:rPr>
                <w:lang w:val="en-NZ"/>
              </w:rPr>
            </w:pPr>
            <w:r w:rsidRPr="000377FF">
              <w:t>access to organisational sales prospect information, databases and records.</w:t>
            </w:r>
          </w:p>
        </w:tc>
      </w:tr>
      <w:tr w:rsidTr="003C66DE">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0377FF">
            <w:pPr>
              <w:pStyle w:val="BodyText"/>
              <w:rPr>
                <w:lang w:val="en-NZ"/>
              </w:rPr>
            </w:pPr>
            <w:r w:rsidRPr="000377FF">
              <w:rPr>
                <w:rStyle w:val="SpecialBold"/>
              </w:rPr>
              <w:t>Method of assessment</w:t>
            </w:r>
          </w:p>
        </w:tc>
        <w:tc>
          <w:tcPr>
            <w:tcW w:w="4500" w:type="dxa"/>
            <w:tcBorders>
              <w:top w:val="nil"/>
              <w:left w:val="nil"/>
              <w:bottom w:val="nil"/>
              <w:right w:val="nil"/>
            </w:tcBorders>
            <w:tcMar>
              <w:top w:w="0" w:type="dxa"/>
              <w:left w:w="62" w:type="dxa"/>
              <w:bottom w:w="0" w:type="dxa"/>
              <w:right w:w="62" w:type="dxa"/>
            </w:tcMar>
          </w:tcPr>
          <w:p w:rsidR="00000000" w:rsidRPr="000377FF" w:rsidP="000377FF">
            <w:pPr>
              <w:pStyle w:val="BodyText"/>
            </w:pPr>
            <w:r w:rsidRPr="000377FF">
              <w:t xml:space="preserve">A </w:t>
            </w:r>
            <w:r w:rsidRPr="000377FF">
              <w:t xml:space="preserve">range of assessment methods should be used to assess practical skills and knowledge. The following examples are appropriate for this unit:    </w:t>
            </w:r>
          </w:p>
          <w:p w:rsidR="00000000" w:rsidRPr="000377FF" w:rsidP="000377FF">
            <w:pPr>
              <w:pStyle w:val="BodyText"/>
            </w:pPr>
            <w:r w:rsidRPr="000377FF">
              <w:t>analysis of responses to case studies and scenarios</w:t>
            </w:r>
          </w:p>
          <w:p w:rsidR="00000000" w:rsidRPr="000377FF" w:rsidP="000377FF">
            <w:pPr>
              <w:pStyle w:val="BodyText"/>
            </w:pPr>
            <w:r w:rsidRPr="000377FF">
              <w:t>assessment of criteria developed to qualify sales leads</w:t>
            </w:r>
          </w:p>
          <w:p w:rsidR="00000000" w:rsidRPr="000377FF" w:rsidP="000377FF">
            <w:pPr>
              <w:pStyle w:val="BodyText"/>
            </w:pPr>
            <w:r w:rsidRPr="000377FF">
              <w:t>demon</w:t>
            </w:r>
            <w:r w:rsidRPr="000377FF">
              <w:t>stration of prospecting methods</w:t>
            </w:r>
          </w:p>
          <w:p w:rsidR="00000000" w:rsidRPr="000377FF" w:rsidP="000377FF">
            <w:pPr>
              <w:pStyle w:val="BodyText"/>
            </w:pPr>
            <w:r w:rsidRPr="000377FF">
              <w:t>direct questioning combined with portfolios of evidence and third party workplace reports of on-the-job performance by the candidate</w:t>
            </w:r>
          </w:p>
          <w:p w:rsidR="00000000" w:rsidRPr="000377FF" w:rsidP="000377FF">
            <w:pPr>
              <w:pStyle w:val="BodyText"/>
            </w:pPr>
            <w:r w:rsidRPr="000377FF">
              <w:t>observation of use of prospecting methods</w:t>
            </w:r>
          </w:p>
          <w:p w:rsidR="00000000" w:rsidRPr="000377FF" w:rsidP="000377FF">
            <w:pPr>
              <w:pStyle w:val="BodyText"/>
            </w:pPr>
            <w:r w:rsidRPr="000377FF">
              <w:t>oral or written questioning to assess knowledge o</w:t>
            </w:r>
            <w:r w:rsidRPr="000377FF">
              <w:t>f principles of buyer motives</w:t>
            </w:r>
          </w:p>
          <w:p w:rsidR="00000000" w:rsidRPr="000377FF" w:rsidP="000377FF">
            <w:pPr>
              <w:pStyle w:val="BodyText"/>
            </w:pPr>
            <w:r w:rsidRPr="000377FF">
              <w:t>review of research undertaken to establish criteria for qualifying leads</w:t>
            </w:r>
          </w:p>
          <w:p w:rsidR="00000000" w:rsidP="000377FF">
            <w:pPr>
              <w:pStyle w:val="BodyText"/>
              <w:rPr>
                <w:lang w:val="en-NZ"/>
              </w:rPr>
            </w:pPr>
            <w:r w:rsidRPr="000377FF">
              <w:t>evaluation of the system developed to record prospect information.</w:t>
            </w:r>
          </w:p>
        </w:tc>
      </w:tr>
      <w:tr w:rsidTr="003C66DE">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0377FF">
            <w:pPr>
              <w:pStyle w:val="BodyText"/>
              <w:rPr>
                <w:lang w:val="en-NZ"/>
              </w:rPr>
            </w:pPr>
            <w:r w:rsidRPr="000377FF">
              <w:rPr>
                <w:rStyle w:val="SpecialBold"/>
              </w:rPr>
              <w:t>Guidance information for assessment</w:t>
            </w:r>
          </w:p>
        </w:tc>
        <w:tc>
          <w:tcPr>
            <w:tcW w:w="4500" w:type="dxa"/>
            <w:tcBorders>
              <w:top w:val="nil"/>
              <w:left w:val="nil"/>
              <w:bottom w:val="nil"/>
              <w:right w:val="nil"/>
            </w:tcBorders>
            <w:tcMar>
              <w:top w:w="0" w:type="dxa"/>
              <w:left w:w="62" w:type="dxa"/>
              <w:bottom w:w="0" w:type="dxa"/>
              <w:right w:w="62" w:type="dxa"/>
            </w:tcMar>
          </w:tcPr>
          <w:p w:rsidR="00000000" w:rsidRPr="000377FF" w:rsidP="000377FF">
            <w:pPr>
              <w:pStyle w:val="BodyText"/>
            </w:pPr>
            <w:r w:rsidRPr="000377FF">
              <w:t xml:space="preserve">Holistic assessment with other units relevant to the industry sector, workplace and job role is recommended, for example:    </w:t>
            </w:r>
          </w:p>
          <w:p w:rsidR="00000000" w:rsidRPr="000377FF" w:rsidP="000377FF">
            <w:pPr>
              <w:pStyle w:val="BodyText"/>
            </w:pPr>
            <w:r w:rsidRPr="000377FF">
              <w:t>customer service units</w:t>
            </w:r>
          </w:p>
          <w:p w:rsidR="00000000" w:rsidRPr="000377FF" w:rsidP="000377FF">
            <w:pPr>
              <w:pStyle w:val="BodyText"/>
            </w:pPr>
            <w:r w:rsidRPr="000377FF">
              <w:t>other sales units.</w:t>
            </w:r>
          </w:p>
        </w:tc>
      </w:tr>
    </w:tbl>
    <w:p w:rsidR="00000000" w:rsidRPr="000377FF" w:rsidP="000377FF">
      <w:pPr>
        <w:pStyle w:val="BodyText"/>
      </w:pPr>
    </w:p>
    <w:p w:rsidR="00000000" w:rsidRPr="000377FF" w:rsidP="000377FF">
      <w:pPr>
        <w:pStyle w:val="AllowPageBreak"/>
      </w:pPr>
    </w:p>
    <w:p w:rsidR="00000000" w:rsidRPr="000377FF" w:rsidP="000377FF">
      <w:pPr>
        <w:pStyle w:val="Heading1"/>
      </w:pPr>
      <w:bookmarkStart w:id="11" w:name="O_312677"/>
      <w:bookmarkEnd w:id="11"/>
      <w:r w:rsidRPr="000377FF">
        <w:t>Range Statement</w:t>
      </w:r>
    </w:p>
    <w:tbl>
      <w:tblPr>
        <w:tblW w:w="0" w:type="auto"/>
        <w:tblLayout w:type="fixed"/>
        <w:tblCellMar>
          <w:left w:w="62" w:type="dxa"/>
          <w:right w:w="62" w:type="dxa"/>
        </w:tblCellMar>
        <w:tblLook w:val="0000"/>
      </w:tblPr>
      <w:tblGrid>
        <w:gridCol w:w="4500"/>
        <w:gridCol w:w="4500"/>
      </w:tblGrid>
      <w:tr w:rsidTr="003C66DE">
        <w:tblPrEx>
          <w:tblW w:w="0" w:type="auto"/>
          <w:tblLayout w:type="fixed"/>
          <w:tblCellMar>
            <w:left w:w="62" w:type="dxa"/>
            <w:right w:w="62" w:type="dxa"/>
          </w:tblCellMar>
          <w:tblLook w:val="0000"/>
        </w:tblPrEx>
        <w:tc>
          <w:tcPr>
            <w:tcW w:w="9000" w:type="dxa"/>
            <w:gridSpan w:val="2"/>
            <w:tcBorders>
              <w:top w:val="nil"/>
              <w:left w:val="nil"/>
              <w:bottom w:val="nil"/>
              <w:right w:val="nil"/>
            </w:tcBorders>
            <w:tcMar>
              <w:top w:w="0" w:type="dxa"/>
              <w:left w:w="62" w:type="dxa"/>
              <w:bottom w:w="0" w:type="dxa"/>
              <w:right w:w="62" w:type="dxa"/>
            </w:tcMar>
          </w:tcPr>
          <w:p w:rsidR="00000000" w:rsidP="000377FF">
            <w:pPr>
              <w:pStyle w:val="BodyText"/>
              <w:rPr>
                <w:lang w:val="en-NZ"/>
              </w:rPr>
            </w:pPr>
          </w:p>
        </w:tc>
      </w:tr>
      <w:tr w:rsidTr="003C66DE">
        <w:tblPrEx>
          <w:tblW w:w="0" w:type="auto"/>
          <w:tblLayout w:type="fixed"/>
          <w:tblCellMar>
            <w:left w:w="62" w:type="dxa"/>
            <w:right w:w="62" w:type="dxa"/>
          </w:tblCellMar>
          <w:tblLook w:val="0000"/>
        </w:tblPrEx>
        <w:tc>
          <w:tcPr>
            <w:tcW w:w="9000" w:type="dxa"/>
            <w:gridSpan w:val="2"/>
            <w:tcBorders>
              <w:top w:val="nil"/>
              <w:left w:val="nil"/>
              <w:bottom w:val="nil"/>
              <w:right w:val="nil"/>
            </w:tcBorders>
            <w:tcMar>
              <w:top w:w="0" w:type="dxa"/>
              <w:left w:w="62" w:type="dxa"/>
              <w:bottom w:w="0" w:type="dxa"/>
              <w:right w:w="62" w:type="dxa"/>
            </w:tcMar>
          </w:tcPr>
          <w:p w:rsidR="00000000" w:rsidP="000377FF">
            <w:pPr>
              <w:pStyle w:val="BodyText"/>
              <w:rPr>
                <w:lang w:val="en-NZ"/>
              </w:rPr>
            </w:pPr>
            <w:r w:rsidRPr="000377FF">
              <w:t>The range statement relates to the unit of competency as a whole. It allows for different work environments and situations that may affect performance. Bold italicised wording, if used in the performance criteria, is detailed below. Essential operating con</w:t>
            </w:r>
            <w:r w:rsidRPr="000377FF">
              <w:t xml:space="preserve">ditions that may be present with training and assessment (depending on the work situation, needs of the candidate, accessibility of the item, and local industry and regional contexts) may also be included. </w:t>
            </w:r>
          </w:p>
        </w:tc>
      </w:tr>
      <w:tr w:rsidTr="003C66DE">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0377FF">
            <w:pPr>
              <w:pStyle w:val="BodyText"/>
              <w:rPr>
                <w:lang w:val="en-NZ"/>
              </w:rPr>
            </w:pPr>
            <w:r w:rsidRPr="000377FF">
              <w:rPr>
                <w:rStyle w:val="SpecialBold"/>
              </w:rPr>
              <w:t>Prospecting methods</w:t>
            </w:r>
            <w:r w:rsidRPr="000377FF">
              <w:t xml:space="preserve"> may include: </w:t>
            </w:r>
          </w:p>
        </w:tc>
        <w:tc>
          <w:tcPr>
            <w:tcW w:w="4500" w:type="dxa"/>
            <w:tcBorders>
              <w:top w:val="nil"/>
              <w:left w:val="nil"/>
              <w:bottom w:val="nil"/>
              <w:right w:val="nil"/>
            </w:tcBorders>
            <w:tcMar>
              <w:top w:w="0" w:type="dxa"/>
              <w:left w:w="62" w:type="dxa"/>
              <w:bottom w:w="0" w:type="dxa"/>
              <w:right w:w="62" w:type="dxa"/>
            </w:tcMar>
          </w:tcPr>
          <w:p w:rsidR="00000000" w:rsidRPr="000377FF" w:rsidP="000377FF">
            <w:pPr>
              <w:pStyle w:val="BodyText"/>
            </w:pPr>
            <w:r w:rsidRPr="000377FF">
              <w:t>brokers</w:t>
            </w:r>
          </w:p>
          <w:p w:rsidR="00000000" w:rsidRPr="000377FF" w:rsidP="000377FF">
            <w:pPr>
              <w:pStyle w:val="BodyText"/>
            </w:pPr>
            <w:r w:rsidRPr="000377FF">
              <w:t xml:space="preserve">cold </w:t>
            </w:r>
            <w:r w:rsidRPr="000377FF">
              <w:t>canvassing</w:t>
            </w:r>
          </w:p>
          <w:p w:rsidR="00000000" w:rsidRPr="000377FF" w:rsidP="000377FF">
            <w:pPr>
              <w:pStyle w:val="BodyText"/>
            </w:pPr>
            <w:r w:rsidRPr="000377FF">
              <w:t>databases</w:t>
            </w:r>
          </w:p>
          <w:p w:rsidR="00000000" w:rsidRPr="000377FF" w:rsidP="000377FF">
            <w:pPr>
              <w:pStyle w:val="BodyText"/>
            </w:pPr>
            <w:r w:rsidRPr="000377FF">
              <w:t>direct mail</w:t>
            </w:r>
          </w:p>
          <w:p w:rsidR="00000000" w:rsidRPr="000377FF" w:rsidP="000377FF">
            <w:pPr>
              <w:pStyle w:val="BodyText"/>
            </w:pPr>
            <w:r w:rsidRPr="000377FF">
              <w:t>internet</w:t>
            </w:r>
          </w:p>
          <w:p w:rsidR="00000000" w:rsidRPr="000377FF" w:rsidP="000377FF">
            <w:pPr>
              <w:pStyle w:val="BodyText"/>
            </w:pPr>
            <w:r w:rsidRPr="000377FF">
              <w:t>intra organisational leads</w:t>
            </w:r>
          </w:p>
          <w:p w:rsidR="00000000" w:rsidRPr="000377FF" w:rsidP="000377FF">
            <w:pPr>
              <w:pStyle w:val="BodyText"/>
            </w:pPr>
            <w:r w:rsidRPr="000377FF">
              <w:t>journals</w:t>
            </w:r>
          </w:p>
          <w:p w:rsidR="00000000" w:rsidRPr="000377FF" w:rsidP="000377FF">
            <w:pPr>
              <w:pStyle w:val="BodyText"/>
            </w:pPr>
            <w:r w:rsidRPr="000377FF">
              <w:t>magazines</w:t>
            </w:r>
          </w:p>
          <w:p w:rsidR="00000000" w:rsidRPr="000377FF" w:rsidP="000377FF">
            <w:pPr>
              <w:pStyle w:val="BodyText"/>
            </w:pPr>
            <w:r w:rsidRPr="000377FF">
              <w:t>media advertising</w:t>
            </w:r>
          </w:p>
          <w:p w:rsidR="00000000" w:rsidRPr="000377FF" w:rsidP="000377FF">
            <w:pPr>
              <w:pStyle w:val="BodyText"/>
            </w:pPr>
            <w:r w:rsidRPr="000377FF">
              <w:t>networking</w:t>
            </w:r>
          </w:p>
          <w:p w:rsidR="00000000" w:rsidRPr="000377FF" w:rsidP="000377FF">
            <w:pPr>
              <w:pStyle w:val="BodyText"/>
            </w:pPr>
            <w:r w:rsidRPr="000377FF">
              <w:t>newspapers</w:t>
            </w:r>
          </w:p>
          <w:p w:rsidR="00000000" w:rsidRPr="000377FF" w:rsidP="000377FF">
            <w:pPr>
              <w:pStyle w:val="BodyText"/>
            </w:pPr>
            <w:r w:rsidRPr="000377FF">
              <w:t>personal observation</w:t>
            </w:r>
          </w:p>
          <w:p w:rsidR="00000000" w:rsidRPr="000377FF" w:rsidP="000377FF">
            <w:pPr>
              <w:pStyle w:val="BodyText"/>
            </w:pPr>
            <w:r w:rsidRPr="000377FF">
              <w:t>public records</w:t>
            </w:r>
          </w:p>
          <w:p w:rsidR="00000000" w:rsidRPr="000377FF" w:rsidP="000377FF">
            <w:pPr>
              <w:pStyle w:val="BodyText"/>
            </w:pPr>
            <w:r w:rsidRPr="000377FF">
              <w:t>referrals</w:t>
            </w:r>
          </w:p>
          <w:p w:rsidR="00000000" w:rsidRPr="000377FF" w:rsidP="000377FF">
            <w:pPr>
              <w:pStyle w:val="BodyText"/>
            </w:pPr>
            <w:r w:rsidRPr="000377FF">
              <w:t>spotters</w:t>
            </w:r>
          </w:p>
          <w:p w:rsidR="00000000" w:rsidP="000377FF">
            <w:pPr>
              <w:pStyle w:val="BodyText"/>
              <w:rPr>
                <w:lang w:val="en-NZ"/>
              </w:rPr>
            </w:pPr>
            <w:r w:rsidRPr="000377FF">
              <w:t>telemarketing</w:t>
            </w:r>
          </w:p>
        </w:tc>
      </w:tr>
      <w:tr w:rsidTr="003C66DE">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0377FF">
            <w:pPr>
              <w:pStyle w:val="BodyText"/>
              <w:rPr>
                <w:lang w:val="en-NZ"/>
              </w:rPr>
            </w:pPr>
            <w:r w:rsidRPr="000377FF">
              <w:rPr>
                <w:rStyle w:val="SpecialBold"/>
              </w:rPr>
              <w:t>Products</w:t>
            </w:r>
            <w:r w:rsidRPr="000377FF">
              <w:t xml:space="preserve"> may include: </w:t>
            </w:r>
          </w:p>
        </w:tc>
        <w:tc>
          <w:tcPr>
            <w:tcW w:w="4500" w:type="dxa"/>
            <w:tcBorders>
              <w:top w:val="nil"/>
              <w:left w:val="nil"/>
              <w:bottom w:val="nil"/>
              <w:right w:val="nil"/>
            </w:tcBorders>
            <w:tcMar>
              <w:top w:w="0" w:type="dxa"/>
              <w:left w:w="62" w:type="dxa"/>
              <w:bottom w:w="0" w:type="dxa"/>
              <w:right w:w="62" w:type="dxa"/>
            </w:tcMar>
          </w:tcPr>
          <w:p w:rsidR="00000000" w:rsidRPr="000377FF" w:rsidP="000377FF">
            <w:pPr>
              <w:pStyle w:val="BodyText"/>
            </w:pPr>
            <w:r w:rsidRPr="000377FF">
              <w:t>goods</w:t>
            </w:r>
          </w:p>
          <w:p w:rsidR="00000000" w:rsidRPr="000377FF" w:rsidP="000377FF">
            <w:pPr>
              <w:pStyle w:val="BodyText"/>
            </w:pPr>
            <w:r w:rsidRPr="000377FF">
              <w:t>ideas</w:t>
            </w:r>
          </w:p>
          <w:p w:rsidR="00000000" w:rsidP="000377FF">
            <w:pPr>
              <w:pStyle w:val="BodyText"/>
              <w:rPr>
                <w:lang w:val="en-NZ"/>
              </w:rPr>
            </w:pPr>
            <w:r w:rsidRPr="000377FF">
              <w:t>services</w:t>
            </w:r>
          </w:p>
        </w:tc>
      </w:tr>
      <w:tr w:rsidTr="003C66DE">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0377FF">
            <w:pPr>
              <w:pStyle w:val="BodyText"/>
              <w:rPr>
                <w:lang w:val="en-NZ"/>
              </w:rPr>
            </w:pPr>
            <w:r w:rsidRPr="000377FF">
              <w:rPr>
                <w:rStyle w:val="SpecialBold"/>
              </w:rPr>
              <w:t>Clients</w:t>
            </w:r>
            <w:r w:rsidRPr="000377FF">
              <w:t xml:space="preserve"> may include: </w:t>
            </w:r>
          </w:p>
        </w:tc>
        <w:tc>
          <w:tcPr>
            <w:tcW w:w="4500" w:type="dxa"/>
            <w:tcBorders>
              <w:top w:val="nil"/>
              <w:left w:val="nil"/>
              <w:bottom w:val="nil"/>
              <w:right w:val="nil"/>
            </w:tcBorders>
            <w:tcMar>
              <w:top w:w="0" w:type="dxa"/>
              <w:left w:w="62" w:type="dxa"/>
              <w:bottom w:w="0" w:type="dxa"/>
              <w:right w:w="62" w:type="dxa"/>
            </w:tcMar>
          </w:tcPr>
          <w:p w:rsidR="00000000" w:rsidRPr="000377FF" w:rsidP="000377FF">
            <w:pPr>
              <w:pStyle w:val="BodyText"/>
            </w:pPr>
            <w:r w:rsidRPr="000377FF">
              <w:t>consumers</w:t>
            </w:r>
          </w:p>
          <w:p w:rsidR="00000000" w:rsidRPr="000377FF" w:rsidP="000377FF">
            <w:pPr>
              <w:pStyle w:val="BodyText"/>
            </w:pPr>
            <w:r w:rsidRPr="000377FF">
              <w:t xml:space="preserve">customers </w:t>
            </w:r>
          </w:p>
          <w:p w:rsidR="00000000" w:rsidRPr="000377FF" w:rsidP="000377FF">
            <w:pPr>
              <w:pStyle w:val="BodyText"/>
            </w:pPr>
            <w:r w:rsidRPr="000377FF">
              <w:t>members</w:t>
            </w:r>
          </w:p>
          <w:p w:rsidR="00000000" w:rsidRPr="000377FF" w:rsidP="000377FF">
            <w:pPr>
              <w:pStyle w:val="BodyText"/>
            </w:pPr>
            <w:r w:rsidRPr="000377FF">
              <w:t>patients</w:t>
            </w:r>
          </w:p>
          <w:p w:rsidR="00000000" w:rsidRPr="000377FF" w:rsidP="000377FF">
            <w:pPr>
              <w:pStyle w:val="BodyText"/>
            </w:pPr>
            <w:r w:rsidRPr="000377FF">
              <w:t>members of other business units within an organisation</w:t>
            </w:r>
          </w:p>
          <w:p w:rsidR="00000000" w:rsidRPr="000377FF" w:rsidP="000377FF">
            <w:pPr>
              <w:pStyle w:val="BodyText"/>
            </w:pPr>
            <w:r w:rsidRPr="000377FF">
              <w:t xml:space="preserve">other work teams within an organisation </w:t>
            </w:r>
          </w:p>
          <w:p w:rsidR="00000000" w:rsidP="000377FF">
            <w:pPr>
              <w:pStyle w:val="BodyText"/>
              <w:rPr>
                <w:lang w:val="en-NZ"/>
              </w:rPr>
            </w:pPr>
            <w:r w:rsidRPr="000377FF">
              <w:t>person or organisation who receive</w:t>
            </w:r>
            <w:r w:rsidRPr="000377FF">
              <w:t>s or has the potential to receive products, services or ideas supplied by the organisation</w:t>
            </w:r>
          </w:p>
        </w:tc>
      </w:tr>
      <w:tr w:rsidTr="003C66DE">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0377FF">
            <w:pPr>
              <w:pStyle w:val="BodyText"/>
              <w:rPr>
                <w:lang w:val="en-NZ"/>
              </w:rPr>
            </w:pPr>
            <w:r w:rsidRPr="000377FF">
              <w:rPr>
                <w:rStyle w:val="SpecialBold"/>
              </w:rPr>
              <w:t>Buyer motives</w:t>
            </w:r>
            <w:r w:rsidRPr="000377FF">
              <w:t xml:space="preserve"> may include: </w:t>
            </w:r>
          </w:p>
        </w:tc>
        <w:tc>
          <w:tcPr>
            <w:tcW w:w="4500" w:type="dxa"/>
            <w:tcBorders>
              <w:top w:val="nil"/>
              <w:left w:val="nil"/>
              <w:bottom w:val="nil"/>
              <w:right w:val="nil"/>
            </w:tcBorders>
            <w:tcMar>
              <w:top w:w="0" w:type="dxa"/>
              <w:left w:w="62" w:type="dxa"/>
              <w:bottom w:w="0" w:type="dxa"/>
              <w:right w:w="62" w:type="dxa"/>
            </w:tcMar>
          </w:tcPr>
          <w:p w:rsidR="00000000" w:rsidRPr="000377FF" w:rsidP="000377FF">
            <w:pPr>
              <w:pStyle w:val="BodyText"/>
            </w:pPr>
            <w:r w:rsidRPr="000377FF">
              <w:t>browsing</w:t>
            </w:r>
          </w:p>
          <w:p w:rsidR="00000000" w:rsidRPr="000377FF" w:rsidP="000377FF">
            <w:pPr>
              <w:pStyle w:val="BodyText"/>
            </w:pPr>
            <w:r w:rsidRPr="000377FF">
              <w:t>buying for unqualified prospect e.g. dependant</w:t>
            </w:r>
          </w:p>
          <w:p w:rsidR="00000000" w:rsidRPr="000377FF" w:rsidP="000377FF">
            <w:pPr>
              <w:pStyle w:val="BodyText"/>
            </w:pPr>
            <w:r w:rsidRPr="000377FF">
              <w:t>gift</w:t>
            </w:r>
          </w:p>
          <w:p w:rsidR="00000000" w:rsidRPr="000377FF" w:rsidP="000377FF">
            <w:pPr>
              <w:pStyle w:val="BodyText"/>
            </w:pPr>
            <w:r w:rsidRPr="000377FF">
              <w:t>housekeeping</w:t>
            </w:r>
          </w:p>
          <w:p w:rsidR="00000000" w:rsidRPr="000377FF" w:rsidP="000377FF">
            <w:pPr>
              <w:pStyle w:val="BodyText"/>
            </w:pPr>
            <w:r w:rsidRPr="000377FF">
              <w:t>replacement item</w:t>
            </w:r>
          </w:p>
          <w:p w:rsidR="00000000" w:rsidRPr="000377FF" w:rsidP="000377FF">
            <w:pPr>
              <w:pStyle w:val="BodyText"/>
            </w:pPr>
            <w:r w:rsidRPr="000377FF">
              <w:t>self reward</w:t>
            </w:r>
          </w:p>
          <w:p w:rsidR="00000000" w:rsidRPr="000377FF" w:rsidP="000377FF">
            <w:pPr>
              <w:pStyle w:val="BodyText"/>
            </w:pPr>
            <w:r w:rsidRPr="000377FF">
              <w:t>self-gratification</w:t>
            </w:r>
          </w:p>
        </w:tc>
      </w:tr>
    </w:tbl>
    <w:p w:rsidR="00000000" w:rsidRPr="000377FF" w:rsidP="000377FF">
      <w:pPr>
        <w:pStyle w:val="BodyText"/>
      </w:pPr>
    </w:p>
    <w:p w:rsidR="00000000" w:rsidRPr="000377FF" w:rsidP="000377FF">
      <w:pPr>
        <w:pStyle w:val="AllowPageBreak"/>
      </w:pPr>
    </w:p>
    <w:p w:rsidR="00000000" w:rsidRPr="000377FF" w:rsidP="000377FF">
      <w:pPr>
        <w:pStyle w:val="Heading1"/>
      </w:pPr>
      <w:bookmarkStart w:id="12" w:name="O_312675"/>
      <w:bookmarkEnd w:id="12"/>
      <w:r w:rsidRPr="000377FF">
        <w:t>Unit Sector(s)</w:t>
      </w:r>
    </w:p>
    <w:p w:rsidR="00000000" w:rsidRPr="000377FF" w:rsidP="000377FF">
      <w:pPr>
        <w:pStyle w:val="BodyText"/>
      </w:pPr>
      <w:r w:rsidRPr="000377FF">
        <w:t>empty</w:t>
      </w:r>
    </w:p>
    <w:p w:rsidR="00000000" w:rsidRPr="000377FF" w:rsidP="000377FF">
      <w:pPr>
        <w:pStyle w:val="BodyText"/>
      </w:pPr>
      <w:r w:rsidRPr="000377FF">
        <w:t>empt</w:t>
      </w:r>
    </w:p>
    <w:p w:rsidR="00000000" w:rsidRPr="000377FF" w:rsidP="000377FF">
      <w:pPr>
        <w:pStyle w:val="AllowPageBreak"/>
      </w:pPr>
    </w:p>
    <w:p w:rsidR="00000000" w:rsidRPr="000377FF" w:rsidP="000377FF">
      <w:pPr>
        <w:pStyle w:val="Heading1"/>
      </w:pPr>
      <w:bookmarkStart w:id="13" w:name="O_312674"/>
      <w:bookmarkEnd w:id="13"/>
      <w:r w:rsidRPr="000377FF">
        <w:t>Competency field</w:t>
      </w:r>
    </w:p>
    <w:p w:rsidR="00000000" w:rsidRPr="000377FF" w:rsidP="000377FF">
      <w:pPr>
        <w:pStyle w:val="BodyText"/>
      </w:pPr>
      <w:r w:rsidRPr="000377FF">
        <w:t>Business Development - Sales</w:t>
      </w:r>
    </w:p>
    <w:p w:rsidR="00000000" w:rsidRPr="000377FF" w:rsidP="000377FF">
      <w:pPr>
        <w:pStyle w:val="BodyText"/>
      </w:pPr>
      <w:r w:rsidRPr="000377FF">
        <w:t>Business Development - Sales</w:t>
      </w:r>
    </w:p>
    <w:p w:rsidR="00000000" w:rsidRPr="000377FF" w:rsidP="000377FF"/>
    <w:sectPr w:rsidSect="000377FF">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3"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377FF">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377FF" w:rsidRPr="003C66DE" w:rsidP="003C66DE">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377FF">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C66DE" w:rsidP="000377FF">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6</w:t>
    </w:r>
    <w:r>
      <w:rPr>
        <w:noProof/>
      </w:rPr>
      <w:fldChar w:fldCharType="end"/>
    </w:r>
  </w:p>
  <w:p w:rsidR="003C66DE" w:rsidP="000377FF">
    <w:pPr>
      <w:pStyle w:val="Footer"/>
      <w:framePr w:wrap="around"/>
    </w:pPr>
    <w:r>
      <w:t xml:space="preserve">© Commonwealth of Australia, </w:t>
    </w:r>
    <w:r>
      <w:fldChar w:fldCharType="begin"/>
    </w:r>
    <w:r>
      <w:instrText xml:space="preserve"> DATE  \@ "yyyy"  \* MERGEFORMAT </w:instrText>
    </w:r>
    <w:r>
      <w:fldChar w:fldCharType="separate"/>
    </w:r>
    <w:r>
      <w:rPr>
        <w:noProof/>
      </w:rPr>
      <w:t>2016</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3C66DE" w:rsidP="000377FF">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377FF">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377FF" w:rsidRPr="003C66DE" w:rsidP="003C66DE">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3665" cy="10926445"/>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extLst>
                      <a:ext uri="{28A0092B-C50C-407E-A947-70E740481C1C}">
                        <a14:useLocalDpi xmlns:a14="http://schemas.microsoft.com/office/drawing/2010/main" val="0"/>
                      </a:ext>
                    </a:extLst>
                  </a:blip>
                  <a:stretch>
                    <a:fillRect/>
                  </a:stretch>
                </pic:blipFill>
                <pic:spPr>
                  <a:xfrm>
                    <a:off x="0" y="0"/>
                    <a:ext cx="7734031" cy="10926468"/>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377FF">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C66DE" w:rsidRPr="002D2AF8" w:rsidP="000377FF">
    <w:pPr>
      <w:pStyle w:val="Header"/>
      <w:framePr w:wrap="around"/>
    </w:pPr>
    <w:r>
      <w:fldChar w:fldCharType="begin"/>
    </w:r>
    <w:r>
      <w:instrText xml:space="preserve"> TITLE   \* MERGEFORMAT </w:instrText>
    </w:r>
    <w:r>
      <w:fldChar w:fldCharType="separate"/>
    </w:r>
    <w:r>
      <w:t>BSBSLS402A Identify sales prospects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22 August 2016</w:t>
    </w:r>
    <w:r>
      <w:fldChar w:fldCharType="end"/>
    </w:r>
  </w:p>
  <w:p w:rsidR="003C66DE" w:rsidP="000377FF">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7">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8">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9">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0">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1">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2">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4"/>
  </w:num>
  <w:num w:numId="2">
    <w:abstractNumId w:val="3"/>
  </w:num>
  <w:num w:numId="3">
    <w:abstractNumId w:val="2"/>
  </w:num>
  <w:num w:numId="4">
    <w:abstractNumId w:val="1"/>
  </w:num>
  <w:num w:numId="5">
    <w:abstractNumId w:val="0"/>
  </w:num>
  <w:num w:numId="6">
    <w:abstractNumId w:val="11"/>
  </w:num>
  <w:num w:numId="7">
    <w:abstractNumId w:val="8"/>
  </w:num>
  <w:num w:numId="8">
    <w:abstractNumId w:val="12"/>
  </w:num>
  <w:num w:numId="9">
    <w:abstractNumId w:val="10"/>
  </w:num>
  <w:num w:numId="10">
    <w:abstractNumId w:val="6"/>
  </w:num>
  <w:num w:numId="11">
    <w:abstractNumId w:val="9"/>
  </w:num>
  <w:num w:numId="12">
    <w:abstractNumId w:val="7"/>
  </w:num>
  <w:num w:numId="13">
    <w:abstractNumId w:val="5"/>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377FF"/>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0377FF"/>
    <w:pPr>
      <w:spacing w:before="360" w:after="60"/>
      <w:outlineLvl w:val="0"/>
    </w:pPr>
    <w:rPr>
      <w:sz w:val="32"/>
    </w:rPr>
  </w:style>
  <w:style w:type="paragraph" w:styleId="Heading2">
    <w:name w:val="heading 2"/>
    <w:basedOn w:val="HeadingBase"/>
    <w:next w:val="BodyText"/>
    <w:link w:val="Heading2Char"/>
    <w:qFormat/>
    <w:rsid w:val="000377FF"/>
    <w:pPr>
      <w:keepLines/>
      <w:spacing w:before="240" w:after="120"/>
      <w:outlineLvl w:val="1"/>
    </w:pPr>
    <w:rPr>
      <w:sz w:val="28"/>
      <w:szCs w:val="40"/>
    </w:rPr>
  </w:style>
  <w:style w:type="paragraph" w:styleId="Heading3">
    <w:name w:val="heading 3"/>
    <w:basedOn w:val="HeadingBase"/>
    <w:next w:val="BodyText"/>
    <w:link w:val="Heading3Char"/>
    <w:qFormat/>
    <w:rsid w:val="000377FF"/>
    <w:pPr>
      <w:spacing w:before="180" w:after="120"/>
      <w:outlineLvl w:val="2"/>
    </w:pPr>
    <w:rPr>
      <w:spacing w:val="-10"/>
      <w:kern w:val="32"/>
    </w:rPr>
  </w:style>
  <w:style w:type="paragraph" w:styleId="Heading4">
    <w:name w:val="heading 4"/>
    <w:basedOn w:val="HeadingBase"/>
    <w:next w:val="BodyText"/>
    <w:link w:val="Heading4Char"/>
    <w:qFormat/>
    <w:rsid w:val="000377FF"/>
    <w:pPr>
      <w:spacing w:before="160" w:after="120"/>
      <w:outlineLvl w:val="3"/>
    </w:pPr>
    <w:rPr>
      <w:sz w:val="22"/>
    </w:rPr>
  </w:style>
  <w:style w:type="paragraph" w:styleId="Heading5">
    <w:name w:val="heading 5"/>
    <w:basedOn w:val="HeadingBase"/>
    <w:next w:val="Normal"/>
    <w:link w:val="Heading5Char"/>
    <w:qFormat/>
    <w:rsid w:val="000377FF"/>
    <w:pPr>
      <w:spacing w:before="80"/>
      <w:outlineLvl w:val="4"/>
    </w:pPr>
    <w:rPr>
      <w:color w:val="918585"/>
      <w:sz w:val="20"/>
    </w:rPr>
  </w:style>
  <w:style w:type="paragraph" w:styleId="Heading6">
    <w:name w:val="heading 6"/>
    <w:basedOn w:val="HeadingBase"/>
    <w:next w:val="Normal"/>
    <w:link w:val="Heading6Char"/>
    <w:qFormat/>
    <w:rsid w:val="000377FF"/>
    <w:pPr>
      <w:spacing w:before="60"/>
      <w:outlineLvl w:val="5"/>
    </w:pPr>
    <w:rPr>
      <w:color w:val="918585"/>
      <w:sz w:val="20"/>
    </w:rPr>
  </w:style>
  <w:style w:type="paragraph" w:styleId="Heading7">
    <w:name w:val="heading 7"/>
    <w:basedOn w:val="Normal"/>
    <w:next w:val="Normal"/>
    <w:link w:val="Heading7Char"/>
    <w:qFormat/>
    <w:rsid w:val="000377FF"/>
    <w:pPr>
      <w:ind w:left="720"/>
      <w:outlineLvl w:val="6"/>
    </w:pPr>
    <w:rPr>
      <w:i/>
    </w:rPr>
  </w:style>
  <w:style w:type="paragraph" w:styleId="Heading8">
    <w:name w:val="heading 8"/>
    <w:basedOn w:val="Normal"/>
    <w:next w:val="Normal"/>
    <w:link w:val="Heading8Char"/>
    <w:qFormat/>
    <w:rsid w:val="000377FF"/>
    <w:pPr>
      <w:ind w:left="720"/>
      <w:outlineLvl w:val="7"/>
    </w:pPr>
    <w:rPr>
      <w:i/>
    </w:rPr>
  </w:style>
  <w:style w:type="paragraph" w:styleId="Heading9">
    <w:name w:val="heading 9"/>
    <w:basedOn w:val="Normal"/>
    <w:next w:val="Normal"/>
    <w:link w:val="Heading9Char"/>
    <w:qFormat/>
    <w:rsid w:val="000377FF"/>
    <w:pPr>
      <w:ind w:left="720"/>
      <w:outlineLvl w:val="8"/>
    </w:pPr>
    <w:rPr>
      <w:i/>
    </w:rPr>
  </w:style>
  <w:style w:type="character" w:default="1" w:styleId="DefaultParagraphFont">
    <w:name w:val="Default Paragraph Font"/>
    <w:uiPriority w:val="1"/>
    <w:unhideWhenUsed/>
    <w:rsid w:val="000377FF"/>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0377FF"/>
  </w:style>
  <w:style w:type="character" w:customStyle="1" w:styleId="Heading1Char">
    <w:name w:val="Heading 1 Char"/>
    <w:basedOn w:val="DefaultParagraphFont"/>
    <w:link w:val="Heading1"/>
    <w:rsid w:val="000377FF"/>
    <w:rPr>
      <w:rFonts w:ascii="Times New Roman" w:eastAsia="Times New Roman" w:hAnsi="Times New Roman" w:cs="Times New Roman"/>
      <w:b/>
      <w:sz w:val="32"/>
      <w:szCs w:val="20"/>
      <w:lang w:eastAsia="en-US"/>
    </w:rPr>
  </w:style>
  <w:style w:type="paragraph" w:styleId="BodyText">
    <w:name w:val="Body Text"/>
    <w:basedOn w:val="Normal"/>
    <w:link w:val="BodyTextChar"/>
    <w:rsid w:val="000377FF"/>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0377FF"/>
    <w:rPr>
      <w:rFonts w:ascii="Times New Roman" w:eastAsia="Times New Roman" w:hAnsi="Times New Roman" w:cs="Times New Roman"/>
      <w:sz w:val="24"/>
      <w:lang w:eastAsia="en-US"/>
    </w:rPr>
  </w:style>
  <w:style w:type="character" w:customStyle="1" w:styleId="SpecialBold">
    <w:name w:val="Special Bold"/>
    <w:basedOn w:val="DefaultParagraphFont"/>
    <w:rsid w:val="000377FF"/>
    <w:rPr>
      <w:b/>
      <w:spacing w:val="0"/>
    </w:rPr>
  </w:style>
  <w:style w:type="paragraph" w:customStyle="1" w:styleId="SuperHeading">
    <w:name w:val="SuperHeading"/>
    <w:basedOn w:val="Normal"/>
    <w:rsid w:val="000377FF"/>
    <w:pPr>
      <w:spacing w:before="240" w:after="120"/>
      <w:outlineLvl w:val="0"/>
    </w:pPr>
    <w:rPr>
      <w:rFonts w:ascii="Times New Roman" w:hAnsi="Times New Roman"/>
      <w:b/>
      <w:sz w:val="32"/>
    </w:rPr>
  </w:style>
  <w:style w:type="paragraph" w:customStyle="1" w:styleId="AllowPageBreak">
    <w:name w:val="AllowPageBreak"/>
    <w:rsid w:val="000377FF"/>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0377FF"/>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0377FF"/>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0377FF"/>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0377FF"/>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0377FF"/>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0377FF"/>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0377FF"/>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0377FF"/>
    <w:rPr>
      <w:rFonts w:ascii="Courier New" w:eastAsia="Times New Roman" w:hAnsi="Courier New" w:cs="Times New Roman"/>
      <w:i/>
      <w:szCs w:val="20"/>
      <w:lang w:eastAsia="en-US"/>
    </w:rPr>
  </w:style>
  <w:style w:type="paragraph" w:customStyle="1" w:styleId="HeadingBase">
    <w:name w:val="Heading Base"/>
    <w:rsid w:val="000377FF"/>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0377FF"/>
    <w:pPr>
      <w:tabs>
        <w:tab w:val="right" w:leader="dot" w:pos="9072"/>
      </w:tabs>
      <w:ind w:left="567"/>
    </w:pPr>
    <w:rPr>
      <w:szCs w:val="22"/>
    </w:rPr>
  </w:style>
  <w:style w:type="paragraph" w:customStyle="1" w:styleId="TOCBase">
    <w:name w:val="TOC Base"/>
    <w:rsid w:val="000377FF"/>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0377FF"/>
    <w:pPr>
      <w:tabs>
        <w:tab w:val="right" w:leader="dot" w:pos="9072"/>
      </w:tabs>
      <w:spacing w:before="40" w:after="40"/>
      <w:ind w:left="284"/>
    </w:pPr>
    <w:rPr>
      <w:rFonts w:ascii="Times New Roman" w:hAnsi="Times New Roman"/>
    </w:rPr>
  </w:style>
  <w:style w:type="paragraph" w:styleId="TOC1">
    <w:name w:val="toc 1"/>
    <w:basedOn w:val="TOCBase"/>
    <w:next w:val="Normal"/>
    <w:rsid w:val="000377FF"/>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0377FF"/>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0377FF"/>
    <w:rPr>
      <w:rFonts w:ascii="Times New Roman" w:eastAsia="Times New Roman" w:hAnsi="Times New Roman" w:cs="Times New Roman"/>
      <w:sz w:val="16"/>
      <w:lang w:eastAsia="en-US"/>
    </w:rPr>
  </w:style>
  <w:style w:type="paragraph" w:styleId="Title">
    <w:name w:val="Title"/>
    <w:basedOn w:val="HeadingBase"/>
    <w:link w:val="TitleChar"/>
    <w:qFormat/>
    <w:rsid w:val="000377FF"/>
    <w:pPr>
      <w:spacing w:before="5040"/>
      <w:jc w:val="center"/>
    </w:pPr>
    <w:rPr>
      <w:sz w:val="48"/>
      <w:szCs w:val="72"/>
      <w:lang w:val="en-US"/>
    </w:rPr>
  </w:style>
  <w:style w:type="character" w:customStyle="1" w:styleId="TitleChar">
    <w:name w:val="Title Char"/>
    <w:basedOn w:val="DefaultParagraphFont"/>
    <w:link w:val="Title"/>
    <w:rsid w:val="000377FF"/>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0377FF"/>
    <w:pPr>
      <w:tabs>
        <w:tab w:val="left" w:pos="3600"/>
        <w:tab w:val="left" w:pos="3958"/>
      </w:tabs>
    </w:pPr>
  </w:style>
  <w:style w:type="paragraph" w:styleId="List">
    <w:name w:val="List"/>
    <w:basedOn w:val="BodyText"/>
    <w:next w:val="BodyText"/>
    <w:rsid w:val="000377FF"/>
    <w:pPr>
      <w:tabs>
        <w:tab w:val="left" w:pos="340"/>
      </w:tabs>
      <w:spacing w:before="60" w:after="60"/>
      <w:ind w:left="340" w:hanging="340"/>
    </w:pPr>
  </w:style>
  <w:style w:type="paragraph" w:styleId="ListBullet">
    <w:name w:val="List Bullet"/>
    <w:basedOn w:val="List"/>
    <w:rsid w:val="000377FF"/>
    <w:pPr>
      <w:numPr>
        <w:numId w:val="11"/>
      </w:numPr>
      <w:tabs>
        <w:tab w:val="clear" w:pos="340"/>
      </w:tabs>
      <w:spacing w:before="40" w:after="40"/>
    </w:pPr>
  </w:style>
  <w:style w:type="paragraph" w:customStyle="1" w:styleId="Note">
    <w:name w:val="Note"/>
    <w:basedOn w:val="BodyText"/>
    <w:rsid w:val="000377FF"/>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0377FF"/>
    <w:pPr>
      <w:framePr w:wrap="auto" w:hAnchor="text" w:y="6049"/>
    </w:pPr>
    <w:rPr>
      <w:color w:val="000000"/>
      <w:sz w:val="40"/>
    </w:rPr>
  </w:style>
  <w:style w:type="paragraph" w:customStyle="1" w:styleId="TOCTitle">
    <w:name w:val="TOCTitle"/>
    <w:basedOn w:val="Heading1"/>
    <w:rsid w:val="000377FF"/>
    <w:pPr>
      <w:spacing w:after="240"/>
      <w:jc w:val="center"/>
      <w:outlineLvl w:val="9"/>
    </w:pPr>
    <w:rPr>
      <w:caps/>
    </w:rPr>
  </w:style>
  <w:style w:type="paragraph" w:customStyle="1" w:styleId="Version">
    <w:name w:val="Version"/>
    <w:rsid w:val="000377FF"/>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0377FF"/>
    <w:pPr>
      <w:numPr>
        <w:numId w:val="12"/>
      </w:numPr>
      <w:tabs>
        <w:tab w:val="clear" w:pos="680"/>
      </w:tabs>
    </w:pPr>
  </w:style>
  <w:style w:type="paragraph" w:styleId="Index1">
    <w:name w:val="index 1"/>
    <w:basedOn w:val="Normal"/>
    <w:next w:val="Normal"/>
    <w:semiHidden/>
    <w:rsid w:val="000377FF"/>
    <w:pPr>
      <w:keepNext w:val="0"/>
      <w:tabs>
        <w:tab w:val="right" w:pos="4176"/>
      </w:tabs>
      <w:ind w:left="198" w:hanging="198"/>
    </w:pPr>
    <w:rPr>
      <w:rFonts w:ascii="Garamond" w:hAnsi="Garamond"/>
    </w:rPr>
  </w:style>
  <w:style w:type="paragraph" w:styleId="IndexHeading">
    <w:name w:val="index heading"/>
    <w:basedOn w:val="Normal"/>
    <w:next w:val="Index1"/>
    <w:semiHidden/>
    <w:rsid w:val="000377FF"/>
    <w:pPr>
      <w:spacing w:before="120" w:after="120"/>
    </w:pPr>
    <w:rPr>
      <w:rFonts w:ascii="Arial" w:hAnsi="Arial"/>
      <w:b/>
      <w:color w:val="918585"/>
      <w:sz w:val="24"/>
    </w:rPr>
  </w:style>
  <w:style w:type="paragraph" w:styleId="Header">
    <w:name w:val="header"/>
    <w:basedOn w:val="Normal"/>
    <w:link w:val="HeaderChar"/>
    <w:rsid w:val="000377FF"/>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0377FF"/>
    <w:rPr>
      <w:rFonts w:ascii="Times New Roman" w:eastAsia="Times New Roman" w:hAnsi="Times New Roman" w:cs="Times New Roman"/>
      <w:sz w:val="16"/>
      <w:szCs w:val="20"/>
      <w:lang w:val="en-GB" w:eastAsia="en-US"/>
    </w:rPr>
  </w:style>
  <w:style w:type="paragraph" w:customStyle="1" w:styleId="Chapter">
    <w:name w:val="Chapter"/>
    <w:basedOn w:val="Normal"/>
    <w:rsid w:val="000377FF"/>
    <w:pPr>
      <w:spacing w:before="240"/>
    </w:pPr>
    <w:rPr>
      <w:rFonts w:ascii="Times New Roman" w:hAnsi="Times New Roman"/>
      <w:smallCaps/>
      <w:spacing w:val="80"/>
      <w:sz w:val="28"/>
    </w:rPr>
  </w:style>
  <w:style w:type="paragraph" w:customStyle="1" w:styleId="InChapter">
    <w:name w:val="InChapter"/>
    <w:basedOn w:val="Heading3"/>
    <w:rsid w:val="000377FF"/>
    <w:pPr>
      <w:spacing w:after="240"/>
      <w:outlineLvl w:val="9"/>
    </w:pPr>
    <w:rPr>
      <w:noProof/>
    </w:rPr>
  </w:style>
  <w:style w:type="paragraph" w:styleId="Index2">
    <w:name w:val="index 2"/>
    <w:basedOn w:val="Normal"/>
    <w:next w:val="Normal"/>
    <w:semiHidden/>
    <w:rsid w:val="000377FF"/>
    <w:pPr>
      <w:tabs>
        <w:tab w:val="right" w:pos="4176"/>
      </w:tabs>
      <w:ind w:left="568" w:hanging="284"/>
    </w:pPr>
    <w:rPr>
      <w:rFonts w:ascii="Garamond" w:hAnsi="Garamond"/>
    </w:rPr>
  </w:style>
  <w:style w:type="paragraph" w:customStyle="1" w:styleId="Byline">
    <w:name w:val="Byline"/>
    <w:rsid w:val="000377FF"/>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0377FF"/>
    <w:pPr>
      <w:tabs>
        <w:tab w:val="clear" w:pos="3600"/>
        <w:tab w:val="clear" w:pos="3958"/>
      </w:tabs>
      <w:jc w:val="right"/>
    </w:pPr>
  </w:style>
  <w:style w:type="character" w:styleId="Emphasis">
    <w:name w:val="Emphasis"/>
    <w:basedOn w:val="DefaultParagraphFont"/>
    <w:qFormat/>
    <w:rsid w:val="000377FF"/>
    <w:rPr>
      <w:i/>
    </w:rPr>
  </w:style>
  <w:style w:type="paragraph" w:styleId="Caption">
    <w:name w:val="caption"/>
    <w:basedOn w:val="BodyText"/>
    <w:next w:val="Normal"/>
    <w:qFormat/>
    <w:rsid w:val="000377FF"/>
    <w:pPr>
      <w:framePr w:w="2268" w:hSpace="181" w:vSpace="181" w:wrap="around" w:vAnchor="text" w:hAnchor="page" w:x="1135" w:y="285" w:anchorLock="1"/>
    </w:pPr>
    <w:rPr>
      <w:i/>
    </w:rPr>
  </w:style>
  <w:style w:type="paragraph" w:customStyle="1" w:styleId="MiniTOCTitle">
    <w:name w:val="MiniTOCTitle"/>
    <w:basedOn w:val="Heading4"/>
    <w:rsid w:val="000377FF"/>
    <w:pPr>
      <w:spacing w:before="240"/>
      <w:outlineLvl w:val="9"/>
    </w:pPr>
    <w:rPr>
      <w:noProof/>
      <w:sz w:val="24"/>
    </w:rPr>
  </w:style>
  <w:style w:type="paragraph" w:customStyle="1" w:styleId="MiniTOCItem">
    <w:name w:val="MiniTOCItem"/>
    <w:basedOn w:val="ListBullet"/>
    <w:rsid w:val="000377FF"/>
    <w:pPr>
      <w:numPr>
        <w:numId w:val="0"/>
      </w:numPr>
      <w:tabs>
        <w:tab w:val="right" w:leader="dot" w:pos="6521"/>
      </w:tabs>
      <w:spacing w:before="0" w:after="0"/>
    </w:pPr>
  </w:style>
  <w:style w:type="paragraph" w:customStyle="1" w:styleId="TOFTitle">
    <w:name w:val="TOFTitle"/>
    <w:basedOn w:val="TOCTitle"/>
    <w:rsid w:val="000377FF"/>
  </w:style>
  <w:style w:type="paragraph" w:styleId="TableofFigures">
    <w:name w:val="table of figures"/>
    <w:basedOn w:val="Normal"/>
    <w:next w:val="Normal"/>
    <w:semiHidden/>
    <w:rsid w:val="000377FF"/>
    <w:pPr>
      <w:tabs>
        <w:tab w:val="right" w:leader="dot" w:pos="9072"/>
      </w:tabs>
      <w:ind w:left="970" w:hanging="403"/>
    </w:pPr>
    <w:rPr>
      <w:rFonts w:ascii="Times New Roman" w:hAnsi="Times New Roman"/>
      <w:b/>
    </w:rPr>
  </w:style>
  <w:style w:type="paragraph" w:styleId="ListNumber">
    <w:name w:val="List Number"/>
    <w:basedOn w:val="List"/>
    <w:rsid w:val="000377FF"/>
    <w:pPr>
      <w:numPr>
        <w:numId w:val="9"/>
      </w:numPr>
    </w:pPr>
  </w:style>
  <w:style w:type="character" w:customStyle="1" w:styleId="WingdingSymbols">
    <w:name w:val="Wingding Symbols"/>
    <w:rsid w:val="000377FF"/>
    <w:rPr>
      <w:rFonts w:ascii="Wingdings" w:hAnsi="Wingdings"/>
    </w:rPr>
  </w:style>
  <w:style w:type="paragraph" w:customStyle="1" w:styleId="TableHeading">
    <w:name w:val="Table Heading"/>
    <w:basedOn w:val="HeadingBase"/>
    <w:rsid w:val="000377FF"/>
    <w:pPr>
      <w:keepLines/>
      <w:pBdr>
        <w:bottom w:val="single" w:sz="6" w:space="1" w:color="918585"/>
      </w:pBdr>
      <w:spacing w:before="240"/>
    </w:pPr>
  </w:style>
  <w:style w:type="character" w:customStyle="1" w:styleId="HotSpot">
    <w:name w:val="HotSpot"/>
    <w:rsid w:val="000377FF"/>
    <w:rPr>
      <w:color w:val="0033CC"/>
      <w:u w:val="none"/>
    </w:rPr>
  </w:style>
  <w:style w:type="paragraph" w:customStyle="1" w:styleId="BodyTextRight">
    <w:name w:val="Body Text Right"/>
    <w:basedOn w:val="BodyText"/>
    <w:rsid w:val="000377FF"/>
    <w:pPr>
      <w:spacing w:before="0" w:after="0"/>
      <w:jc w:val="right"/>
    </w:pPr>
  </w:style>
  <w:style w:type="paragraph" w:styleId="Index3">
    <w:name w:val="index 3"/>
    <w:basedOn w:val="ListNumber2"/>
    <w:next w:val="Normal"/>
    <w:semiHidden/>
    <w:rsid w:val="000377FF"/>
    <w:pPr>
      <w:numPr>
        <w:numId w:val="0"/>
      </w:numPr>
      <w:tabs>
        <w:tab w:val="right" w:leader="dot" w:pos="4176"/>
      </w:tabs>
    </w:pPr>
  </w:style>
  <w:style w:type="paragraph" w:styleId="ListNumber2">
    <w:name w:val="List Number 2"/>
    <w:basedOn w:val="List2"/>
    <w:rsid w:val="000377FF"/>
    <w:pPr>
      <w:numPr>
        <w:numId w:val="8"/>
      </w:numPr>
      <w:tabs>
        <w:tab w:val="clear" w:pos="1060"/>
      </w:tabs>
    </w:pPr>
  </w:style>
  <w:style w:type="paragraph" w:customStyle="1" w:styleId="MarginNote">
    <w:name w:val="Margin Note"/>
    <w:basedOn w:val="BodyText"/>
    <w:rsid w:val="000377FF"/>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0377FF"/>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0377FF"/>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0377FF"/>
    <w:rPr>
      <w:sz w:val="32"/>
    </w:rPr>
  </w:style>
  <w:style w:type="paragraph" w:customStyle="1" w:styleId="HeadingProcedure">
    <w:name w:val="Heading Procedure"/>
    <w:basedOn w:val="HeadingBase"/>
    <w:next w:val="Normal"/>
    <w:rsid w:val="000377FF"/>
    <w:pPr>
      <w:tabs>
        <w:tab w:val="left" w:pos="0"/>
      </w:tabs>
      <w:spacing w:before="120" w:after="60"/>
    </w:pPr>
    <w:rPr>
      <w:i/>
      <w:color w:val="918585"/>
      <w:sz w:val="22"/>
    </w:rPr>
  </w:style>
  <w:style w:type="paragraph" w:customStyle="1" w:styleId="TableBodyText">
    <w:name w:val="Table Body Text"/>
    <w:basedOn w:val="BodyText"/>
    <w:rsid w:val="000377FF"/>
    <w:pPr>
      <w:spacing w:before="60" w:after="60"/>
    </w:pPr>
  </w:style>
  <w:style w:type="paragraph" w:styleId="ListContinue">
    <w:name w:val="List Continue"/>
    <w:basedOn w:val="List"/>
    <w:rsid w:val="000377FF"/>
    <w:pPr>
      <w:ind w:firstLine="0"/>
    </w:pPr>
  </w:style>
  <w:style w:type="paragraph" w:customStyle="1" w:styleId="ListNote">
    <w:name w:val="List Note"/>
    <w:basedOn w:val="List"/>
    <w:rsid w:val="000377FF"/>
    <w:pPr>
      <w:pBdr>
        <w:top w:val="single" w:sz="6" w:space="2" w:color="918585"/>
        <w:bottom w:val="single" w:sz="6" w:space="2" w:color="918585"/>
      </w:pBdr>
      <w:tabs>
        <w:tab w:val="left" w:pos="1021"/>
      </w:tabs>
      <w:ind w:firstLine="0"/>
    </w:pPr>
  </w:style>
  <w:style w:type="paragraph" w:customStyle="1" w:styleId="Warning">
    <w:name w:val="Warning"/>
    <w:basedOn w:val="BodyText"/>
    <w:rsid w:val="000377FF"/>
    <w:pPr>
      <w:shd w:val="clear" w:color="auto" w:fill="D9D9D9"/>
      <w:tabs>
        <w:tab w:val="left" w:pos="992"/>
      </w:tabs>
      <w:ind w:left="119" w:right="119"/>
    </w:pPr>
    <w:rPr>
      <w:sz w:val="20"/>
    </w:rPr>
  </w:style>
  <w:style w:type="paragraph" w:customStyle="1" w:styleId="MarginIcons">
    <w:name w:val="Margin Icons"/>
    <w:basedOn w:val="BodyText"/>
    <w:rsid w:val="000377FF"/>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0377FF"/>
    <w:rPr>
      <w:rFonts w:ascii="Courier New" w:hAnsi="Courier New"/>
    </w:rPr>
  </w:style>
  <w:style w:type="paragraph" w:customStyle="1" w:styleId="NoteBullet">
    <w:name w:val="Note Bullet"/>
    <w:basedOn w:val="Note"/>
    <w:rsid w:val="000377FF"/>
    <w:pPr>
      <w:tabs>
        <w:tab w:val="clear" w:pos="680"/>
      </w:tabs>
      <w:spacing w:before="60" w:after="60"/>
    </w:pPr>
  </w:style>
  <w:style w:type="paragraph" w:customStyle="1" w:styleId="SubHeading2">
    <w:name w:val="SubHeading2"/>
    <w:basedOn w:val="HeadingBase"/>
    <w:rsid w:val="000377FF"/>
    <w:pPr>
      <w:spacing w:before="240" w:after="60"/>
    </w:pPr>
    <w:rPr>
      <w:sz w:val="20"/>
    </w:rPr>
  </w:style>
  <w:style w:type="paragraph" w:customStyle="1" w:styleId="SubHeading1">
    <w:name w:val="SubHeading1"/>
    <w:basedOn w:val="HeadingBase"/>
    <w:rsid w:val="000377FF"/>
    <w:pPr>
      <w:spacing w:before="240" w:after="60"/>
    </w:pPr>
    <w:rPr>
      <w:color w:val="918585"/>
      <w:sz w:val="22"/>
    </w:rPr>
  </w:style>
  <w:style w:type="paragraph" w:customStyle="1" w:styleId="SideHeading">
    <w:name w:val="Side Heading"/>
    <w:basedOn w:val="HeadingBase"/>
    <w:rsid w:val="000377FF"/>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0377FF"/>
    <w:pPr>
      <w:numPr>
        <w:numId w:val="10"/>
      </w:numPr>
    </w:pPr>
  </w:style>
  <w:style w:type="paragraph" w:styleId="PlainText">
    <w:name w:val="Plain Text"/>
    <w:basedOn w:val="Normal"/>
    <w:link w:val="PlainTextChar"/>
    <w:rsid w:val="000377FF"/>
    <w:rPr>
      <w:sz w:val="20"/>
    </w:rPr>
  </w:style>
  <w:style w:type="character" w:customStyle="1" w:styleId="PlainTextChar">
    <w:name w:val="Plain Text Char"/>
    <w:basedOn w:val="DefaultParagraphFont"/>
    <w:link w:val="PlainText"/>
    <w:rsid w:val="000377FF"/>
    <w:rPr>
      <w:rFonts w:ascii="Courier New" w:eastAsia="Times New Roman" w:hAnsi="Courier New" w:cs="Times New Roman"/>
      <w:sz w:val="20"/>
      <w:szCs w:val="20"/>
      <w:lang w:eastAsia="en-US"/>
    </w:rPr>
  </w:style>
  <w:style w:type="character" w:customStyle="1" w:styleId="MenuOption">
    <w:name w:val="Menu Option"/>
    <w:basedOn w:val="DefaultParagraphFont"/>
    <w:rsid w:val="000377FF"/>
    <w:rPr>
      <w:b/>
      <w:smallCaps/>
    </w:rPr>
  </w:style>
  <w:style w:type="paragraph" w:customStyle="1" w:styleId="TableListNumber">
    <w:name w:val="Table List Number"/>
    <w:basedOn w:val="ListNumber"/>
    <w:rsid w:val="000377FF"/>
    <w:pPr>
      <w:numPr>
        <w:numId w:val="0"/>
      </w:numPr>
    </w:pPr>
  </w:style>
  <w:style w:type="paragraph" w:styleId="TOC4">
    <w:name w:val="toc 4"/>
    <w:basedOn w:val="TOCBase"/>
    <w:next w:val="Normal"/>
    <w:semiHidden/>
    <w:rsid w:val="000377FF"/>
    <w:pPr>
      <w:tabs>
        <w:tab w:val="right" w:leader="dot" w:pos="9071"/>
      </w:tabs>
      <w:ind w:left="1701"/>
    </w:pPr>
  </w:style>
  <w:style w:type="paragraph" w:customStyle="1" w:styleId="ListAlpha">
    <w:name w:val="List Alpha"/>
    <w:basedOn w:val="List"/>
    <w:rsid w:val="000377FF"/>
    <w:pPr>
      <w:numPr>
        <w:numId w:val="7"/>
      </w:numPr>
    </w:pPr>
  </w:style>
  <w:style w:type="paragraph" w:customStyle="1" w:styleId="ListAlpha2">
    <w:name w:val="List Alpha 2"/>
    <w:basedOn w:val="List2"/>
    <w:rsid w:val="000377FF"/>
    <w:pPr>
      <w:numPr>
        <w:numId w:val="6"/>
      </w:numPr>
    </w:pPr>
  </w:style>
  <w:style w:type="paragraph" w:styleId="List2">
    <w:name w:val="List 2"/>
    <w:basedOn w:val="BodyText"/>
    <w:rsid w:val="000377FF"/>
    <w:pPr>
      <w:tabs>
        <w:tab w:val="left" w:pos="680"/>
      </w:tabs>
      <w:spacing w:before="60" w:after="60"/>
      <w:ind w:left="680" w:hanging="340"/>
    </w:pPr>
  </w:style>
  <w:style w:type="paragraph" w:styleId="List3">
    <w:name w:val="List 3"/>
    <w:basedOn w:val="BodyText"/>
    <w:rsid w:val="000377FF"/>
    <w:pPr>
      <w:tabs>
        <w:tab w:val="left" w:pos="1021"/>
      </w:tabs>
      <w:spacing w:before="60" w:after="60"/>
      <w:ind w:left="1020" w:hanging="340"/>
    </w:pPr>
  </w:style>
  <w:style w:type="paragraph" w:styleId="List4">
    <w:name w:val="List 4"/>
    <w:basedOn w:val="BodyText"/>
    <w:rsid w:val="000377FF"/>
    <w:pPr>
      <w:tabs>
        <w:tab w:val="left" w:pos="1361"/>
      </w:tabs>
      <w:spacing w:before="60" w:after="60"/>
      <w:ind w:left="1361" w:hanging="340"/>
    </w:pPr>
  </w:style>
  <w:style w:type="paragraph" w:styleId="List5">
    <w:name w:val="List 5"/>
    <w:basedOn w:val="BodyText"/>
    <w:rsid w:val="000377FF"/>
    <w:pPr>
      <w:tabs>
        <w:tab w:val="left" w:pos="1701"/>
      </w:tabs>
      <w:spacing w:before="60" w:after="60"/>
      <w:ind w:left="1701" w:hanging="340"/>
    </w:pPr>
  </w:style>
  <w:style w:type="paragraph" w:styleId="ListBullet3">
    <w:name w:val="List Bullet 3"/>
    <w:basedOn w:val="List3"/>
    <w:rsid w:val="000377FF"/>
    <w:pPr>
      <w:numPr>
        <w:numId w:val="13"/>
      </w:numPr>
      <w:tabs>
        <w:tab w:val="clear" w:pos="1021"/>
      </w:tabs>
      <w:ind w:left="1037" w:hanging="357"/>
    </w:pPr>
  </w:style>
  <w:style w:type="paragraph" w:styleId="ListBullet4">
    <w:name w:val="List Bullet 4"/>
    <w:basedOn w:val="List4"/>
    <w:rsid w:val="000377FF"/>
    <w:pPr>
      <w:numPr>
        <w:numId w:val="1"/>
      </w:numPr>
      <w:tabs>
        <w:tab w:val="clear" w:pos="1361"/>
      </w:tabs>
    </w:pPr>
  </w:style>
  <w:style w:type="paragraph" w:styleId="ListBullet5">
    <w:name w:val="List Bullet 5"/>
    <w:basedOn w:val="List5"/>
    <w:rsid w:val="000377FF"/>
    <w:pPr>
      <w:numPr>
        <w:numId w:val="2"/>
      </w:numPr>
    </w:pPr>
  </w:style>
  <w:style w:type="paragraph" w:styleId="ListContinue2">
    <w:name w:val="List Continue 2"/>
    <w:basedOn w:val="List2"/>
    <w:rsid w:val="000377FF"/>
    <w:pPr>
      <w:ind w:firstLine="0"/>
    </w:pPr>
  </w:style>
  <w:style w:type="paragraph" w:styleId="ListContinue3">
    <w:name w:val="List Continue 3"/>
    <w:basedOn w:val="List3"/>
    <w:rsid w:val="000377FF"/>
    <w:pPr>
      <w:ind w:left="1021" w:firstLine="0"/>
    </w:pPr>
  </w:style>
  <w:style w:type="paragraph" w:styleId="ListContinue4">
    <w:name w:val="List Continue 4"/>
    <w:basedOn w:val="List4"/>
    <w:rsid w:val="000377FF"/>
    <w:pPr>
      <w:ind w:firstLine="0"/>
    </w:pPr>
  </w:style>
  <w:style w:type="paragraph" w:styleId="ListContinue5">
    <w:name w:val="List Continue 5"/>
    <w:basedOn w:val="List5"/>
    <w:rsid w:val="000377FF"/>
    <w:pPr>
      <w:ind w:firstLine="0"/>
    </w:pPr>
  </w:style>
  <w:style w:type="paragraph" w:styleId="ListNumber3">
    <w:name w:val="List Number 3"/>
    <w:basedOn w:val="List3"/>
    <w:rsid w:val="000377FF"/>
    <w:pPr>
      <w:numPr>
        <w:numId w:val="3"/>
      </w:numPr>
    </w:pPr>
  </w:style>
  <w:style w:type="paragraph" w:styleId="ListNumber4">
    <w:name w:val="List Number 4"/>
    <w:basedOn w:val="List4"/>
    <w:rsid w:val="000377FF"/>
    <w:pPr>
      <w:numPr>
        <w:numId w:val="4"/>
      </w:numPr>
    </w:pPr>
  </w:style>
  <w:style w:type="paragraph" w:styleId="ListNumber5">
    <w:name w:val="List Number 5"/>
    <w:basedOn w:val="List5"/>
    <w:rsid w:val="000377FF"/>
    <w:pPr>
      <w:numPr>
        <w:numId w:val="5"/>
      </w:numPr>
    </w:pPr>
  </w:style>
  <w:style w:type="paragraph" w:styleId="BlockText">
    <w:name w:val="Block Text"/>
    <w:basedOn w:val="Normal"/>
    <w:rsid w:val="000377FF"/>
    <w:pPr>
      <w:spacing w:after="120"/>
      <w:ind w:left="1440" w:right="1440"/>
    </w:pPr>
  </w:style>
  <w:style w:type="character" w:customStyle="1" w:styleId="Subscript">
    <w:name w:val="Subscript"/>
    <w:basedOn w:val="DefaultParagraphFont"/>
    <w:rsid w:val="000377FF"/>
    <w:rPr>
      <w:sz w:val="16"/>
      <w:vertAlign w:val="subscript"/>
    </w:rPr>
  </w:style>
  <w:style w:type="character" w:customStyle="1" w:styleId="Superscript">
    <w:name w:val="Superscript"/>
    <w:basedOn w:val="DefaultParagraphFont"/>
    <w:rsid w:val="000377FF"/>
    <w:rPr>
      <w:sz w:val="16"/>
      <w:vertAlign w:val="superscript"/>
    </w:rPr>
  </w:style>
  <w:style w:type="character" w:customStyle="1" w:styleId="Symbols">
    <w:name w:val="Symbols"/>
    <w:basedOn w:val="DefaultParagraphFont"/>
    <w:rsid w:val="000377FF"/>
    <w:rPr>
      <w:rFonts w:ascii="Symbol" w:hAnsi="Symbol"/>
    </w:rPr>
  </w:style>
  <w:style w:type="character" w:customStyle="1" w:styleId="MenuOptions">
    <w:name w:val="Menu Options"/>
    <w:basedOn w:val="DefaultParagraphFont"/>
    <w:rsid w:val="000377FF"/>
    <w:rPr>
      <w:rFonts w:ascii="Arial Narrow" w:hAnsi="Arial Narrow"/>
      <w:smallCaps/>
    </w:rPr>
  </w:style>
  <w:style w:type="character" w:customStyle="1" w:styleId="Buttons">
    <w:name w:val="Buttons"/>
    <w:basedOn w:val="DefaultParagraphFont"/>
    <w:rsid w:val="000377FF"/>
    <w:rPr>
      <w:b/>
    </w:rPr>
  </w:style>
  <w:style w:type="character" w:customStyle="1" w:styleId="Underlined">
    <w:name w:val="Underlined"/>
    <w:basedOn w:val="DefaultParagraphFont"/>
    <w:rsid w:val="000377FF"/>
    <w:rPr>
      <w:u w:val="single"/>
    </w:rPr>
  </w:style>
  <w:style w:type="paragraph" w:customStyle="1" w:styleId="TableBodyTextRight">
    <w:name w:val="Table Body Text Right"/>
    <w:basedOn w:val="TableBodyText"/>
    <w:rsid w:val="000377FF"/>
    <w:pPr>
      <w:widowControl w:val="0"/>
      <w:autoSpaceDE w:val="0"/>
      <w:autoSpaceDN w:val="0"/>
      <w:adjustRightInd w:val="0"/>
      <w:jc w:val="right"/>
    </w:pPr>
    <w:rPr>
      <w:rFonts w:cs="Arial"/>
      <w:szCs w:val="18"/>
    </w:rPr>
  </w:style>
  <w:style w:type="paragraph" w:customStyle="1" w:styleId="CopyrightText">
    <w:name w:val="Copyright Text"/>
    <w:basedOn w:val="BodyText"/>
    <w:rsid w:val="000377FF"/>
    <w:rPr>
      <w:sz w:val="18"/>
    </w:rPr>
  </w:style>
  <w:style w:type="paragraph" w:customStyle="1" w:styleId="BodySmallRight">
    <w:name w:val="Body Small Right"/>
    <w:basedOn w:val="BodyTextRight"/>
    <w:rsid w:val="000377FF"/>
    <w:rPr>
      <w:sz w:val="18"/>
      <w:szCs w:val="18"/>
    </w:rPr>
  </w:style>
  <w:style w:type="paragraph" w:customStyle="1" w:styleId="MarginEdition">
    <w:name w:val="Margin Edition"/>
    <w:basedOn w:val="MarginNote"/>
    <w:rsid w:val="000377FF"/>
    <w:pPr>
      <w:spacing w:before="0" w:after="0"/>
    </w:pPr>
    <w:rPr>
      <w:rFonts w:ascii="Times New Roman" w:hAnsi="Times New Roman"/>
      <w:color w:val="999999"/>
    </w:rPr>
  </w:style>
  <w:style w:type="paragraph" w:customStyle="1" w:styleId="Spacer">
    <w:name w:val="Spacer"/>
    <w:basedOn w:val="Normal"/>
    <w:rsid w:val="000377FF"/>
    <w:rPr>
      <w:sz w:val="2"/>
      <w:szCs w:val="2"/>
    </w:rPr>
  </w:style>
  <w:style w:type="character" w:customStyle="1" w:styleId="Small">
    <w:name w:val="Small"/>
    <w:basedOn w:val="DefaultParagraphFont"/>
    <w:rsid w:val="000377FF"/>
    <w:rPr>
      <w:sz w:val="16"/>
    </w:rPr>
  </w:style>
  <w:style w:type="paragraph" w:customStyle="1" w:styleId="WideTable">
    <w:name w:val="Wide Table"/>
    <w:basedOn w:val="Normal"/>
    <w:rsid w:val="000377FF"/>
    <w:pPr>
      <w:ind w:left="-1418"/>
    </w:pPr>
    <w:rPr>
      <w:sz w:val="2"/>
      <w:szCs w:val="2"/>
    </w:rPr>
  </w:style>
  <w:style w:type="character" w:styleId="PageNumber">
    <w:name w:val="page number"/>
    <w:basedOn w:val="DefaultParagraphFont"/>
    <w:rsid w:val="000377FF"/>
  </w:style>
  <w:style w:type="paragraph" w:styleId="Quote">
    <w:name w:val="Quote"/>
    <w:basedOn w:val="Heading1"/>
    <w:link w:val="QuoteChar"/>
    <w:qFormat/>
    <w:rsid w:val="000377FF"/>
    <w:rPr>
      <w:b w:val="0"/>
      <w:sz w:val="72"/>
      <w:szCs w:val="72"/>
      <w:lang w:val="en-NZ"/>
    </w:rPr>
  </w:style>
  <w:style w:type="character" w:customStyle="1" w:styleId="QuoteChar">
    <w:name w:val="Quote Char"/>
    <w:basedOn w:val="DefaultParagraphFont"/>
    <w:link w:val="Quote"/>
    <w:rsid w:val="000377FF"/>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0377FF"/>
    <w:pPr>
      <w:pageBreakBefore/>
    </w:pPr>
  </w:style>
  <w:style w:type="paragraph" w:customStyle="1" w:styleId="Border">
    <w:name w:val="Border"/>
    <w:basedOn w:val="Normal"/>
    <w:qFormat/>
    <w:rsid w:val="000377FF"/>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0377FF"/>
    <w:rPr>
      <w:b/>
      <w:bCs/>
      <w:i/>
      <w:iCs/>
      <w:color w:val="auto"/>
    </w:rPr>
  </w:style>
  <w:style w:type="paragraph" w:styleId="IntenseQuote">
    <w:name w:val="Intense Quote"/>
    <w:basedOn w:val="Normal"/>
    <w:next w:val="Normal"/>
    <w:link w:val="IntenseQuoteChar"/>
    <w:uiPriority w:val="30"/>
    <w:qFormat/>
    <w:rsid w:val="000377FF"/>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0377FF"/>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0377FF"/>
    <w:rPr>
      <w:smallCaps/>
      <w:color w:val="auto"/>
      <w:u w:val="single"/>
    </w:rPr>
  </w:style>
  <w:style w:type="character" w:styleId="IntenseReference">
    <w:name w:val="Intense Reference"/>
    <w:basedOn w:val="DefaultParagraphFont"/>
    <w:uiPriority w:val="32"/>
    <w:qFormat/>
    <w:rsid w:val="000377FF"/>
    <w:rPr>
      <w:b/>
      <w:bCs/>
      <w:smallCaps/>
      <w:color w:val="auto"/>
      <w:spacing w:val="5"/>
      <w:u w:val="single"/>
    </w:rPr>
  </w:style>
  <w:style w:type="paragraph" w:customStyle="1" w:styleId="2ColumnHeading">
    <w:name w:val="2Column Heading"/>
    <w:basedOn w:val="BodyText"/>
    <w:qFormat/>
    <w:rsid w:val="000377FF"/>
    <w:pPr>
      <w:spacing w:after="60"/>
      <w:ind w:left="-2268"/>
    </w:pPr>
    <w:rPr>
      <w:b/>
    </w:rPr>
  </w:style>
  <w:style w:type="paragraph" w:customStyle="1" w:styleId="Heading1TOC">
    <w:name w:val="Heading1 TOC"/>
    <w:basedOn w:val="Normal"/>
    <w:qFormat/>
    <w:rsid w:val="000377FF"/>
    <w:pPr>
      <w:spacing w:before="240" w:after="120"/>
    </w:pPr>
    <w:rPr>
      <w:rFonts w:ascii="Times New Roman" w:hAnsi="Times New Roman"/>
      <w:b/>
      <w:sz w:val="32"/>
    </w:rPr>
  </w:style>
  <w:style w:type="paragraph" w:customStyle="1" w:styleId="Heading2TOC">
    <w:name w:val="Heading2 TOC"/>
    <w:basedOn w:val="Normal"/>
    <w:qFormat/>
    <w:rsid w:val="000377FF"/>
    <w:pPr>
      <w:spacing w:before="240" w:after="60"/>
    </w:pPr>
    <w:rPr>
      <w:rFonts w:ascii="Times New Roman" w:hAnsi="Times New Roman"/>
      <w:b/>
      <w:sz w:val="28"/>
    </w:rPr>
  </w:style>
  <w:style w:type="character" w:customStyle="1" w:styleId="Underline">
    <w:name w:val="Underline"/>
    <w:basedOn w:val="DefaultParagraphFont"/>
    <w:qFormat/>
    <w:rsid w:val="000377FF"/>
    <w:rPr>
      <w:u w:val="single"/>
    </w:rPr>
  </w:style>
  <w:style w:type="character" w:customStyle="1" w:styleId="BoldandItalics">
    <w:name w:val="Bold and Italics"/>
    <w:qFormat/>
    <w:rsid w:val="000377FF"/>
    <w:rPr>
      <w:b/>
      <w:i/>
      <w:u w:val="none"/>
    </w:rPr>
  </w:style>
  <w:style w:type="paragraph" w:styleId="BalloonText">
    <w:name w:val="Balloon Text"/>
    <w:basedOn w:val="Normal"/>
    <w:link w:val="BalloonTextChar"/>
    <w:rsid w:val="000377FF"/>
    <w:rPr>
      <w:rFonts w:ascii="Tahoma" w:hAnsi="Tahoma" w:cs="Tahoma"/>
      <w:sz w:val="16"/>
      <w:szCs w:val="16"/>
    </w:rPr>
  </w:style>
  <w:style w:type="character" w:customStyle="1" w:styleId="BalloonTextChar">
    <w:name w:val="Balloon Text Char"/>
    <w:basedOn w:val="DefaultParagraphFont"/>
    <w:link w:val="BalloonText"/>
    <w:rsid w:val="000377FF"/>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0377FF"/>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0377FF"/>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0377FF"/>
    <w:rPr>
      <w:b/>
      <w:color w:val="660033"/>
      <w:spacing w:val="0"/>
    </w:rPr>
  </w:style>
  <w:style w:type="paragraph" w:customStyle="1" w:styleId="Nameditemlist">
    <w:name w:val="Named item list"/>
    <w:basedOn w:val="BodyText"/>
    <w:qFormat/>
    <w:rsid w:val="000377FF"/>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jpe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6</Pages>
  <Words>1038</Words>
  <Characters>6402</Characters>
  <Application>Microsoft Office Word</Application>
  <DocSecurity>0</DocSecurity>
  <Lines>248</Lines>
  <Paragraphs>146</Paragraphs>
  <ScaleCrop>false</ScaleCrop>
  <Company>Author-it Software Corporation Ltd.</Company>
  <LinksUpToDate>false</LinksUpToDate>
  <CharactersWithSpaces>7334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BSBSLS402A Identify sales prospects</dc:title>
  <dc:subject>Approved</dc:subject>
  <dc:creator>Innovation and Business Skills Australia</dc:creator>
  <cp:keywords>Release: 1</cp:keywords>
  <dc:description>Review Date: 12 April 2008</dc:description>
  <cp:lastModifiedBy>HSD_TPCMSd.prod</cp:lastModifiedBy>
  <cp:revision>3</cp:revision>
  <dcterms:created xsi:type="dcterms:W3CDTF">2016-08-21T22:45:00Z</dcterms:created>
  <dcterms:modified xsi:type="dcterms:W3CDTF">2016-08-21T22:45:00Z</dcterms:modified>
</cp:coreProperties>
</file>