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DFE" w:rsidP="00BB4DFE">
      <w:pPr>
        <w:pStyle w:val="Title"/>
      </w:pPr>
      <w:r>
        <w:fldChar w:fldCharType="begin"/>
      </w:r>
      <w:r>
        <w:instrText xml:space="preserve"> TITLE   \* MERGEFORMAT </w:instrText>
      </w:r>
      <w:r>
        <w:fldChar w:fldCharType="separate"/>
      </w:r>
      <w:r>
        <w:t>BSBMGT502A Manage people performance</w:t>
      </w:r>
      <w:r>
        <w:fldChar w:fldCharType="end"/>
      </w:r>
    </w:p>
    <w:p w:rsidR="00BB4DFE" w:rsidP="00BB4DFE">
      <w:pPr>
        <w:pStyle w:val="Version"/>
        <w:sectPr w:rsidSect="002F0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FAC" w:rsidP="002F0FAC">
      <w:pPr>
        <w:pStyle w:val="SuperHeading"/>
      </w:pPr>
      <w:r w:rsidRPr="002F0FAC">
        <w:t>BSBMGT502A Manage people performance</w:t>
      </w:r>
    </w:p>
    <w:p w:rsidR="00000000" w:rsidRPr="002F0FAC" w:rsidP="002F0FAC">
      <w:pPr>
        <w:pStyle w:val="Heading1"/>
      </w:pPr>
      <w:bookmarkStart w:id="1" w:name="O_323380"/>
      <w:bookmarkEnd w:id="1"/>
      <w:r w:rsidRPr="002F0FAC">
        <w:t>Modification History</w:t>
      </w:r>
    </w:p>
    <w:p w:rsidR="00000000" w:rsidRPr="002F0FAC" w:rsidP="002F0FAC">
      <w:pPr>
        <w:pStyle w:val="BodyText"/>
      </w:pPr>
      <w:r w:rsidRPr="002F0FAC">
        <w:t>Not applicable.</w:t>
      </w:r>
    </w:p>
    <w:p w:rsidR="00000000" w:rsidRPr="002F0FAC" w:rsidP="002F0FAC">
      <w:pPr>
        <w:pStyle w:val="AllowPageBreak"/>
      </w:pPr>
    </w:p>
    <w:p w:rsidR="00000000" w:rsidRPr="002F0FAC" w:rsidP="002F0FAC">
      <w:pPr>
        <w:pStyle w:val="Heading1"/>
      </w:pPr>
      <w:bookmarkStart w:id="2" w:name="O_323379"/>
      <w:bookmarkEnd w:id="2"/>
      <w:r w:rsidRPr="002F0FAC">
        <w:t>Unit Descriptor</w:t>
      </w:r>
    </w:p>
    <w:p w:rsidR="00000000" w:rsidRPr="002F0FAC" w:rsidP="002F0FAC">
      <w:pPr>
        <w:pStyle w:val="BodyText"/>
      </w:pPr>
      <w:r w:rsidRPr="002F0FAC">
        <w:t>This unit covers the ability of managers to</w:t>
      </w:r>
      <w:r w:rsidRPr="002F0FAC">
        <w:t xml:space="preserve"> manage the performance of the staff who report to them directly. Development of </w:t>
      </w:r>
      <w:r w:rsidRPr="002F0FAC">
        <w:rPr>
          <w:rStyle w:val="SpecialBold"/>
        </w:rPr>
        <w:t>key result areas</w:t>
      </w:r>
      <w:r w:rsidRPr="002F0FAC">
        <w:t xml:space="preserve"> and </w:t>
      </w:r>
      <w:r w:rsidRPr="002F0FAC">
        <w:rPr>
          <w:rStyle w:val="SpecialBold"/>
        </w:rPr>
        <w:t>key performance indicators</w:t>
      </w:r>
      <w:r w:rsidRPr="002F0FAC">
        <w:t xml:space="preserve"> and standards, coupled with regular and timely coaching and feedback, provide the basis for performance management. It is a uni</w:t>
      </w:r>
      <w:r w:rsidRPr="002F0FAC">
        <w:t>t that all managers/prospective managers who have responsibility for other employees should strongly consider undertaking.</w:t>
      </w:r>
    </w:p>
    <w:p w:rsidR="00000000" w:rsidRPr="002F0FAC" w:rsidP="002F0FAC">
      <w:pPr>
        <w:pStyle w:val="BodyText"/>
      </w:pPr>
      <w:r w:rsidRPr="002F0FAC">
        <w:t xml:space="preserve">Consider co-assessment with BSBMGT604A Manage business operations. </w:t>
      </w:r>
    </w:p>
    <w:p w:rsidR="00000000" w:rsidRPr="002F0FAC" w:rsidP="002F0FAC">
      <w:pPr>
        <w:pStyle w:val="BodyText"/>
      </w:pPr>
      <w:r w:rsidRPr="002F0FAC">
        <w:t>This unit covers the ability of managers to manage the performanc</w:t>
      </w:r>
      <w:r w:rsidRPr="002F0FAC">
        <w:t xml:space="preserve">e of the staff who report to them directly. Development of </w:t>
      </w:r>
      <w:r w:rsidRPr="002F0FAC">
        <w:rPr>
          <w:rStyle w:val="SpecialBold"/>
        </w:rPr>
        <w:t>key result areas</w:t>
      </w:r>
      <w:r w:rsidRPr="002F0FAC">
        <w:t xml:space="preserve"> and </w:t>
      </w:r>
      <w:r w:rsidRPr="002F0FAC">
        <w:rPr>
          <w:rStyle w:val="SpecialBold"/>
        </w:rPr>
        <w:t>key performance indicators</w:t>
      </w:r>
      <w:r w:rsidRPr="002F0FAC">
        <w:t xml:space="preserve"> and standards, coupled with regular and timely coaching and feedback, provide the basis for performance management. It is a unit that all managers/pr</w:t>
      </w:r>
      <w:r w:rsidRPr="002F0FAC">
        <w:t>ospective managers who have responsibility for other employees should strongly consider undertaking.</w:t>
      </w:r>
    </w:p>
    <w:p w:rsidR="00000000" w:rsidRPr="002F0FAC" w:rsidP="002F0FAC">
      <w:pPr>
        <w:pStyle w:val="BodyText"/>
      </w:pPr>
      <w:r w:rsidRPr="002F0FAC">
        <w:t xml:space="preserve">Consider co-assessment with BSBMGT604A Manage business operations. </w:t>
      </w:r>
    </w:p>
    <w:p w:rsidR="00000000" w:rsidRPr="002F0FAC" w:rsidP="002F0FAC">
      <w:pPr>
        <w:pStyle w:val="AllowPageBreak"/>
      </w:pPr>
    </w:p>
    <w:p w:rsidR="00000000" w:rsidRPr="002F0FAC" w:rsidP="002F0FAC">
      <w:pPr>
        <w:pStyle w:val="Heading1"/>
      </w:pPr>
      <w:bookmarkStart w:id="3" w:name="O_323378"/>
      <w:bookmarkEnd w:id="3"/>
      <w:r w:rsidRPr="002F0FAC">
        <w:t>Application of the Unit</w:t>
      </w:r>
    </w:p>
    <w:p w:rsidR="00000000" w:rsidRPr="002F0FAC" w:rsidP="002F0FAC">
      <w:pPr>
        <w:pStyle w:val="BodyText"/>
      </w:pPr>
      <w:r w:rsidRPr="002F0FAC">
        <w:t>Not applicable.</w:t>
      </w:r>
    </w:p>
    <w:p w:rsidR="00000000" w:rsidRPr="002F0FAC" w:rsidP="002F0FAC">
      <w:pPr>
        <w:pStyle w:val="AllowPageBreak"/>
      </w:pPr>
    </w:p>
    <w:p w:rsidR="00000000" w:rsidRPr="002F0FAC" w:rsidP="002F0FAC">
      <w:pPr>
        <w:pStyle w:val="Heading1"/>
      </w:pPr>
      <w:bookmarkStart w:id="4" w:name="O_323377"/>
      <w:bookmarkEnd w:id="4"/>
      <w:r w:rsidRPr="002F0FAC">
        <w:t>Licensing/Reg</w:t>
      </w:r>
      <w:r w:rsidRPr="002F0FAC">
        <w:t>ulatory Information</w:t>
      </w:r>
    </w:p>
    <w:p w:rsidR="00000000" w:rsidRPr="002F0FAC" w:rsidP="002F0FAC">
      <w:pPr>
        <w:pStyle w:val="BodyText"/>
      </w:pPr>
      <w:r w:rsidRPr="002F0FAC">
        <w:t>Not applicable.</w:t>
      </w:r>
    </w:p>
    <w:p w:rsidR="00000000" w:rsidRPr="002F0FAC" w:rsidP="002F0FAC">
      <w:pPr>
        <w:pStyle w:val="AllowPageBreak"/>
      </w:pPr>
    </w:p>
    <w:p w:rsidR="00000000" w:rsidRPr="002F0FAC" w:rsidP="002F0FAC">
      <w:pPr>
        <w:pStyle w:val="Heading1"/>
      </w:pPr>
      <w:bookmarkStart w:id="5" w:name="O_323376"/>
      <w:bookmarkEnd w:id="5"/>
      <w:r w:rsidRPr="002F0FAC">
        <w:t>Pre-Requisites</w:t>
      </w:r>
    </w:p>
    <w:p w:rsidR="00000000" w:rsidRPr="002F0FAC" w:rsidP="002F0FAC">
      <w:pPr>
        <w:pStyle w:val="BodyText"/>
      </w:pPr>
      <w:r w:rsidRPr="002F0FAC">
        <w:t>Not applicable.</w:t>
      </w:r>
    </w:p>
    <w:p w:rsidR="00000000" w:rsidRPr="002F0FAC" w:rsidP="002F0FAC">
      <w:pPr>
        <w:pStyle w:val="AllowPageBreak"/>
      </w:pPr>
    </w:p>
    <w:p w:rsidR="00000000" w:rsidRPr="002F0FAC" w:rsidP="002F0FAC">
      <w:pPr>
        <w:pStyle w:val="Heading1"/>
      </w:pPr>
      <w:bookmarkStart w:id="6" w:name="O_323370"/>
      <w:bookmarkEnd w:id="6"/>
      <w:r w:rsidRPr="002F0FAC">
        <w:t>Employability Skills Information</w:t>
      </w:r>
    </w:p>
    <w:p w:rsidR="00000000" w:rsidRPr="002F0FAC" w:rsidP="002F0FAC">
      <w:pPr>
        <w:pStyle w:val="BodyText"/>
      </w:pPr>
      <w:r w:rsidRPr="002F0FAC">
        <w:t>Not applicable.</w:t>
      </w:r>
    </w:p>
    <w:p w:rsidR="00000000" w:rsidRPr="002F0FAC" w:rsidP="002F0FAC">
      <w:pPr>
        <w:pStyle w:val="AllowPageBreak"/>
      </w:pPr>
    </w:p>
    <w:p w:rsidR="00000000" w:rsidRPr="002F0FAC" w:rsidP="002F0FAC">
      <w:pPr>
        <w:pStyle w:val="Heading1"/>
      </w:pPr>
      <w:bookmarkStart w:id="7" w:name="O_323374"/>
      <w:bookmarkEnd w:id="7"/>
      <w:r w:rsidRPr="002F0FAC">
        <w:t>Elements and Performance Criteria Pre-Content</w:t>
      </w:r>
    </w:p>
    <w:p w:rsidR="00000000" w:rsidRPr="002F0FAC" w:rsidP="002F0FAC">
      <w:pPr>
        <w:pStyle w:val="BodyText"/>
      </w:pPr>
      <w:r w:rsidRPr="002F0FAC">
        <w:t>Not applicable.</w:t>
      </w:r>
    </w:p>
    <w:p w:rsidR="00000000" w:rsidRPr="002F0FAC" w:rsidP="002F0FAC">
      <w:pPr>
        <w:pStyle w:val="AllowPageBreak"/>
      </w:pPr>
    </w:p>
    <w:p w:rsidR="00000000" w:rsidRPr="002F0FAC" w:rsidP="002F0FAC">
      <w:pPr>
        <w:pStyle w:val="Heading1"/>
      </w:pPr>
      <w:bookmarkStart w:id="8" w:name="O_323381"/>
      <w:bookmarkEnd w:id="8"/>
      <w:r w:rsidRPr="002F0FA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B4DF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rPr>
                <w:rStyle w:val="SpecialBold"/>
              </w:rPr>
              <w:t>Elements and Performance Criteria</w:t>
            </w:r>
          </w:p>
        </w:tc>
      </w:tr>
      <w:tr w:rsidTr="00BB4DF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F0FAC" w:rsidP="002F0FAC">
            <w:pPr>
              <w:pStyle w:val="BodyText"/>
            </w:pPr>
            <w:r w:rsidRPr="002F0FA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rPr>
                <w:rStyle w:val="SpecialBold"/>
              </w:rPr>
              <w:t>Performance Criteria</w:t>
            </w:r>
          </w:p>
        </w:tc>
      </w:tr>
      <w:tr w:rsidTr="00BB4D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1</w:t>
            </w:r>
          </w:p>
        </w:tc>
        <w:tc>
          <w:tcPr>
            <w:tcW w:w="3000" w:type="dxa"/>
            <w:vMerge w:val="restart"/>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Allocate work</w:t>
            </w: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1.1</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Relevant groups and individuals are consulted on work to be allocated and resources to be deployed</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1.2</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Work is allocated in accordance with operational plans</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1.3</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Allocation of work is cost effective and appropriate in terms of the use of internal/external labour</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1.4</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Performance standards, Code of Conduct and work outputs and processes are confirmed prior to commencement</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1.5</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Performance indicators are developed for key result areas and are agreed prior to commencement of work</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1.6</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Risk analyses are undertaken in a</w:t>
            </w:r>
            <w:r w:rsidRPr="002F0FAC">
              <w:t>ccordance with the organisational risk management plan and legal requirements</w:t>
            </w:r>
          </w:p>
        </w:tc>
      </w:tr>
      <w:tr w:rsidTr="00BB4D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2</w:t>
            </w:r>
          </w:p>
        </w:tc>
        <w:tc>
          <w:tcPr>
            <w:tcW w:w="3000" w:type="dxa"/>
            <w:vMerge w:val="restart"/>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Assess performance</w:t>
            </w: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2.1</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Performance management and review processes are designed to be consistent with organisational objectives and policies</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2.2</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Participants in the performance management and review process are trained</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2.3</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Performance management processes are implemented in accordance with planning and timelines</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2.4</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Performance is monitored and evaluated on a continuous basis</w:t>
            </w:r>
          </w:p>
        </w:tc>
      </w:tr>
      <w:tr w:rsidTr="00BB4D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3</w:t>
            </w:r>
          </w:p>
        </w:tc>
        <w:tc>
          <w:tcPr>
            <w:tcW w:w="3000" w:type="dxa"/>
            <w:vMerge w:val="restart"/>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Provide feedback</w:t>
            </w: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3.1</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Informal feedback is given in a regular, timely manner</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3.2</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Poor performance is identified promptly and brought to the attention of the appropriate person</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3.3</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On-the-job coaching is provided when necessary, both to improve performance and confirm excellence in performance</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3.4</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Documentation of performance is in accordance with the performance management system</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3.5</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Formal structured feedback sessions occur a</w:t>
            </w:r>
            <w:r w:rsidRPr="002F0FAC">
              <w:t>s necessary and in accordance with organisational policy</w:t>
            </w:r>
          </w:p>
        </w:tc>
      </w:tr>
      <w:tr w:rsidTr="00BB4D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w:t>
            </w:r>
          </w:p>
        </w:tc>
        <w:tc>
          <w:tcPr>
            <w:tcW w:w="3000" w:type="dxa"/>
            <w:vMerge w:val="restart"/>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Manage follow-up</w:t>
            </w: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4.1</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Performance improvement and development plans are developed in accordance with organisational policies</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4.2</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Assistance is sought from human resource specialists where appropriate</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4.3</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Excellence in performance is reinforced through recognition and continuous feedback</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4.4</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Individuals not meeting expectations are provided with the necessary coaching and re-tr</w:t>
            </w:r>
            <w:r w:rsidRPr="002F0FAC">
              <w:t>aining and monitored closely</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4.5</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Support services are provided to meet individual needs and circumstances</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4.6</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Individuals who continue to perform below expectations are counselled and, where necessary, placed within the disciplinary process</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4.7</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Terminations occur where serious misconduct or on-going under-performance occurs</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4.8</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Terminations are in accordance with organisational and legal requirements</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4.9</w:t>
            </w:r>
          </w:p>
        </w:tc>
        <w:tc>
          <w:tcPr>
            <w:tcW w:w="51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Performance feedback systems are evaluated regularly and revised as necessary</w:t>
            </w:r>
          </w:p>
        </w:tc>
      </w:tr>
      <w:tr w:rsidTr="00BB4D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0FAC">
            <w:pPr>
              <w:pStyle w:val="BodyText"/>
              <w:rPr>
                <w:lang w:val="en-NZ"/>
              </w:rPr>
            </w:pPr>
            <w:r w:rsidRPr="002F0FAC">
              <w:t>4.10</w:t>
            </w:r>
          </w:p>
        </w:tc>
        <w:tc>
          <w:tcPr>
            <w:tcW w:w="5100" w:type="dxa"/>
            <w:tcBorders>
              <w:top w:val="nil"/>
              <w:left w:val="nil"/>
              <w:bottom w:val="nil"/>
              <w:right w:val="nil"/>
            </w:tcBorders>
            <w:tcMar>
              <w:top w:w="0" w:type="dxa"/>
              <w:left w:w="62" w:type="dxa"/>
              <w:bottom w:w="0" w:type="dxa"/>
              <w:right w:w="62" w:type="dxa"/>
            </w:tcMar>
          </w:tcPr>
          <w:p w:rsidR="00000000" w:rsidRPr="002F0FAC" w:rsidP="002F0FAC">
            <w:pPr>
              <w:pStyle w:val="BodyText"/>
            </w:pPr>
            <w:r w:rsidRPr="002F0FAC">
              <w:t>Selection, induction and training systems are evaluated regularly and improved</w:t>
            </w:r>
          </w:p>
        </w:tc>
      </w:tr>
    </w:tbl>
    <w:p w:rsidR="00000000" w:rsidRPr="002F0FAC" w:rsidP="002F0FAC">
      <w:pPr>
        <w:pStyle w:val="BodyText"/>
      </w:pPr>
    </w:p>
    <w:p w:rsidR="00000000" w:rsidRPr="002F0FAC" w:rsidP="002F0FAC">
      <w:pPr>
        <w:pStyle w:val="AllowPageBreak"/>
      </w:pPr>
    </w:p>
    <w:p w:rsidR="00000000" w:rsidRPr="002F0FAC" w:rsidP="002F0FAC">
      <w:pPr>
        <w:pStyle w:val="Heading1"/>
      </w:pPr>
      <w:bookmarkStart w:id="9" w:name="O_323373"/>
      <w:bookmarkEnd w:id="9"/>
      <w:r w:rsidRPr="002F0FAC">
        <w:t>Required Skills and Knowledge</w:t>
      </w:r>
    </w:p>
    <w:p w:rsidR="00000000" w:rsidRPr="002F0FAC" w:rsidP="002F0FAC">
      <w:pPr>
        <w:pStyle w:val="BodyText"/>
      </w:pPr>
      <w:r w:rsidRPr="002F0FAC">
        <w:t>Not applicable.</w:t>
      </w:r>
    </w:p>
    <w:p w:rsidR="00000000" w:rsidRPr="002F0FAC" w:rsidP="002F0FAC">
      <w:pPr>
        <w:pStyle w:val="AllowPageBreak"/>
      </w:pPr>
    </w:p>
    <w:p w:rsidR="00000000" w:rsidRPr="002F0FAC" w:rsidP="002F0FAC">
      <w:pPr>
        <w:pStyle w:val="Heading1"/>
      </w:pPr>
      <w:bookmarkStart w:id="10" w:name="O_323372"/>
      <w:bookmarkEnd w:id="10"/>
      <w:r w:rsidRPr="002F0FAC">
        <w:t>Evidence Guide</w:t>
      </w:r>
    </w:p>
    <w:p w:rsidR="00000000" w:rsidRPr="002F0FAC" w:rsidP="002F0FAC">
      <w:pPr>
        <w:pStyle w:val="BodyText"/>
      </w:pPr>
      <w:r w:rsidRPr="002F0FAC">
        <w:t>The Evidence Guide identifies the critical aspects, knowledge and skills to be d</w:t>
      </w:r>
      <w:r w:rsidRPr="002F0FAC">
        <w:t>emonstrated to confirm competence for this unit. This is an integral part of the assessment of competence and should be read in conjunction with the Range Statement.</w:t>
      </w:r>
    </w:p>
    <w:p w:rsidR="00000000" w:rsidRPr="002F0FAC" w:rsidP="002F0FAC">
      <w:pPr>
        <w:pStyle w:val="BodyText"/>
      </w:pPr>
      <w:r w:rsidRPr="002F0FAC">
        <w:rPr>
          <w:rStyle w:val="SpecialBold"/>
        </w:rPr>
        <w:t>Critical Aspects of Evidence</w:t>
      </w:r>
    </w:p>
    <w:p w:rsidR="00000000" w:rsidRPr="002F0FAC" w:rsidP="002F0FAC">
      <w:pPr>
        <w:pStyle w:val="BodyText"/>
      </w:pPr>
      <w:r w:rsidRPr="002F0FAC">
        <w:t>Direct evidence of the performance management processes being</w:t>
      </w:r>
      <w:r w:rsidRPr="002F0FAC">
        <w:t xml:space="preserve"> undertaken is essential in the assessment of this unit, including the linking of performance indictors to the allocation of work and assessment of performance against performance standards </w:t>
      </w:r>
    </w:p>
    <w:p w:rsidR="00000000" w:rsidRPr="002F0FAC" w:rsidP="002F0FAC">
      <w:pPr>
        <w:pStyle w:val="BodyText"/>
      </w:pPr>
      <w:r w:rsidRPr="002F0FAC">
        <w:t>Workplace coaching (informal feedback) coupled with formal perfor</w:t>
      </w:r>
      <w:r w:rsidRPr="002F0FAC">
        <w:t>mance feedback, resulting in performance improvement</w:t>
      </w:r>
    </w:p>
    <w:p w:rsidR="00000000" w:rsidRPr="002F0FAC" w:rsidP="002F0FAC">
      <w:pPr>
        <w:pStyle w:val="BodyText"/>
      </w:pPr>
      <w:r w:rsidRPr="002F0FAC">
        <w:rPr>
          <w:rStyle w:val="SpecialBold"/>
        </w:rPr>
        <w:t>OHS considerations may include</w:t>
      </w:r>
      <w:r w:rsidRPr="002F0FAC">
        <w:t>:</w:t>
      </w:r>
    </w:p>
    <w:p w:rsidR="00000000" w:rsidRPr="002F0FAC" w:rsidP="002F0FAC">
      <w:pPr>
        <w:pStyle w:val="BodyText"/>
      </w:pPr>
      <w:r w:rsidRPr="002F0FAC">
        <w:t xml:space="preserve">establishment and maintenance of OHS training, records, induction processes </w:t>
      </w:r>
    </w:p>
    <w:p w:rsidR="00000000" w:rsidRPr="002F0FAC" w:rsidP="002F0FAC">
      <w:pPr>
        <w:pStyle w:val="BodyText"/>
      </w:pPr>
      <w:r w:rsidRPr="002F0FAC">
        <w:t>performance against OHS legislation and organisation's OHS system, especially policies, procedures and work instructions</w:t>
      </w:r>
    </w:p>
    <w:p w:rsidR="00000000" w:rsidRPr="002F0FAC" w:rsidP="002F0FAC">
      <w:pPr>
        <w:pStyle w:val="BodyText"/>
      </w:pPr>
      <w:r w:rsidRPr="002F0FAC">
        <w:rPr>
          <w:rStyle w:val="SpecialBold"/>
        </w:rPr>
        <w:t>Underpinning Knowledge</w:t>
      </w:r>
      <w:r w:rsidRPr="002F0FAC">
        <w:t>*</w:t>
      </w:r>
    </w:p>
    <w:p w:rsidR="00000000" w:rsidRPr="002F0FAC" w:rsidP="002F0FAC">
      <w:pPr>
        <w:pStyle w:val="BodyText"/>
      </w:pPr>
      <w:r w:rsidRPr="002F0FAC">
        <w:t xml:space="preserve">* At this level the learner must demonstrate understanding of a broad knowledge base incorporating theoretical </w:t>
      </w:r>
      <w:r w:rsidRPr="002F0FAC">
        <w:t>concepts, with substantial depth in some areas.</w:t>
      </w:r>
    </w:p>
    <w:p w:rsidR="00000000" w:rsidRPr="002F0FAC" w:rsidP="002F0FAC">
      <w:pPr>
        <w:pStyle w:val="BodyText"/>
      </w:pPr>
      <w:r w:rsidRPr="002F0FAC">
        <w:t>Relevant legislation from all levels of government that affects business operation, especially in regard to Occupational Health and Safety and environmental issues, equal opportunity, industrial relations and</w:t>
      </w:r>
      <w:r w:rsidRPr="002F0FAC">
        <w:t xml:space="preserve"> anti-discrimination </w:t>
      </w:r>
    </w:p>
    <w:p w:rsidR="00000000" w:rsidRPr="002F0FAC" w:rsidP="002F0FAC">
      <w:pPr>
        <w:pStyle w:val="BodyText"/>
      </w:pPr>
      <w:r w:rsidRPr="002F0FAC">
        <w:t xml:space="preserve">Relevant awards and certified agreements </w:t>
      </w:r>
    </w:p>
    <w:p w:rsidR="00000000" w:rsidRPr="002F0FAC" w:rsidP="002F0FAC">
      <w:pPr>
        <w:pStyle w:val="BodyText"/>
      </w:pPr>
      <w:r w:rsidRPr="002F0FAC">
        <w:t xml:space="preserve">Performance measurement systems utilised within the organisation </w:t>
      </w:r>
    </w:p>
    <w:p w:rsidR="00000000" w:rsidRPr="002F0FAC" w:rsidP="002F0FAC">
      <w:pPr>
        <w:pStyle w:val="BodyText"/>
      </w:pPr>
      <w:r w:rsidRPr="002F0FAC">
        <w:t xml:space="preserve">Key result areas of the organisation </w:t>
      </w:r>
    </w:p>
    <w:p w:rsidR="00000000" w:rsidRPr="002F0FAC" w:rsidP="002F0FAC">
      <w:pPr>
        <w:pStyle w:val="BodyText"/>
      </w:pPr>
      <w:r w:rsidRPr="002F0FAC">
        <w:t xml:space="preserve">Human resource specialist assistance available </w:t>
      </w:r>
    </w:p>
    <w:p w:rsidR="00000000" w:rsidRPr="002F0FAC" w:rsidP="002F0FAC">
      <w:pPr>
        <w:pStyle w:val="BodyText"/>
      </w:pPr>
      <w:r w:rsidRPr="002F0FAC">
        <w:t>Organisational plans and objectives (str</w:t>
      </w:r>
      <w:r w:rsidRPr="002F0FAC">
        <w:t xml:space="preserve">ategic, tactical and operational) </w:t>
      </w:r>
    </w:p>
    <w:p w:rsidR="00000000" w:rsidRPr="002F0FAC" w:rsidP="002F0FAC">
      <w:pPr>
        <w:pStyle w:val="BodyText"/>
      </w:pPr>
      <w:r w:rsidRPr="002F0FAC">
        <w:t xml:space="preserve">Human resource planning </w:t>
      </w:r>
    </w:p>
    <w:p w:rsidR="00000000" w:rsidRPr="002F0FAC" w:rsidP="002F0FAC">
      <w:pPr>
        <w:pStyle w:val="BodyText"/>
      </w:pPr>
      <w:r w:rsidRPr="002F0FAC">
        <w:t xml:space="preserve">All legislation relevant to the organisation which impacts on people performance (including EEO and anti discrimination laws) </w:t>
      </w:r>
    </w:p>
    <w:p w:rsidR="00000000" w:rsidRPr="002F0FAC" w:rsidP="002F0FAC">
      <w:pPr>
        <w:pStyle w:val="BodyText"/>
      </w:pPr>
      <w:r w:rsidRPr="002F0FAC">
        <w:t>Organisational support services for employees (external and internal)</w:t>
      </w:r>
      <w:r w:rsidRPr="002F0FAC">
        <w:t xml:space="preserve"> </w:t>
      </w:r>
    </w:p>
    <w:p w:rsidR="00000000" w:rsidRPr="002F0FAC" w:rsidP="002F0FAC">
      <w:pPr>
        <w:pStyle w:val="BodyText"/>
      </w:pPr>
      <w:r w:rsidRPr="002F0FAC">
        <w:t xml:space="preserve">Unfair dismissal rules and due process </w:t>
      </w:r>
    </w:p>
    <w:p w:rsidR="00000000" w:rsidRPr="002F0FAC" w:rsidP="002F0FAC">
      <w:pPr>
        <w:pStyle w:val="BodyText"/>
      </w:pPr>
      <w:r w:rsidRPr="002F0FAC">
        <w:t>Staff development strategies</w:t>
      </w:r>
    </w:p>
    <w:p w:rsidR="00000000" w:rsidRPr="002F0FAC" w:rsidP="002F0FAC">
      <w:pPr>
        <w:pStyle w:val="BodyText"/>
      </w:pPr>
      <w:r w:rsidRPr="002F0FAC">
        <w:rPr>
          <w:rStyle w:val="SpecialBold"/>
        </w:rPr>
        <w:t>Underpinning Skills</w:t>
      </w:r>
    </w:p>
    <w:p w:rsidR="00000000" w:rsidRPr="002F0FAC" w:rsidP="002F0FAC">
      <w:pPr>
        <w:pStyle w:val="BodyText"/>
      </w:pPr>
      <w:r w:rsidRPr="002F0FAC">
        <w:t xml:space="preserve">Communication/consultation skills to ensure all relevant groups and individuals are advised of what is occurring and are provided with an opportunity for input </w:t>
      </w:r>
    </w:p>
    <w:p w:rsidR="00000000" w:rsidRPr="002F0FAC" w:rsidP="002F0FAC">
      <w:pPr>
        <w:pStyle w:val="BodyText"/>
      </w:pPr>
      <w:r w:rsidRPr="002F0FAC">
        <w:t>Perf</w:t>
      </w:r>
      <w:r w:rsidRPr="002F0FAC">
        <w:t xml:space="preserve">ormance measurement skills to develop and manage key performance indicators </w:t>
      </w:r>
    </w:p>
    <w:p w:rsidR="00000000" w:rsidRPr="002F0FAC" w:rsidP="002F0FAC">
      <w:pPr>
        <w:pStyle w:val="BodyText"/>
      </w:pPr>
      <w:r w:rsidRPr="002F0FAC">
        <w:t xml:space="preserve">Risk management skills to analyse, identify and develop mitigation strategies for identified risks </w:t>
      </w:r>
    </w:p>
    <w:p w:rsidR="00000000" w:rsidRPr="002F0FAC" w:rsidP="002F0FAC">
      <w:pPr>
        <w:pStyle w:val="BodyText"/>
      </w:pPr>
      <w:r w:rsidRPr="002F0FAC">
        <w:t xml:space="preserve">Coaching and training skills to remediate any under-performance present in the </w:t>
      </w:r>
      <w:r w:rsidRPr="002F0FAC">
        <w:t xml:space="preserve">work group or individuals </w:t>
      </w:r>
    </w:p>
    <w:p w:rsidR="00000000" w:rsidRPr="002F0FAC" w:rsidP="002F0FAC">
      <w:pPr>
        <w:pStyle w:val="BodyText"/>
      </w:pPr>
      <w:r w:rsidRPr="002F0FAC">
        <w:t xml:space="preserve">Counselling/interviewing skills to conduct formal performance feedback sessions including counselling and disciplinary interviews where required </w:t>
      </w:r>
    </w:p>
    <w:p w:rsidR="00000000" w:rsidRPr="002F0FAC" w:rsidP="002F0FAC">
      <w:pPr>
        <w:pStyle w:val="BodyText"/>
      </w:pPr>
      <w:r w:rsidRPr="002F0FAC">
        <w:t xml:space="preserve">Evaluative skills to review and improve performance management systems </w:t>
      </w:r>
    </w:p>
    <w:p w:rsidR="00000000" w:rsidRPr="002F0FAC" w:rsidP="002F0FAC">
      <w:pPr>
        <w:pStyle w:val="BodyText"/>
      </w:pPr>
      <w:r w:rsidRPr="002F0FAC">
        <w:t xml:space="preserve">Ability to </w:t>
      </w:r>
      <w:r w:rsidRPr="002F0FAC">
        <w:t>relate to people from a range of social, cultural and ethnic backgrounds and physical and mental abilities</w:t>
      </w:r>
    </w:p>
    <w:p w:rsidR="00000000" w:rsidRPr="002F0FAC" w:rsidP="002F0FAC">
      <w:pPr>
        <w:pStyle w:val="BodyText"/>
      </w:pPr>
      <w:r w:rsidRPr="002F0FAC">
        <w:rPr>
          <w:rStyle w:val="SpecialBold"/>
        </w:rPr>
        <w:t>Resource Implications</w:t>
      </w:r>
    </w:p>
    <w:p w:rsidR="00000000" w:rsidRPr="002F0FAC" w:rsidP="002F0FAC">
      <w:pPr>
        <w:pStyle w:val="BodyText"/>
      </w:pPr>
      <w:r w:rsidRPr="002F0FAC">
        <w:t>The learner and trainer should have access to appropriate documentation and resources normally used in the workplace</w:t>
      </w:r>
    </w:p>
    <w:p w:rsidR="00000000" w:rsidRPr="002F0FAC" w:rsidP="002F0FAC">
      <w:pPr>
        <w:pStyle w:val="BodyText"/>
      </w:pPr>
      <w:r w:rsidRPr="002F0FAC">
        <w:rPr>
          <w:rStyle w:val="SpecialBold"/>
        </w:rPr>
        <w:t>Consistenc</w:t>
      </w:r>
      <w:r w:rsidRPr="002F0FAC">
        <w:rPr>
          <w:rStyle w:val="SpecialBold"/>
        </w:rPr>
        <w:t>y of Performance</w:t>
      </w:r>
    </w:p>
    <w:p w:rsidR="00000000" w:rsidRPr="002F0FAC" w:rsidP="002F0FAC">
      <w:pPr>
        <w:pStyle w:val="BodyText"/>
      </w:pPr>
      <w:r w:rsidRPr="002F0FAC">
        <w:t>In order to achieve consistency of performance, evidence should be collected over a set period of time which is sufficient to include dealings with an appropriate range and variety of situations</w:t>
      </w:r>
    </w:p>
    <w:p w:rsidR="00000000" w:rsidRPr="002F0FAC" w:rsidP="002F0FAC">
      <w:pPr>
        <w:pStyle w:val="BodyText"/>
      </w:pPr>
      <w:r w:rsidRPr="002F0FAC">
        <w:rPr>
          <w:rStyle w:val="SpecialBold"/>
        </w:rPr>
        <w:t>Context</w:t>
      </w:r>
      <w:r w:rsidRPr="002F0FAC">
        <w:t>/</w:t>
      </w:r>
      <w:r w:rsidRPr="002F0FAC">
        <w:rPr>
          <w:rStyle w:val="SpecialBold"/>
        </w:rPr>
        <w:t>s of Assessment</w:t>
      </w:r>
    </w:p>
    <w:p w:rsidR="00000000" w:rsidRPr="002F0FAC" w:rsidP="002F0FAC">
      <w:pPr>
        <w:pStyle w:val="BodyText"/>
      </w:pPr>
      <w:r w:rsidRPr="002F0FAC">
        <w:t>Competency</w:t>
      </w:r>
      <w:r w:rsidRPr="002F0FAC">
        <w:t xml:space="preserve"> is demonstrated by performance of all stated criteria, including paying particular attention to the critical aspects and the knowledge and skills elaborated in the Evidence Guide, and within the scope as defined by the Range Statement </w:t>
      </w:r>
    </w:p>
    <w:p w:rsidR="00000000" w:rsidRPr="002F0FAC" w:rsidP="002F0FAC">
      <w:pPr>
        <w:pStyle w:val="BodyText"/>
      </w:pPr>
      <w:r w:rsidRPr="002F0FAC">
        <w:t>Assessment must tak</w:t>
      </w:r>
      <w:r w:rsidRPr="002F0FAC">
        <w:t xml:space="preserve">e account of the endorsed assessment guidelines in the Business Services Training Package </w:t>
      </w:r>
    </w:p>
    <w:p w:rsidR="00000000" w:rsidRPr="002F0FAC" w:rsidP="002F0FAC">
      <w:pPr>
        <w:pStyle w:val="BodyText"/>
      </w:pPr>
      <w:r w:rsidRPr="002F0FAC">
        <w:t xml:space="preserve">Assessment of performance requirements in this unit should be undertaken in an actual workplace or simulated environment </w:t>
      </w:r>
    </w:p>
    <w:p w:rsidR="00000000" w:rsidRPr="002F0FAC" w:rsidP="002F0FAC">
      <w:pPr>
        <w:pStyle w:val="BodyText"/>
      </w:pPr>
      <w:r w:rsidRPr="002F0FAC">
        <w:t>Assessment should reinforce the integration</w:t>
      </w:r>
      <w:r w:rsidRPr="002F0FAC">
        <w:t xml:space="preserve"> of the key competencies and the business services common competencies for the particular AQF level. Refer to the Key Competency Levels at the end of this unit</w:t>
      </w:r>
    </w:p>
    <w:p w:rsidR="00000000" w:rsidRPr="002F0FAC" w:rsidP="002F0FAC">
      <w:pPr>
        <w:pStyle w:val="BodyText"/>
      </w:pPr>
      <w:r w:rsidRPr="002F0FAC">
        <w:rPr>
          <w:rStyle w:val="SpecialBold"/>
        </w:rPr>
        <w:t>Key Competency Levels</w:t>
      </w:r>
    </w:p>
    <w:p w:rsidR="00000000" w:rsidRPr="002F0FAC" w:rsidP="002F0FAC">
      <w:pPr>
        <w:pStyle w:val="BodyText"/>
      </w:pPr>
      <w:r w:rsidRPr="002F0FAC">
        <w:rPr>
          <w:rStyle w:val="SpecialBold"/>
        </w:rPr>
        <w:t>Collecting</w:t>
      </w:r>
      <w:r w:rsidRPr="002F0FAC">
        <w:t xml:space="preserve">, </w:t>
      </w:r>
      <w:r w:rsidRPr="002F0FAC">
        <w:rPr>
          <w:rStyle w:val="SpecialBold"/>
        </w:rPr>
        <w:t>analysing and organising information</w:t>
      </w:r>
      <w:r w:rsidRPr="002F0FAC">
        <w:t xml:space="preserve"> (</w:t>
      </w:r>
      <w:r w:rsidRPr="002F0FAC">
        <w:rPr>
          <w:rStyle w:val="SpecialBold"/>
        </w:rPr>
        <w:t>Level 3</w:t>
      </w:r>
      <w:r w:rsidRPr="002F0FAC">
        <w:t>) - to provide fe</w:t>
      </w:r>
      <w:r w:rsidRPr="002F0FAC">
        <w:t xml:space="preserve">edback </w:t>
      </w:r>
    </w:p>
    <w:p w:rsidR="00000000" w:rsidRPr="002F0FAC" w:rsidP="002F0FAC">
      <w:pPr>
        <w:pStyle w:val="BodyText"/>
      </w:pPr>
      <w:r w:rsidRPr="002F0FAC">
        <w:rPr>
          <w:rStyle w:val="SpecialBold"/>
        </w:rPr>
        <w:t>Communicating ideas and information</w:t>
      </w:r>
      <w:r w:rsidRPr="002F0FAC">
        <w:t xml:space="preserve"> (</w:t>
      </w:r>
      <w:r w:rsidRPr="002F0FAC">
        <w:rPr>
          <w:rStyle w:val="SpecialBold"/>
        </w:rPr>
        <w:t>Level 3</w:t>
      </w:r>
      <w:r w:rsidRPr="002F0FAC">
        <w:t xml:space="preserve">) - to ensure that expectations are clearly understood </w:t>
      </w:r>
    </w:p>
    <w:p w:rsidR="00000000" w:rsidRPr="002F0FAC" w:rsidP="002F0FAC">
      <w:pPr>
        <w:pStyle w:val="BodyText"/>
      </w:pPr>
      <w:r w:rsidRPr="002F0FAC">
        <w:rPr>
          <w:rStyle w:val="SpecialBold"/>
        </w:rPr>
        <w:t>Planning and organising activities</w:t>
      </w:r>
      <w:r w:rsidRPr="002F0FAC">
        <w:t xml:space="preserve"> (</w:t>
      </w:r>
      <w:r w:rsidRPr="002F0FAC">
        <w:rPr>
          <w:rStyle w:val="SpecialBold"/>
        </w:rPr>
        <w:t>Level 3</w:t>
      </w:r>
      <w:r w:rsidRPr="002F0FAC">
        <w:t xml:space="preserve">) - to undertake risk analysis </w:t>
      </w:r>
    </w:p>
    <w:p w:rsidR="00000000" w:rsidRPr="002F0FAC" w:rsidP="002F0FAC">
      <w:pPr>
        <w:pStyle w:val="BodyText"/>
      </w:pPr>
      <w:r w:rsidRPr="002F0FAC">
        <w:rPr>
          <w:rStyle w:val="SpecialBold"/>
        </w:rPr>
        <w:t>Working with teams and others</w:t>
      </w:r>
      <w:r w:rsidRPr="002F0FAC">
        <w:t xml:space="preserve"> (</w:t>
      </w:r>
      <w:r w:rsidRPr="002F0FAC">
        <w:rPr>
          <w:rStyle w:val="SpecialBold"/>
        </w:rPr>
        <w:t>Level 3</w:t>
      </w:r>
      <w:r w:rsidRPr="002F0FAC">
        <w:t xml:space="preserve">) - to assess performance </w:t>
      </w:r>
    </w:p>
    <w:p w:rsidR="00000000" w:rsidRPr="002F0FAC" w:rsidP="002F0FAC">
      <w:pPr>
        <w:pStyle w:val="BodyText"/>
      </w:pPr>
      <w:r w:rsidRPr="002F0FAC">
        <w:rPr>
          <w:rStyle w:val="SpecialBold"/>
        </w:rPr>
        <w:t>Using ma</w:t>
      </w:r>
      <w:r w:rsidRPr="002F0FAC">
        <w:rPr>
          <w:rStyle w:val="SpecialBold"/>
        </w:rPr>
        <w:t>thematical ideas and techniques</w:t>
      </w:r>
      <w:r w:rsidRPr="002F0FAC">
        <w:t xml:space="preserve"> (</w:t>
      </w:r>
      <w:r w:rsidRPr="002F0FAC">
        <w:rPr>
          <w:rStyle w:val="SpecialBold"/>
        </w:rPr>
        <w:t>Level 2</w:t>
      </w:r>
      <w:r w:rsidRPr="002F0FAC">
        <w:t xml:space="preserve">) - to measure performance </w:t>
      </w:r>
    </w:p>
    <w:p w:rsidR="00000000" w:rsidRPr="002F0FAC" w:rsidP="002F0FAC">
      <w:pPr>
        <w:pStyle w:val="BodyText"/>
      </w:pPr>
      <w:r w:rsidRPr="002F0FAC">
        <w:rPr>
          <w:rStyle w:val="SpecialBold"/>
        </w:rPr>
        <w:t>Solving problems</w:t>
      </w:r>
      <w:r w:rsidRPr="002F0FAC">
        <w:t xml:space="preserve"> (</w:t>
      </w:r>
      <w:r w:rsidRPr="002F0FAC">
        <w:rPr>
          <w:rStyle w:val="SpecialBold"/>
        </w:rPr>
        <w:t>Level 3</w:t>
      </w:r>
      <w:r w:rsidRPr="002F0FAC">
        <w:t xml:space="preserve">) - to facilitate improvement where under-performance occurs </w:t>
      </w:r>
    </w:p>
    <w:p w:rsidR="00000000" w:rsidRPr="002F0FAC" w:rsidP="002F0FAC">
      <w:pPr>
        <w:pStyle w:val="BodyText"/>
      </w:pPr>
      <w:r w:rsidRPr="002F0FAC">
        <w:rPr>
          <w:rStyle w:val="SpecialBold"/>
        </w:rPr>
        <w:t>Using technology</w:t>
      </w:r>
      <w:r w:rsidRPr="002F0FAC">
        <w:t xml:space="preserve"> (</w:t>
      </w:r>
      <w:r w:rsidRPr="002F0FAC">
        <w:rPr>
          <w:rStyle w:val="SpecialBold"/>
        </w:rPr>
        <w:t>Level 2</w:t>
      </w:r>
      <w:r w:rsidRPr="002F0FAC">
        <w:t>) - to support the performance management systems</w:t>
      </w:r>
    </w:p>
    <w:p w:rsidR="00000000" w:rsidRPr="002F0FAC" w:rsidP="002F0FAC">
      <w:pPr>
        <w:pStyle w:val="BodyText"/>
      </w:pPr>
      <w:r w:rsidRPr="002F0FAC">
        <w:t>Please refer to the Assessment Guidelines for advice on how to use the Key Competencies</w:t>
      </w:r>
    </w:p>
    <w:p w:rsidR="00000000" w:rsidRPr="002F0FAC" w:rsidP="002F0FAC">
      <w:pPr>
        <w:pStyle w:val="BodyText"/>
      </w:pPr>
      <w:r w:rsidRPr="002F0FAC">
        <w:t>The Evidence Guide identifies the critical aspects, knowledge and skills to be demonstrated to confirm competence for this unit. This is an integral part of the assessm</w:t>
      </w:r>
      <w:r w:rsidRPr="002F0FAC">
        <w:t>ent of competence and should be read in conjunction with the Range Statement.</w:t>
      </w:r>
    </w:p>
    <w:p w:rsidR="00000000" w:rsidRPr="002F0FAC" w:rsidP="002F0FAC">
      <w:pPr>
        <w:pStyle w:val="BodyText"/>
      </w:pPr>
      <w:r w:rsidRPr="002F0FAC">
        <w:rPr>
          <w:rStyle w:val="SpecialBold"/>
        </w:rPr>
        <w:t>Critical Aspects of Evidence</w:t>
      </w:r>
    </w:p>
    <w:p w:rsidR="00000000" w:rsidRPr="002F0FAC" w:rsidP="002F0FAC">
      <w:pPr>
        <w:pStyle w:val="BodyText"/>
      </w:pPr>
      <w:r w:rsidRPr="002F0FAC">
        <w:t>Direct evidence of the performance management processes being undertaken is essential in the assessment of this unit, including the linking of perfor</w:t>
      </w:r>
      <w:r w:rsidRPr="002F0FAC">
        <w:t xml:space="preserve">mance indictors to the allocation of work and assessment of performance against performance standards </w:t>
      </w:r>
    </w:p>
    <w:p w:rsidR="00000000" w:rsidRPr="002F0FAC" w:rsidP="002F0FAC">
      <w:pPr>
        <w:pStyle w:val="BodyText"/>
      </w:pPr>
      <w:r w:rsidRPr="002F0FAC">
        <w:t>Workplace coaching (informal feedback) coupled with formal performance feedback, resulting in performance improvement</w:t>
      </w:r>
    </w:p>
    <w:p w:rsidR="00000000" w:rsidRPr="002F0FAC" w:rsidP="002F0FAC">
      <w:pPr>
        <w:pStyle w:val="BodyText"/>
      </w:pPr>
      <w:r w:rsidRPr="002F0FAC">
        <w:rPr>
          <w:rStyle w:val="SpecialBold"/>
        </w:rPr>
        <w:t>OHS considerations may include</w:t>
      </w:r>
      <w:r w:rsidRPr="002F0FAC">
        <w:t>:</w:t>
      </w:r>
    </w:p>
    <w:p w:rsidR="00000000" w:rsidRPr="002F0FAC" w:rsidP="002F0FAC">
      <w:pPr>
        <w:pStyle w:val="BodyText"/>
      </w:pPr>
      <w:r w:rsidRPr="002F0FAC">
        <w:t>est</w:t>
      </w:r>
      <w:r w:rsidRPr="002F0FAC">
        <w:t xml:space="preserve">ablishment and maintenance of OHS training, records, induction processes </w:t>
      </w:r>
    </w:p>
    <w:p w:rsidR="00000000" w:rsidRPr="002F0FAC" w:rsidP="002F0FAC">
      <w:pPr>
        <w:pStyle w:val="BodyText"/>
      </w:pPr>
      <w:r w:rsidRPr="002F0FAC">
        <w:t>performance against OHS legislation and organisation's OHS system, especially policies, procedures and work instructions</w:t>
      </w:r>
    </w:p>
    <w:p w:rsidR="00000000" w:rsidRPr="002F0FAC" w:rsidP="002F0FAC">
      <w:pPr>
        <w:pStyle w:val="BodyText"/>
      </w:pPr>
      <w:r w:rsidRPr="002F0FAC">
        <w:rPr>
          <w:rStyle w:val="SpecialBold"/>
        </w:rPr>
        <w:t>Underpinning Knowledge</w:t>
      </w:r>
      <w:r w:rsidRPr="002F0FAC">
        <w:t>*</w:t>
      </w:r>
    </w:p>
    <w:p w:rsidR="00000000" w:rsidRPr="002F0FAC" w:rsidP="002F0FAC">
      <w:pPr>
        <w:pStyle w:val="BodyText"/>
      </w:pPr>
      <w:r w:rsidRPr="002F0FAC">
        <w:t>* At this level the learner must demo</w:t>
      </w:r>
      <w:r w:rsidRPr="002F0FAC">
        <w:t>nstrate understanding of a broad knowledge base incorporating theoretical concepts, with substantial depth in some areas.</w:t>
      </w:r>
    </w:p>
    <w:p w:rsidR="00000000" w:rsidRPr="002F0FAC" w:rsidP="002F0FAC">
      <w:pPr>
        <w:pStyle w:val="BodyText"/>
      </w:pPr>
      <w:r w:rsidRPr="002F0FAC">
        <w:t>Relevant legislation from all levels of government that affects business operation, especially in regard to Occupational Health and Sa</w:t>
      </w:r>
      <w:r w:rsidRPr="002F0FAC">
        <w:t xml:space="preserve">fety and environmental issues, equal opportunity, industrial relations and anti-discrimination </w:t>
      </w:r>
    </w:p>
    <w:p w:rsidR="00000000" w:rsidRPr="002F0FAC" w:rsidP="002F0FAC">
      <w:pPr>
        <w:pStyle w:val="BodyText"/>
      </w:pPr>
      <w:r w:rsidRPr="002F0FAC">
        <w:t xml:space="preserve">Relevant awards and certified agreements </w:t>
      </w:r>
    </w:p>
    <w:p w:rsidR="00000000" w:rsidRPr="002F0FAC" w:rsidP="002F0FAC">
      <w:pPr>
        <w:pStyle w:val="BodyText"/>
      </w:pPr>
      <w:r w:rsidRPr="002F0FAC">
        <w:t xml:space="preserve">Performance measurement systems utilised within the organisation </w:t>
      </w:r>
    </w:p>
    <w:p w:rsidR="00000000" w:rsidRPr="002F0FAC" w:rsidP="002F0FAC">
      <w:pPr>
        <w:pStyle w:val="BodyText"/>
      </w:pPr>
      <w:r w:rsidRPr="002F0FAC">
        <w:t xml:space="preserve">Key result areas of the organisation </w:t>
      </w:r>
    </w:p>
    <w:p w:rsidR="00000000" w:rsidRPr="002F0FAC" w:rsidP="002F0FAC">
      <w:pPr>
        <w:pStyle w:val="BodyText"/>
      </w:pPr>
      <w:r w:rsidRPr="002F0FAC">
        <w:t>Human resource</w:t>
      </w:r>
      <w:r w:rsidRPr="002F0FAC">
        <w:t xml:space="preserve"> specialist assistance available </w:t>
      </w:r>
    </w:p>
    <w:p w:rsidR="00000000" w:rsidRPr="002F0FAC" w:rsidP="002F0FAC">
      <w:pPr>
        <w:pStyle w:val="BodyText"/>
      </w:pPr>
      <w:r w:rsidRPr="002F0FAC">
        <w:t xml:space="preserve">Organisational plans and objectives (strategic, tactical and operational) </w:t>
      </w:r>
    </w:p>
    <w:p w:rsidR="00000000" w:rsidRPr="002F0FAC" w:rsidP="002F0FAC">
      <w:pPr>
        <w:pStyle w:val="BodyText"/>
      </w:pPr>
      <w:r w:rsidRPr="002F0FAC">
        <w:t xml:space="preserve">Human resource planning </w:t>
      </w:r>
    </w:p>
    <w:p w:rsidR="00000000" w:rsidRPr="002F0FAC" w:rsidP="002F0FAC">
      <w:pPr>
        <w:pStyle w:val="BodyText"/>
      </w:pPr>
      <w:r w:rsidRPr="002F0FAC">
        <w:t xml:space="preserve">All legislation relevant to the organisation which impacts on people performance (including EEO and anti discrimination laws) </w:t>
      </w:r>
    </w:p>
    <w:p w:rsidR="00000000" w:rsidRPr="002F0FAC" w:rsidP="002F0FAC">
      <w:pPr>
        <w:pStyle w:val="BodyText"/>
      </w:pPr>
      <w:r w:rsidRPr="002F0FAC">
        <w:t xml:space="preserve">Organisational support services for employees (external and internal) </w:t>
      </w:r>
    </w:p>
    <w:p w:rsidR="00000000" w:rsidRPr="002F0FAC" w:rsidP="002F0FAC">
      <w:pPr>
        <w:pStyle w:val="BodyText"/>
      </w:pPr>
      <w:r w:rsidRPr="002F0FAC">
        <w:t xml:space="preserve">Unfair dismissal rules and due process </w:t>
      </w:r>
    </w:p>
    <w:p w:rsidR="00000000" w:rsidRPr="002F0FAC" w:rsidP="002F0FAC">
      <w:pPr>
        <w:pStyle w:val="BodyText"/>
      </w:pPr>
      <w:r w:rsidRPr="002F0FAC">
        <w:t xml:space="preserve">Staff development </w:t>
      </w:r>
      <w:r w:rsidRPr="002F0FAC">
        <w:t>strategies</w:t>
      </w:r>
    </w:p>
    <w:p w:rsidR="00000000" w:rsidRPr="002F0FAC" w:rsidP="002F0FAC">
      <w:pPr>
        <w:pStyle w:val="BodyText"/>
      </w:pPr>
      <w:r w:rsidRPr="002F0FAC">
        <w:rPr>
          <w:rStyle w:val="SpecialBold"/>
        </w:rPr>
        <w:t>Underpinning Skills</w:t>
      </w:r>
    </w:p>
    <w:p w:rsidR="00000000" w:rsidRPr="002F0FAC" w:rsidP="002F0FAC">
      <w:pPr>
        <w:pStyle w:val="BodyText"/>
      </w:pPr>
      <w:r w:rsidRPr="002F0FAC">
        <w:t xml:space="preserve">Communication/consultation skills to ensure all relevant groups and individuals are advised of what is occurring and are provided with an opportunity for input </w:t>
      </w:r>
    </w:p>
    <w:p w:rsidR="00000000" w:rsidRPr="002F0FAC" w:rsidP="002F0FAC">
      <w:pPr>
        <w:pStyle w:val="BodyText"/>
      </w:pPr>
      <w:r w:rsidRPr="002F0FAC">
        <w:t>Performance measurement skills to develop and manage key perform</w:t>
      </w:r>
      <w:r w:rsidRPr="002F0FAC">
        <w:t xml:space="preserve">ance indicators </w:t>
      </w:r>
    </w:p>
    <w:p w:rsidR="00000000" w:rsidRPr="002F0FAC" w:rsidP="002F0FAC">
      <w:pPr>
        <w:pStyle w:val="BodyText"/>
      </w:pPr>
      <w:r w:rsidRPr="002F0FAC">
        <w:t xml:space="preserve">Risk management skills to analyse, identify and develop mitigation strategies for identified risks </w:t>
      </w:r>
    </w:p>
    <w:p w:rsidR="00000000" w:rsidRPr="002F0FAC" w:rsidP="002F0FAC">
      <w:pPr>
        <w:pStyle w:val="BodyText"/>
      </w:pPr>
      <w:r w:rsidRPr="002F0FAC">
        <w:t xml:space="preserve">Coaching and training skills to remediate any under-performance present in the work group or individuals </w:t>
      </w:r>
    </w:p>
    <w:p w:rsidR="00000000" w:rsidRPr="002F0FAC" w:rsidP="002F0FAC">
      <w:pPr>
        <w:pStyle w:val="BodyText"/>
      </w:pPr>
      <w:r w:rsidRPr="002F0FAC">
        <w:t>Counselling/interviewing skills t</w:t>
      </w:r>
      <w:r w:rsidRPr="002F0FAC">
        <w:t xml:space="preserve">o conduct formal performance feedback sessions including counselling and disciplinary interviews where required </w:t>
      </w:r>
    </w:p>
    <w:p w:rsidR="00000000" w:rsidRPr="002F0FAC" w:rsidP="002F0FAC">
      <w:pPr>
        <w:pStyle w:val="BodyText"/>
      </w:pPr>
      <w:r w:rsidRPr="002F0FAC">
        <w:t xml:space="preserve">Evaluative skills to review and improve performance management systems </w:t>
      </w:r>
    </w:p>
    <w:p w:rsidR="00000000" w:rsidRPr="002F0FAC" w:rsidP="002F0FAC">
      <w:pPr>
        <w:pStyle w:val="BodyText"/>
      </w:pPr>
      <w:r w:rsidRPr="002F0FAC">
        <w:t>Ability to relate to people from a range of social, cultural and ethnic</w:t>
      </w:r>
      <w:r w:rsidRPr="002F0FAC">
        <w:t xml:space="preserve"> backgrounds and physical and mental abilities</w:t>
      </w:r>
    </w:p>
    <w:p w:rsidR="00000000" w:rsidRPr="002F0FAC" w:rsidP="002F0FAC">
      <w:pPr>
        <w:pStyle w:val="BodyText"/>
      </w:pPr>
      <w:r w:rsidRPr="002F0FAC">
        <w:rPr>
          <w:rStyle w:val="SpecialBold"/>
        </w:rPr>
        <w:t>Resource Implications</w:t>
      </w:r>
    </w:p>
    <w:p w:rsidR="00000000" w:rsidRPr="002F0FAC" w:rsidP="002F0FAC">
      <w:pPr>
        <w:pStyle w:val="BodyText"/>
      </w:pPr>
      <w:r w:rsidRPr="002F0FAC">
        <w:t>The learner and trainer should have access to appropriate documentation and resources normally used in the workplace</w:t>
      </w:r>
    </w:p>
    <w:p w:rsidR="00000000" w:rsidRPr="002F0FAC" w:rsidP="002F0FAC">
      <w:pPr>
        <w:pStyle w:val="BodyText"/>
      </w:pPr>
      <w:r w:rsidRPr="002F0FAC">
        <w:rPr>
          <w:rStyle w:val="SpecialBold"/>
        </w:rPr>
        <w:t>Consistency of Performance</w:t>
      </w:r>
    </w:p>
    <w:p w:rsidR="00000000" w:rsidRPr="002F0FAC" w:rsidP="002F0FAC">
      <w:pPr>
        <w:pStyle w:val="BodyText"/>
      </w:pPr>
      <w:r w:rsidRPr="002F0FAC">
        <w:t>In order to achieve consistency of performa</w:t>
      </w:r>
      <w:r w:rsidRPr="002F0FAC">
        <w:t>nce, evidence should be collected over a set period of time which is sufficient to include dealings with an appropriate range and variety of situations</w:t>
      </w:r>
    </w:p>
    <w:p w:rsidR="00000000" w:rsidRPr="002F0FAC" w:rsidP="002F0FAC">
      <w:pPr>
        <w:pStyle w:val="BodyText"/>
      </w:pPr>
      <w:r w:rsidRPr="002F0FAC">
        <w:rPr>
          <w:rStyle w:val="SpecialBold"/>
        </w:rPr>
        <w:t>Context</w:t>
      </w:r>
      <w:r w:rsidRPr="002F0FAC">
        <w:t>/</w:t>
      </w:r>
      <w:r w:rsidRPr="002F0FAC">
        <w:rPr>
          <w:rStyle w:val="SpecialBold"/>
        </w:rPr>
        <w:t>s of Assessment</w:t>
      </w:r>
    </w:p>
    <w:p w:rsidR="00000000" w:rsidRPr="002F0FAC" w:rsidP="002F0FAC">
      <w:pPr>
        <w:pStyle w:val="BodyText"/>
      </w:pPr>
      <w:r w:rsidRPr="002F0FAC">
        <w:t>Competency is demonstrated by performance of all stated criteria, including payi</w:t>
      </w:r>
      <w:r w:rsidRPr="002F0FAC">
        <w:t xml:space="preserve">ng particular attention to the critical aspects and the knowledge and skills elaborated in the Evidence Guide, and within the scope as defined by the Range Statement </w:t>
      </w:r>
    </w:p>
    <w:p w:rsidR="00000000" w:rsidRPr="002F0FAC" w:rsidP="002F0FAC">
      <w:pPr>
        <w:pStyle w:val="BodyText"/>
      </w:pPr>
      <w:r w:rsidRPr="002F0FAC">
        <w:t>Assessment must take account of the endorsed assessment guidelines in the Business Servic</w:t>
      </w:r>
      <w:r w:rsidRPr="002F0FAC">
        <w:t xml:space="preserve">es Training Package </w:t>
      </w:r>
    </w:p>
    <w:p w:rsidR="00000000" w:rsidRPr="002F0FAC" w:rsidP="002F0FAC">
      <w:pPr>
        <w:pStyle w:val="BodyText"/>
      </w:pPr>
      <w:r w:rsidRPr="002F0FAC">
        <w:t xml:space="preserve">Assessment of performance requirements in this unit should be undertaken in an actual workplace or simulated environment </w:t>
      </w:r>
    </w:p>
    <w:p w:rsidR="00000000" w:rsidRPr="002F0FAC" w:rsidP="002F0FAC">
      <w:pPr>
        <w:pStyle w:val="BodyText"/>
      </w:pPr>
      <w:r w:rsidRPr="002F0FAC">
        <w:t>Assessment should reinforce the integration of the key competencies and the business services common competencies</w:t>
      </w:r>
      <w:r w:rsidRPr="002F0FAC">
        <w:t xml:space="preserve"> for the particular AQF level. Refer to the Key Competency Levels at the end of this unit</w:t>
      </w:r>
    </w:p>
    <w:p w:rsidR="00000000" w:rsidRPr="002F0FAC" w:rsidP="002F0FAC">
      <w:pPr>
        <w:pStyle w:val="BodyText"/>
      </w:pPr>
      <w:r w:rsidRPr="002F0FAC">
        <w:rPr>
          <w:rStyle w:val="SpecialBold"/>
        </w:rPr>
        <w:t>Key Competency Levels</w:t>
      </w:r>
    </w:p>
    <w:p w:rsidR="00000000" w:rsidRPr="002F0FAC" w:rsidP="002F0FAC">
      <w:pPr>
        <w:pStyle w:val="BodyText"/>
      </w:pPr>
      <w:r w:rsidRPr="002F0FAC">
        <w:rPr>
          <w:rStyle w:val="SpecialBold"/>
        </w:rPr>
        <w:t>Collecting</w:t>
      </w:r>
      <w:r w:rsidRPr="002F0FAC">
        <w:t xml:space="preserve">, </w:t>
      </w:r>
      <w:r w:rsidRPr="002F0FAC">
        <w:rPr>
          <w:rStyle w:val="SpecialBold"/>
        </w:rPr>
        <w:t>analysing and organising information</w:t>
      </w:r>
      <w:r w:rsidRPr="002F0FAC">
        <w:t xml:space="preserve"> (</w:t>
      </w:r>
      <w:r w:rsidRPr="002F0FAC">
        <w:rPr>
          <w:rStyle w:val="SpecialBold"/>
        </w:rPr>
        <w:t>Level 3</w:t>
      </w:r>
      <w:r w:rsidRPr="002F0FAC">
        <w:t xml:space="preserve">) - to provide feedback </w:t>
      </w:r>
    </w:p>
    <w:p w:rsidR="00000000" w:rsidRPr="002F0FAC" w:rsidP="002F0FAC">
      <w:pPr>
        <w:pStyle w:val="BodyText"/>
      </w:pPr>
      <w:r w:rsidRPr="002F0FAC">
        <w:rPr>
          <w:rStyle w:val="SpecialBold"/>
        </w:rPr>
        <w:t>Communicating ideas and information</w:t>
      </w:r>
      <w:r w:rsidRPr="002F0FAC">
        <w:t xml:space="preserve"> (</w:t>
      </w:r>
      <w:r w:rsidRPr="002F0FAC">
        <w:rPr>
          <w:rStyle w:val="SpecialBold"/>
        </w:rPr>
        <w:t>Level 3</w:t>
      </w:r>
      <w:r w:rsidRPr="002F0FAC">
        <w:t>) - to ensure that</w:t>
      </w:r>
      <w:r w:rsidRPr="002F0FAC">
        <w:t xml:space="preserve"> expectations are clearly understood </w:t>
      </w:r>
    </w:p>
    <w:p w:rsidR="00000000" w:rsidRPr="002F0FAC" w:rsidP="002F0FAC">
      <w:pPr>
        <w:pStyle w:val="BodyText"/>
      </w:pPr>
      <w:r w:rsidRPr="002F0FAC">
        <w:rPr>
          <w:rStyle w:val="SpecialBold"/>
        </w:rPr>
        <w:t>Planning and organising activities</w:t>
      </w:r>
      <w:r w:rsidRPr="002F0FAC">
        <w:t xml:space="preserve"> (</w:t>
      </w:r>
      <w:r w:rsidRPr="002F0FAC">
        <w:rPr>
          <w:rStyle w:val="SpecialBold"/>
        </w:rPr>
        <w:t>Level 3</w:t>
      </w:r>
      <w:r w:rsidRPr="002F0FAC">
        <w:t xml:space="preserve">) - to undertake risk analysis </w:t>
      </w:r>
    </w:p>
    <w:p w:rsidR="00000000" w:rsidRPr="002F0FAC" w:rsidP="002F0FAC">
      <w:pPr>
        <w:pStyle w:val="BodyText"/>
      </w:pPr>
      <w:r w:rsidRPr="002F0FAC">
        <w:rPr>
          <w:rStyle w:val="SpecialBold"/>
        </w:rPr>
        <w:t>Working with teams and others</w:t>
      </w:r>
      <w:r w:rsidRPr="002F0FAC">
        <w:t xml:space="preserve"> (</w:t>
      </w:r>
      <w:r w:rsidRPr="002F0FAC">
        <w:rPr>
          <w:rStyle w:val="SpecialBold"/>
        </w:rPr>
        <w:t>Level 3</w:t>
      </w:r>
      <w:r w:rsidRPr="002F0FAC">
        <w:t xml:space="preserve">) - to assess performance </w:t>
      </w:r>
    </w:p>
    <w:p w:rsidR="00000000" w:rsidRPr="002F0FAC" w:rsidP="002F0FAC">
      <w:pPr>
        <w:pStyle w:val="BodyText"/>
      </w:pPr>
      <w:r w:rsidRPr="002F0FAC">
        <w:rPr>
          <w:rStyle w:val="SpecialBold"/>
        </w:rPr>
        <w:t>Using mathematical ideas and techniques</w:t>
      </w:r>
      <w:r w:rsidRPr="002F0FAC">
        <w:t xml:space="preserve"> (</w:t>
      </w:r>
      <w:r w:rsidRPr="002F0FAC">
        <w:rPr>
          <w:rStyle w:val="SpecialBold"/>
        </w:rPr>
        <w:t>Level 2</w:t>
      </w:r>
      <w:r w:rsidRPr="002F0FAC">
        <w:t xml:space="preserve">) - to measure performance </w:t>
      </w:r>
    </w:p>
    <w:p w:rsidR="00000000" w:rsidRPr="002F0FAC" w:rsidP="002F0FAC">
      <w:pPr>
        <w:pStyle w:val="BodyText"/>
      </w:pPr>
      <w:r w:rsidRPr="002F0FAC">
        <w:rPr>
          <w:rStyle w:val="SpecialBold"/>
        </w:rPr>
        <w:t>So</w:t>
      </w:r>
      <w:r w:rsidRPr="002F0FAC">
        <w:rPr>
          <w:rStyle w:val="SpecialBold"/>
        </w:rPr>
        <w:t>lving problems</w:t>
      </w:r>
      <w:r w:rsidRPr="002F0FAC">
        <w:t xml:space="preserve"> (</w:t>
      </w:r>
      <w:r w:rsidRPr="002F0FAC">
        <w:rPr>
          <w:rStyle w:val="SpecialBold"/>
        </w:rPr>
        <w:t>Level 3</w:t>
      </w:r>
      <w:r w:rsidRPr="002F0FAC">
        <w:t xml:space="preserve">) - to facilitate improvement where under-performance occurs </w:t>
      </w:r>
    </w:p>
    <w:p w:rsidR="00000000" w:rsidRPr="002F0FAC" w:rsidP="002F0FAC">
      <w:pPr>
        <w:pStyle w:val="BodyText"/>
      </w:pPr>
      <w:r w:rsidRPr="002F0FAC">
        <w:rPr>
          <w:rStyle w:val="SpecialBold"/>
        </w:rPr>
        <w:t>Using technology</w:t>
      </w:r>
      <w:r w:rsidRPr="002F0FAC">
        <w:t xml:space="preserve"> (</w:t>
      </w:r>
      <w:r w:rsidRPr="002F0FAC">
        <w:rPr>
          <w:rStyle w:val="SpecialBold"/>
        </w:rPr>
        <w:t>Level 2</w:t>
      </w:r>
      <w:r w:rsidRPr="002F0FAC">
        <w:t>) - to support the performance management systems</w:t>
      </w:r>
    </w:p>
    <w:p w:rsidR="00000000" w:rsidRPr="002F0FAC" w:rsidP="002F0FAC">
      <w:pPr>
        <w:pStyle w:val="BodyText"/>
      </w:pPr>
      <w:r w:rsidRPr="002F0FAC">
        <w:t>Please refer to the Assessment Guidelines for advice on how to use the Key Competencies</w:t>
      </w:r>
    </w:p>
    <w:p w:rsidR="00000000" w:rsidRPr="002F0FAC" w:rsidP="002F0FAC">
      <w:pPr>
        <w:pStyle w:val="AllowPageBreak"/>
      </w:pPr>
    </w:p>
    <w:p w:rsidR="00000000" w:rsidRPr="002F0FAC" w:rsidP="002F0FAC">
      <w:pPr>
        <w:pStyle w:val="Heading1"/>
      </w:pPr>
      <w:bookmarkStart w:id="11" w:name="O_323371"/>
      <w:bookmarkEnd w:id="11"/>
      <w:r w:rsidRPr="002F0FAC">
        <w:t>Range Statement</w:t>
      </w:r>
    </w:p>
    <w:p w:rsidR="00000000" w:rsidRPr="002F0FAC" w:rsidP="002F0FAC">
      <w:pPr>
        <w:pStyle w:val="BodyText"/>
      </w:pPr>
      <w:r w:rsidRPr="002F0FAC">
        <w:t>The Range Statement provides advice to interpret the scope and context of this unit of competence, allowing for differences between enterprises and workplaces. It relates to the unit as a whole and facilitates holistic asses</w:t>
      </w:r>
      <w:r w:rsidRPr="002F0FAC">
        <w:t>sment. The following variables may be present for this particular unit:</w:t>
      </w:r>
    </w:p>
    <w:p w:rsidR="00000000" w:rsidRPr="002F0FAC" w:rsidP="002F0FAC">
      <w:pPr>
        <w:pStyle w:val="BodyText"/>
      </w:pPr>
      <w:r w:rsidRPr="002F0FAC">
        <w:rPr>
          <w:rStyle w:val="SpecialBold"/>
        </w:rPr>
        <w:t>Legislation</w:t>
      </w:r>
      <w:r w:rsidRPr="002F0FAC">
        <w:t xml:space="preserve">, </w:t>
      </w:r>
      <w:r w:rsidRPr="002F0FAC">
        <w:rPr>
          <w:rStyle w:val="SpecialBold"/>
        </w:rPr>
        <w:t>codes and national standards relevant to the workplace which may include</w:t>
      </w:r>
      <w:r w:rsidRPr="002F0FAC">
        <w:t>:</w:t>
      </w:r>
    </w:p>
    <w:p w:rsidR="00000000" w:rsidRPr="002F0FAC" w:rsidP="002F0FAC">
      <w:pPr>
        <w:pStyle w:val="BodyText"/>
      </w:pPr>
      <w:r w:rsidRPr="002F0FAC">
        <w:t xml:space="preserve">award and enterprise agreements and relevant industrial instruments </w:t>
      </w:r>
    </w:p>
    <w:p w:rsidR="00000000" w:rsidRPr="002F0FAC" w:rsidP="002F0FAC">
      <w:pPr>
        <w:pStyle w:val="BodyText"/>
      </w:pPr>
      <w:r w:rsidRPr="002F0FAC">
        <w:t>relevant legislation from al</w:t>
      </w:r>
      <w:r w:rsidRPr="002F0FAC">
        <w:t xml:space="preserve">l levels of government that affects business operation, especially in regard to Occupational Health and Safety and environmental issues, equal opportunity, industrial relations and anti-discrimination </w:t>
      </w:r>
    </w:p>
    <w:p w:rsidR="00000000" w:rsidRPr="002F0FAC" w:rsidP="002F0FAC">
      <w:pPr>
        <w:pStyle w:val="BodyText"/>
      </w:pPr>
      <w:r w:rsidRPr="002F0FAC">
        <w:t>relevant industry codes of practice</w:t>
      </w:r>
    </w:p>
    <w:p w:rsidR="00000000" w:rsidRPr="002F0FAC" w:rsidP="002F0FAC">
      <w:pPr>
        <w:pStyle w:val="BodyText"/>
      </w:pPr>
      <w:r w:rsidRPr="002F0FAC">
        <w:rPr>
          <w:rStyle w:val="SpecialBold"/>
        </w:rPr>
        <w:t>Key result areas m</w:t>
      </w:r>
      <w:r w:rsidRPr="002F0FAC">
        <w:rPr>
          <w:rStyle w:val="SpecialBold"/>
        </w:rPr>
        <w:t>eans</w:t>
      </w:r>
      <w:r w:rsidRPr="002F0FAC">
        <w:t>:</w:t>
      </w:r>
    </w:p>
    <w:p w:rsidR="00000000" w:rsidRPr="002F0FAC" w:rsidP="002F0FAC">
      <w:pPr>
        <w:pStyle w:val="BodyText"/>
      </w:pPr>
      <w:r w:rsidRPr="002F0FAC">
        <w:t>those areas of business performance which are critical to the overall success of the business (or section of a business)</w:t>
      </w:r>
    </w:p>
    <w:p w:rsidR="00000000" w:rsidRPr="002F0FAC" w:rsidP="002F0FAC">
      <w:pPr>
        <w:pStyle w:val="BodyText"/>
      </w:pPr>
      <w:r w:rsidRPr="002F0FAC">
        <w:rPr>
          <w:rStyle w:val="SpecialBold"/>
        </w:rPr>
        <w:t>Key performance indicators means</w:t>
      </w:r>
      <w:r w:rsidRPr="002F0FAC">
        <w:t>:</w:t>
      </w:r>
    </w:p>
    <w:p w:rsidR="00000000" w:rsidRPr="002F0FAC" w:rsidP="002F0FAC">
      <w:pPr>
        <w:pStyle w:val="BodyText"/>
      </w:pPr>
      <w:r w:rsidRPr="002F0FAC">
        <w:t>those measures developed to gauge performance outcomes against targets</w:t>
      </w:r>
    </w:p>
    <w:p w:rsidR="00000000" w:rsidRPr="002F0FAC" w:rsidP="002F0FAC">
      <w:pPr>
        <w:pStyle w:val="BodyText"/>
      </w:pPr>
      <w:r w:rsidRPr="002F0FAC">
        <w:rPr>
          <w:rStyle w:val="SpecialBold"/>
        </w:rPr>
        <w:t>Performance standards means</w:t>
      </w:r>
      <w:r w:rsidRPr="002F0FAC">
        <w:t>:</w:t>
      </w:r>
    </w:p>
    <w:p w:rsidR="00000000" w:rsidRPr="002F0FAC" w:rsidP="002F0FAC">
      <w:pPr>
        <w:pStyle w:val="BodyText"/>
      </w:pPr>
      <w:r w:rsidRPr="002F0FAC">
        <w:t>the level of performance sought of an individual or group which may be expressed either quantitatively or qualitatively</w:t>
      </w:r>
    </w:p>
    <w:p w:rsidR="00000000" w:rsidRPr="002F0FAC" w:rsidP="002F0FAC">
      <w:pPr>
        <w:pStyle w:val="BodyText"/>
      </w:pPr>
      <w:r w:rsidRPr="002F0FAC">
        <w:rPr>
          <w:rStyle w:val="SpecialBold"/>
        </w:rPr>
        <w:t>Code of Conduct means</w:t>
      </w:r>
      <w:r w:rsidRPr="002F0FAC">
        <w:t>:</w:t>
      </w:r>
    </w:p>
    <w:p w:rsidR="00000000" w:rsidRPr="002F0FAC" w:rsidP="002F0FAC">
      <w:pPr>
        <w:pStyle w:val="BodyText"/>
      </w:pPr>
      <w:r w:rsidRPr="002F0FAC">
        <w:t>an agreed (or decreed) set or rules relating to employee behaviour/conduct with othe</w:t>
      </w:r>
      <w:r w:rsidRPr="002F0FAC">
        <w:t>r employees or customers</w:t>
      </w:r>
    </w:p>
    <w:p w:rsidR="00000000" w:rsidRPr="002F0FAC" w:rsidP="002F0FAC">
      <w:pPr>
        <w:pStyle w:val="BodyText"/>
      </w:pPr>
      <w:r w:rsidRPr="002F0FAC">
        <w:rPr>
          <w:rStyle w:val="SpecialBold"/>
        </w:rPr>
        <w:t>Risk analysis means</w:t>
      </w:r>
      <w:r w:rsidRPr="002F0FAC">
        <w:t>:</w:t>
      </w:r>
    </w:p>
    <w:p w:rsidR="00000000" w:rsidRPr="002F0FAC" w:rsidP="002F0FAC">
      <w:pPr>
        <w:pStyle w:val="BodyText"/>
      </w:pPr>
      <w:r w:rsidRPr="002F0FAC">
        <w:t xml:space="preserve">a determination of the likelihood of a negative event preventing the organisation meeting its objectives and </w:t>
      </w:r>
      <w:r w:rsidRPr="002F0FAC">
        <w:t>the likely consequences of such an event on organisational performance</w:t>
      </w:r>
    </w:p>
    <w:p w:rsidR="00000000" w:rsidRPr="002F0FAC" w:rsidP="002F0FAC">
      <w:pPr>
        <w:pStyle w:val="BodyText"/>
      </w:pPr>
      <w:r w:rsidRPr="002F0FAC">
        <w:rPr>
          <w:rStyle w:val="SpecialBold"/>
        </w:rPr>
        <w:t>Performance management means</w:t>
      </w:r>
      <w:r w:rsidRPr="002F0FAC">
        <w:t>:</w:t>
      </w:r>
    </w:p>
    <w:p w:rsidR="00000000" w:rsidRPr="002F0FAC" w:rsidP="002F0FAC">
      <w:pPr>
        <w:pStyle w:val="BodyText"/>
      </w:pPr>
      <w:r w:rsidRPr="002F0FAC">
        <w:t xml:space="preserve">a process or set of processes for establishing a shared understanding of what an individual or group is to achieve, and managing and developing individuals in a way which increases the probability it will be achieved in both the short and longer term </w:t>
      </w:r>
    </w:p>
    <w:p w:rsidR="00000000" w:rsidRPr="002F0FAC" w:rsidP="002F0FAC">
      <w:pPr>
        <w:pStyle w:val="BodyText"/>
      </w:pPr>
      <w:r w:rsidRPr="002F0FAC">
        <w:t>in a</w:t>
      </w:r>
      <w:r w:rsidRPr="002F0FAC">
        <w:t>ccordance with relevant industrial agreements</w:t>
      </w:r>
    </w:p>
    <w:p w:rsidR="00000000" w:rsidRPr="002F0FAC" w:rsidP="002F0FAC">
      <w:pPr>
        <w:pStyle w:val="BodyText"/>
      </w:pPr>
      <w:r w:rsidRPr="002F0FAC">
        <w:rPr>
          <w:rStyle w:val="SpecialBold"/>
        </w:rPr>
        <w:t>Excellence in performance means</w:t>
      </w:r>
      <w:r w:rsidRPr="002F0FAC">
        <w:t>:</w:t>
      </w:r>
    </w:p>
    <w:p w:rsidR="00000000" w:rsidRPr="002F0FAC" w:rsidP="002F0FAC">
      <w:pPr>
        <w:pStyle w:val="BodyText"/>
      </w:pPr>
      <w:r w:rsidRPr="002F0FAC">
        <w:t>regularly and consistently exceeding the performance targets established whilst meeting the organisation's performance standards</w:t>
      </w:r>
    </w:p>
    <w:p w:rsidR="00000000" w:rsidRPr="002F0FAC" w:rsidP="002F0FAC">
      <w:pPr>
        <w:pStyle w:val="BodyText"/>
      </w:pPr>
      <w:r w:rsidRPr="002F0FAC">
        <w:rPr>
          <w:rStyle w:val="SpecialBold"/>
        </w:rPr>
        <w:t>Coaching refers to</w:t>
      </w:r>
      <w:r w:rsidRPr="002F0FAC">
        <w:t>:</w:t>
      </w:r>
    </w:p>
    <w:p w:rsidR="00000000" w:rsidRPr="002F0FAC" w:rsidP="002F0FAC">
      <w:pPr>
        <w:pStyle w:val="BodyText"/>
      </w:pPr>
      <w:r w:rsidRPr="002F0FAC">
        <w:t>informal on-the-job and off-</w:t>
      </w:r>
      <w:r w:rsidRPr="002F0FAC">
        <w:t>the-job advice and training to improve performance</w:t>
      </w:r>
    </w:p>
    <w:p w:rsidR="00000000" w:rsidRPr="002F0FAC" w:rsidP="002F0FAC">
      <w:pPr>
        <w:pStyle w:val="BodyText"/>
      </w:pPr>
      <w:r w:rsidRPr="002F0FAC">
        <w:rPr>
          <w:rStyle w:val="SpecialBold"/>
        </w:rPr>
        <w:t>Termination means</w:t>
      </w:r>
      <w:r w:rsidRPr="002F0FAC">
        <w:t>:</w:t>
      </w:r>
    </w:p>
    <w:p w:rsidR="00000000" w:rsidRPr="002F0FAC" w:rsidP="002F0FAC">
      <w:pPr>
        <w:pStyle w:val="BodyText"/>
      </w:pPr>
      <w:r w:rsidRPr="002F0FAC">
        <w:t>a cessation of the contract of employment between an employer and an employee, at the initiative of the employer within relevant industrial agreements</w:t>
      </w:r>
    </w:p>
    <w:p w:rsidR="00000000" w:rsidRPr="002F0FAC" w:rsidP="002F0FAC">
      <w:pPr>
        <w:pStyle w:val="BodyText"/>
      </w:pPr>
      <w:r w:rsidRPr="002F0FAC">
        <w:rPr>
          <w:rStyle w:val="SpecialBold"/>
        </w:rPr>
        <w:t>Relevant groups and individuals inc</w:t>
      </w:r>
      <w:r w:rsidRPr="002F0FAC">
        <w:rPr>
          <w:rStyle w:val="SpecialBold"/>
        </w:rPr>
        <w:t>lude</w:t>
      </w:r>
      <w:r w:rsidRPr="002F0FAC">
        <w:t>:</w:t>
      </w:r>
    </w:p>
    <w:p w:rsidR="00000000" w:rsidRPr="002F0FAC" w:rsidP="002F0FAC">
      <w:pPr>
        <w:pStyle w:val="BodyText"/>
      </w:pPr>
      <w:r w:rsidRPr="002F0FAC">
        <w:t>employees, employee representatives, employer representatives, line managers and human resource personnel</w:t>
      </w:r>
    </w:p>
    <w:p w:rsidR="00000000" w:rsidRPr="002F0FAC" w:rsidP="002F0FAC">
      <w:pPr>
        <w:pStyle w:val="BodyText"/>
      </w:pPr>
      <w:r w:rsidRPr="002F0FAC">
        <w:t>The Range Statement provides advice to interpret the scope and context of this unit of competence, allowing for differences between enterprises and workplaces. It relates to the unit as a whole and facilitates holistic assessment. The following variables m</w:t>
      </w:r>
      <w:r w:rsidRPr="002F0FAC">
        <w:t>ay be present for this particular unit:</w:t>
      </w:r>
    </w:p>
    <w:p w:rsidR="00000000" w:rsidRPr="002F0FAC" w:rsidP="002F0FAC">
      <w:pPr>
        <w:pStyle w:val="BodyText"/>
      </w:pPr>
      <w:r w:rsidRPr="002F0FAC">
        <w:rPr>
          <w:rStyle w:val="SpecialBold"/>
        </w:rPr>
        <w:t>Legislation</w:t>
      </w:r>
      <w:r w:rsidRPr="002F0FAC">
        <w:t xml:space="preserve">, </w:t>
      </w:r>
      <w:r w:rsidRPr="002F0FAC">
        <w:rPr>
          <w:rStyle w:val="SpecialBold"/>
        </w:rPr>
        <w:t>codes and national standards relevant to the workplace which may include</w:t>
      </w:r>
      <w:r w:rsidRPr="002F0FAC">
        <w:t>:</w:t>
      </w:r>
    </w:p>
    <w:p w:rsidR="00000000" w:rsidRPr="002F0FAC" w:rsidP="002F0FAC">
      <w:pPr>
        <w:pStyle w:val="BodyText"/>
      </w:pPr>
      <w:r w:rsidRPr="002F0FAC">
        <w:t xml:space="preserve">award and enterprise agreements and relevant industrial instruments </w:t>
      </w:r>
    </w:p>
    <w:p w:rsidR="00000000" w:rsidRPr="002F0FAC" w:rsidP="002F0FAC">
      <w:pPr>
        <w:pStyle w:val="BodyText"/>
      </w:pPr>
      <w:r w:rsidRPr="002F0FAC">
        <w:t>relevant legislation from all levels of government that affe</w:t>
      </w:r>
      <w:r w:rsidRPr="002F0FAC">
        <w:t xml:space="preserve">cts business operation, especially in regard to Occupational Health and Safety and environmental issues, equal opportunity, industrial relations and anti-discrimination </w:t>
      </w:r>
    </w:p>
    <w:p w:rsidR="00000000" w:rsidRPr="002F0FAC" w:rsidP="002F0FAC">
      <w:pPr>
        <w:pStyle w:val="BodyText"/>
      </w:pPr>
      <w:r w:rsidRPr="002F0FAC">
        <w:t>relevant industry codes of practice</w:t>
      </w:r>
    </w:p>
    <w:p w:rsidR="00000000" w:rsidRPr="002F0FAC" w:rsidP="002F0FAC">
      <w:pPr>
        <w:pStyle w:val="BodyText"/>
      </w:pPr>
      <w:r w:rsidRPr="002F0FAC">
        <w:rPr>
          <w:rStyle w:val="SpecialBold"/>
        </w:rPr>
        <w:t>Key result areas means</w:t>
      </w:r>
      <w:r w:rsidRPr="002F0FAC">
        <w:t>:</w:t>
      </w:r>
    </w:p>
    <w:p w:rsidR="00000000" w:rsidRPr="002F0FAC" w:rsidP="002F0FAC">
      <w:pPr>
        <w:pStyle w:val="BodyText"/>
      </w:pPr>
      <w:r w:rsidRPr="002F0FAC">
        <w:t>those areas of business pe</w:t>
      </w:r>
      <w:r w:rsidRPr="002F0FAC">
        <w:t>rformance which are critical to the overall success of the business (or section of a business)</w:t>
      </w:r>
    </w:p>
    <w:p w:rsidR="00000000" w:rsidRPr="002F0FAC" w:rsidP="002F0FAC">
      <w:pPr>
        <w:pStyle w:val="BodyText"/>
      </w:pPr>
      <w:r w:rsidRPr="002F0FAC">
        <w:rPr>
          <w:rStyle w:val="SpecialBold"/>
        </w:rPr>
        <w:t>Key performance indicators means</w:t>
      </w:r>
      <w:r w:rsidRPr="002F0FAC">
        <w:t>:</w:t>
      </w:r>
    </w:p>
    <w:p w:rsidR="00000000" w:rsidRPr="002F0FAC" w:rsidP="002F0FAC">
      <w:pPr>
        <w:pStyle w:val="BodyText"/>
      </w:pPr>
      <w:r w:rsidRPr="002F0FAC">
        <w:t>those measures developed to gauge performance outcomes against targets</w:t>
      </w:r>
    </w:p>
    <w:p w:rsidR="00000000" w:rsidRPr="002F0FAC" w:rsidP="002F0FAC">
      <w:pPr>
        <w:pStyle w:val="BodyText"/>
      </w:pPr>
      <w:r w:rsidRPr="002F0FAC">
        <w:rPr>
          <w:rStyle w:val="SpecialBold"/>
        </w:rPr>
        <w:t>Performance standards means</w:t>
      </w:r>
      <w:r w:rsidRPr="002F0FAC">
        <w:t>:</w:t>
      </w:r>
    </w:p>
    <w:p w:rsidR="00000000" w:rsidRPr="002F0FAC" w:rsidP="002F0FAC">
      <w:pPr>
        <w:pStyle w:val="BodyText"/>
      </w:pPr>
      <w:r w:rsidRPr="002F0FAC">
        <w:t>the level of performance so</w:t>
      </w:r>
      <w:r w:rsidRPr="002F0FAC">
        <w:t>ught of an individual or group which may be expressed either quantitatively or qualitatively</w:t>
      </w:r>
    </w:p>
    <w:p w:rsidR="00000000" w:rsidRPr="002F0FAC" w:rsidP="002F0FAC">
      <w:pPr>
        <w:pStyle w:val="BodyText"/>
      </w:pPr>
      <w:r w:rsidRPr="002F0FAC">
        <w:rPr>
          <w:rStyle w:val="SpecialBold"/>
        </w:rPr>
        <w:t>Code of Conduct means</w:t>
      </w:r>
      <w:r w:rsidRPr="002F0FAC">
        <w:t>:</w:t>
      </w:r>
    </w:p>
    <w:p w:rsidR="00000000" w:rsidRPr="002F0FAC" w:rsidP="002F0FAC">
      <w:pPr>
        <w:pStyle w:val="BodyText"/>
      </w:pPr>
      <w:r w:rsidRPr="002F0FAC">
        <w:t>an agreed (or decreed) set or rules relating to employee behaviour/conduct with other employees or customers</w:t>
      </w:r>
    </w:p>
    <w:p w:rsidR="00000000" w:rsidRPr="002F0FAC" w:rsidP="002F0FAC">
      <w:pPr>
        <w:pStyle w:val="BodyText"/>
      </w:pPr>
      <w:r w:rsidRPr="002F0FAC">
        <w:rPr>
          <w:rStyle w:val="SpecialBold"/>
        </w:rPr>
        <w:t>Risk analysis means</w:t>
      </w:r>
      <w:r w:rsidRPr="002F0FAC">
        <w:t>:</w:t>
      </w:r>
    </w:p>
    <w:p w:rsidR="00000000" w:rsidRPr="002F0FAC" w:rsidP="002F0FAC">
      <w:pPr>
        <w:pStyle w:val="BodyText"/>
      </w:pPr>
      <w:r w:rsidRPr="002F0FAC">
        <w:t>a determin</w:t>
      </w:r>
      <w:r w:rsidRPr="002F0FAC">
        <w:t>ation of the likelihood of a negative event preventing the organisation meeting its objectives and the likely consequences of such an event on organisational performance</w:t>
      </w:r>
    </w:p>
    <w:p w:rsidR="00000000" w:rsidRPr="002F0FAC" w:rsidP="002F0FAC">
      <w:pPr>
        <w:pStyle w:val="BodyText"/>
      </w:pPr>
      <w:r w:rsidRPr="002F0FAC">
        <w:rPr>
          <w:rStyle w:val="SpecialBold"/>
        </w:rPr>
        <w:t>Performance management means</w:t>
      </w:r>
      <w:r w:rsidRPr="002F0FAC">
        <w:t>:</w:t>
      </w:r>
    </w:p>
    <w:p w:rsidR="00000000" w:rsidRPr="002F0FAC" w:rsidP="002F0FAC">
      <w:pPr>
        <w:pStyle w:val="BodyText"/>
      </w:pPr>
      <w:r w:rsidRPr="002F0FAC">
        <w:t xml:space="preserve">a process or set of processes for establishing a shared </w:t>
      </w:r>
      <w:r w:rsidRPr="002F0FAC">
        <w:t xml:space="preserve">understanding of what an individual or group is to achieve, and managing and developing individuals in a way which increases the probability it will be achieved in both the short and longer term </w:t>
      </w:r>
    </w:p>
    <w:p w:rsidR="00000000" w:rsidRPr="002F0FAC" w:rsidP="002F0FAC">
      <w:pPr>
        <w:pStyle w:val="BodyText"/>
      </w:pPr>
      <w:r w:rsidRPr="002F0FAC">
        <w:t>in accordance with relevant industrial agreements</w:t>
      </w:r>
    </w:p>
    <w:p w:rsidR="00000000" w:rsidRPr="002F0FAC" w:rsidP="002F0FAC">
      <w:pPr>
        <w:pStyle w:val="BodyText"/>
      </w:pPr>
      <w:r w:rsidRPr="002F0FAC">
        <w:rPr>
          <w:rStyle w:val="SpecialBold"/>
        </w:rPr>
        <w:t>Excellence</w:t>
      </w:r>
      <w:r w:rsidRPr="002F0FAC">
        <w:rPr>
          <w:rStyle w:val="SpecialBold"/>
        </w:rPr>
        <w:t xml:space="preserve"> in performance means</w:t>
      </w:r>
      <w:r w:rsidRPr="002F0FAC">
        <w:t>:</w:t>
      </w:r>
    </w:p>
    <w:p w:rsidR="00000000" w:rsidRPr="002F0FAC" w:rsidP="002F0FAC">
      <w:pPr>
        <w:pStyle w:val="BodyText"/>
      </w:pPr>
      <w:r w:rsidRPr="002F0FAC">
        <w:t>regularly and consistently exceeding the performance targets established whilst meeting the organisation's performance standards</w:t>
      </w:r>
    </w:p>
    <w:p w:rsidR="00000000" w:rsidRPr="002F0FAC" w:rsidP="002F0FAC">
      <w:pPr>
        <w:pStyle w:val="BodyText"/>
      </w:pPr>
      <w:r w:rsidRPr="002F0FAC">
        <w:rPr>
          <w:rStyle w:val="SpecialBold"/>
        </w:rPr>
        <w:t>Coaching refers to</w:t>
      </w:r>
      <w:r w:rsidRPr="002F0FAC">
        <w:t>:</w:t>
      </w:r>
    </w:p>
    <w:p w:rsidR="00000000" w:rsidRPr="002F0FAC" w:rsidP="002F0FAC">
      <w:pPr>
        <w:pStyle w:val="BodyText"/>
      </w:pPr>
      <w:r w:rsidRPr="002F0FAC">
        <w:t>informal on-the-job and off-the-job advice and training to improve performance</w:t>
      </w:r>
    </w:p>
    <w:p w:rsidR="00000000" w:rsidRPr="002F0FAC" w:rsidP="002F0FAC">
      <w:pPr>
        <w:pStyle w:val="BodyText"/>
      </w:pPr>
      <w:r w:rsidRPr="002F0FAC">
        <w:rPr>
          <w:rStyle w:val="SpecialBold"/>
        </w:rPr>
        <w:t>Termi</w:t>
      </w:r>
      <w:r w:rsidRPr="002F0FAC">
        <w:rPr>
          <w:rStyle w:val="SpecialBold"/>
        </w:rPr>
        <w:t>nation means</w:t>
      </w:r>
      <w:r w:rsidRPr="002F0FAC">
        <w:t>:</w:t>
      </w:r>
    </w:p>
    <w:p w:rsidR="00000000" w:rsidRPr="002F0FAC" w:rsidP="002F0FAC">
      <w:pPr>
        <w:pStyle w:val="BodyText"/>
      </w:pPr>
      <w:r w:rsidRPr="002F0FAC">
        <w:t>a cessation of the contract of employment between an employer and an employee, at the initiative of the employer within relevant industrial agreements</w:t>
      </w:r>
    </w:p>
    <w:p w:rsidR="00000000" w:rsidRPr="002F0FAC" w:rsidP="002F0FAC">
      <w:pPr>
        <w:pStyle w:val="BodyText"/>
      </w:pPr>
      <w:r w:rsidRPr="002F0FAC">
        <w:rPr>
          <w:rStyle w:val="SpecialBold"/>
        </w:rPr>
        <w:t>Relevant groups and individuals include</w:t>
      </w:r>
      <w:r w:rsidRPr="002F0FAC">
        <w:t>:</w:t>
      </w:r>
    </w:p>
    <w:p w:rsidR="00000000" w:rsidRPr="002F0FAC" w:rsidP="002F0FAC">
      <w:pPr>
        <w:pStyle w:val="BodyText"/>
      </w:pPr>
      <w:r w:rsidRPr="002F0FAC">
        <w:t>employees, employee representatives, employer repr</w:t>
      </w:r>
      <w:r w:rsidRPr="002F0FAC">
        <w:t>esentatives, line managers and human resource personnel</w:t>
      </w:r>
    </w:p>
    <w:p w:rsidR="00000000" w:rsidRPr="002F0FAC" w:rsidP="002F0FAC">
      <w:pPr>
        <w:pStyle w:val="AllowPageBreak"/>
      </w:pPr>
    </w:p>
    <w:p w:rsidR="00000000" w:rsidRPr="002F0FAC" w:rsidP="002F0FAC">
      <w:pPr>
        <w:pStyle w:val="Heading1"/>
      </w:pPr>
      <w:bookmarkStart w:id="12" w:name="O_323375"/>
      <w:bookmarkEnd w:id="12"/>
      <w:r w:rsidRPr="002F0FAC">
        <w:t>Unit Sector(s)</w:t>
      </w:r>
    </w:p>
    <w:p w:rsidR="00000000" w:rsidRPr="002F0FAC" w:rsidP="002F0FAC">
      <w:pPr>
        <w:pStyle w:val="BodyText"/>
      </w:pPr>
      <w:r w:rsidRPr="002F0FAC">
        <w:t>Not applicable.</w:t>
      </w:r>
    </w:p>
    <w:p w:rsidR="00000000" w:rsidRPr="002F0FAC" w:rsidP="002F0FAC"/>
    <w:sectPr w:rsidSect="002F0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DFE" w:rsidP="00BB4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FE" w:rsidP="002F0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4DFE" w:rsidP="002F0F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4DFE" w:rsidP="002F0F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AC" w:rsidRPr="00BB4DFE" w:rsidP="00BB4D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FE" w:rsidP="002F0FAC">
    <w:pPr>
      <w:pStyle w:val="Header"/>
      <w:framePr w:wrap="around"/>
    </w:pPr>
    <w:r>
      <w:fldChar w:fldCharType="begin"/>
    </w:r>
    <w:r>
      <w:instrText xml:space="preserve"> TITLE   \* MERGEFORMAT </w:instrText>
    </w:r>
    <w:r>
      <w:fldChar w:fldCharType="separate"/>
    </w:r>
    <w:r>
      <w:t>BSBMGT502A Manage people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4DFE" w:rsidP="002F0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F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0FAC"/>
    <w:pPr>
      <w:spacing w:before="360" w:after="60"/>
      <w:outlineLvl w:val="0"/>
    </w:pPr>
    <w:rPr>
      <w:sz w:val="32"/>
    </w:rPr>
  </w:style>
  <w:style w:type="paragraph" w:styleId="Heading2">
    <w:name w:val="heading 2"/>
    <w:basedOn w:val="HeadingBase"/>
    <w:next w:val="BodyText"/>
    <w:link w:val="Heading2Char"/>
    <w:qFormat/>
    <w:rsid w:val="002F0FAC"/>
    <w:pPr>
      <w:keepLines/>
      <w:spacing w:before="240" w:after="120"/>
      <w:outlineLvl w:val="1"/>
    </w:pPr>
    <w:rPr>
      <w:sz w:val="28"/>
      <w:szCs w:val="40"/>
    </w:rPr>
  </w:style>
  <w:style w:type="paragraph" w:styleId="Heading3">
    <w:name w:val="heading 3"/>
    <w:basedOn w:val="HeadingBase"/>
    <w:next w:val="BodyText"/>
    <w:link w:val="Heading3Char"/>
    <w:qFormat/>
    <w:rsid w:val="002F0FAC"/>
    <w:pPr>
      <w:spacing w:before="180" w:after="120"/>
      <w:outlineLvl w:val="2"/>
    </w:pPr>
    <w:rPr>
      <w:spacing w:val="-10"/>
      <w:kern w:val="32"/>
    </w:rPr>
  </w:style>
  <w:style w:type="paragraph" w:styleId="Heading4">
    <w:name w:val="heading 4"/>
    <w:basedOn w:val="HeadingBase"/>
    <w:next w:val="BodyText"/>
    <w:link w:val="Heading4Char"/>
    <w:qFormat/>
    <w:rsid w:val="002F0FAC"/>
    <w:pPr>
      <w:spacing w:before="160" w:after="120"/>
      <w:outlineLvl w:val="3"/>
    </w:pPr>
    <w:rPr>
      <w:sz w:val="22"/>
    </w:rPr>
  </w:style>
  <w:style w:type="paragraph" w:styleId="Heading5">
    <w:name w:val="heading 5"/>
    <w:basedOn w:val="HeadingBase"/>
    <w:next w:val="Normal"/>
    <w:link w:val="Heading5Char"/>
    <w:qFormat/>
    <w:rsid w:val="002F0FAC"/>
    <w:pPr>
      <w:spacing w:before="80"/>
      <w:outlineLvl w:val="4"/>
    </w:pPr>
    <w:rPr>
      <w:color w:val="918585"/>
      <w:sz w:val="20"/>
    </w:rPr>
  </w:style>
  <w:style w:type="paragraph" w:styleId="Heading6">
    <w:name w:val="heading 6"/>
    <w:basedOn w:val="HeadingBase"/>
    <w:next w:val="Normal"/>
    <w:link w:val="Heading6Char"/>
    <w:qFormat/>
    <w:rsid w:val="002F0FAC"/>
    <w:pPr>
      <w:spacing w:before="60"/>
      <w:outlineLvl w:val="5"/>
    </w:pPr>
    <w:rPr>
      <w:color w:val="918585"/>
      <w:sz w:val="20"/>
    </w:rPr>
  </w:style>
  <w:style w:type="paragraph" w:styleId="Heading7">
    <w:name w:val="heading 7"/>
    <w:basedOn w:val="Normal"/>
    <w:next w:val="Normal"/>
    <w:link w:val="Heading7Char"/>
    <w:qFormat/>
    <w:rsid w:val="002F0FAC"/>
    <w:pPr>
      <w:ind w:left="720"/>
      <w:outlineLvl w:val="6"/>
    </w:pPr>
    <w:rPr>
      <w:i/>
    </w:rPr>
  </w:style>
  <w:style w:type="paragraph" w:styleId="Heading8">
    <w:name w:val="heading 8"/>
    <w:basedOn w:val="Normal"/>
    <w:next w:val="Normal"/>
    <w:link w:val="Heading8Char"/>
    <w:qFormat/>
    <w:rsid w:val="002F0FAC"/>
    <w:pPr>
      <w:ind w:left="720"/>
      <w:outlineLvl w:val="7"/>
    </w:pPr>
    <w:rPr>
      <w:i/>
    </w:rPr>
  </w:style>
  <w:style w:type="paragraph" w:styleId="Heading9">
    <w:name w:val="heading 9"/>
    <w:basedOn w:val="Normal"/>
    <w:next w:val="Normal"/>
    <w:link w:val="Heading9Char"/>
    <w:qFormat/>
    <w:rsid w:val="002F0FAC"/>
    <w:pPr>
      <w:ind w:left="720"/>
      <w:outlineLvl w:val="8"/>
    </w:pPr>
    <w:rPr>
      <w:i/>
    </w:rPr>
  </w:style>
  <w:style w:type="character" w:default="1" w:styleId="DefaultParagraphFont">
    <w:name w:val="Default Paragraph Font"/>
    <w:uiPriority w:val="1"/>
    <w:unhideWhenUsed/>
    <w:rsid w:val="002F0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FAC"/>
  </w:style>
  <w:style w:type="character" w:customStyle="1" w:styleId="Heading1Char">
    <w:name w:val="Heading 1 Char"/>
    <w:link w:val="Heading1"/>
    <w:rsid w:val="002F0FAC"/>
    <w:rPr>
      <w:rFonts w:ascii="Times New Roman" w:eastAsia="Times New Roman" w:hAnsi="Times New Roman" w:cs="Times New Roman"/>
      <w:b/>
      <w:sz w:val="32"/>
      <w:szCs w:val="20"/>
      <w:lang w:eastAsia="en-US"/>
    </w:rPr>
  </w:style>
  <w:style w:type="paragraph" w:styleId="BodyText">
    <w:name w:val="Body Text"/>
    <w:basedOn w:val="Normal"/>
    <w:link w:val="BodyTextChar"/>
    <w:rsid w:val="002F0FAC"/>
    <w:pPr>
      <w:spacing w:before="120" w:after="120"/>
      <w:contextualSpacing/>
    </w:pPr>
    <w:rPr>
      <w:rFonts w:ascii="Times New Roman" w:hAnsi="Times New Roman"/>
      <w:sz w:val="24"/>
      <w:szCs w:val="22"/>
    </w:rPr>
  </w:style>
  <w:style w:type="character" w:customStyle="1" w:styleId="BodyTextChar">
    <w:name w:val="Body Text Char"/>
    <w:link w:val="BodyText"/>
    <w:rsid w:val="002F0FAC"/>
    <w:rPr>
      <w:rFonts w:ascii="Times New Roman" w:eastAsia="Times New Roman" w:hAnsi="Times New Roman" w:cs="Times New Roman"/>
      <w:sz w:val="24"/>
      <w:lang w:val="en-US" w:eastAsia="en-US"/>
    </w:rPr>
  </w:style>
  <w:style w:type="paragraph" w:styleId="Footer">
    <w:name w:val="footer"/>
    <w:basedOn w:val="Normal"/>
    <w:link w:val="FooterChar"/>
    <w:rsid w:val="002F0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0FAC"/>
    <w:rPr>
      <w:rFonts w:ascii="Times New Roman" w:eastAsia="Times New Roman" w:hAnsi="Times New Roman" w:cs="Times New Roman"/>
      <w:sz w:val="16"/>
      <w:lang w:val="en-US" w:eastAsia="en-US"/>
    </w:rPr>
  </w:style>
  <w:style w:type="character" w:customStyle="1" w:styleId="SpecialBold">
    <w:name w:val="Special Bold"/>
    <w:rsid w:val="002F0FAC"/>
    <w:rPr>
      <w:b/>
      <w:spacing w:val="0"/>
    </w:rPr>
  </w:style>
  <w:style w:type="paragraph" w:customStyle="1" w:styleId="SuperHeading">
    <w:name w:val="SuperHeading"/>
    <w:basedOn w:val="Normal"/>
    <w:rsid w:val="002F0FAC"/>
    <w:pPr>
      <w:spacing w:before="240" w:after="120"/>
      <w:outlineLvl w:val="0"/>
    </w:pPr>
    <w:rPr>
      <w:rFonts w:ascii="Times New Roman" w:hAnsi="Times New Roman"/>
      <w:b/>
      <w:sz w:val="28"/>
    </w:rPr>
  </w:style>
  <w:style w:type="paragraph" w:customStyle="1" w:styleId="AllowPageBreak">
    <w:name w:val="AllowPageBreak"/>
    <w:rsid w:val="002F0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F0FAC"/>
    <w:rPr>
      <w:rFonts w:ascii="Times New Roman" w:eastAsia="Times New Roman" w:hAnsi="Times New Roman" w:cs="Times New Roman"/>
      <w:b/>
      <w:sz w:val="28"/>
      <w:szCs w:val="40"/>
      <w:lang w:eastAsia="en-US"/>
    </w:rPr>
  </w:style>
  <w:style w:type="character" w:customStyle="1" w:styleId="Heading3Char">
    <w:name w:val="Heading 3 Char"/>
    <w:link w:val="Heading3"/>
    <w:rsid w:val="002F0FA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0FAC"/>
    <w:rPr>
      <w:rFonts w:ascii="Times New Roman" w:eastAsia="Times New Roman" w:hAnsi="Times New Roman" w:cs="Times New Roman"/>
      <w:b/>
      <w:szCs w:val="20"/>
      <w:lang w:eastAsia="en-US"/>
    </w:rPr>
  </w:style>
  <w:style w:type="character" w:customStyle="1" w:styleId="Heading5Char">
    <w:name w:val="Heading 5 Char"/>
    <w:link w:val="Heading5"/>
    <w:rsid w:val="002F0F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0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F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0F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0FAC"/>
    <w:rPr>
      <w:rFonts w:ascii="Courier New" w:eastAsia="Times New Roman" w:hAnsi="Courier New" w:cs="Times New Roman"/>
      <w:i/>
      <w:szCs w:val="20"/>
      <w:lang w:val="en-US" w:eastAsia="en-US"/>
    </w:rPr>
  </w:style>
  <w:style w:type="paragraph" w:customStyle="1" w:styleId="HeadingBase">
    <w:name w:val="Heading Base"/>
    <w:rsid w:val="002F0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FAC"/>
    <w:pPr>
      <w:tabs>
        <w:tab w:val="right" w:leader="dot" w:pos="9072"/>
      </w:tabs>
      <w:ind w:left="567"/>
    </w:pPr>
    <w:rPr>
      <w:szCs w:val="22"/>
    </w:rPr>
  </w:style>
  <w:style w:type="paragraph" w:customStyle="1" w:styleId="TOCBase">
    <w:name w:val="TOC Base"/>
    <w:rsid w:val="002F0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FAC"/>
    <w:pPr>
      <w:tabs>
        <w:tab w:val="right" w:leader="dot" w:pos="9072"/>
      </w:tabs>
      <w:spacing w:before="40" w:after="40"/>
      <w:ind w:left="284"/>
    </w:pPr>
    <w:rPr>
      <w:rFonts w:ascii="Times New Roman" w:hAnsi="Times New Roman"/>
    </w:rPr>
  </w:style>
  <w:style w:type="paragraph" w:styleId="TOC1">
    <w:name w:val="toc 1"/>
    <w:basedOn w:val="TOCBase"/>
    <w:next w:val="Normal"/>
    <w:rsid w:val="002F0F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0FAC"/>
    <w:pPr>
      <w:spacing w:before="5040"/>
      <w:jc w:val="center"/>
    </w:pPr>
    <w:rPr>
      <w:sz w:val="48"/>
      <w:szCs w:val="72"/>
      <w:lang w:val="en-US"/>
    </w:rPr>
  </w:style>
  <w:style w:type="character" w:customStyle="1" w:styleId="TitleChar">
    <w:name w:val="Title Char"/>
    <w:link w:val="Title"/>
    <w:rsid w:val="002F0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FAC"/>
    <w:pPr>
      <w:tabs>
        <w:tab w:val="left" w:pos="3600"/>
        <w:tab w:val="left" w:pos="3958"/>
      </w:tabs>
    </w:pPr>
  </w:style>
  <w:style w:type="paragraph" w:styleId="List">
    <w:name w:val="List"/>
    <w:basedOn w:val="BodyText"/>
    <w:next w:val="BodyText"/>
    <w:rsid w:val="002F0FAC"/>
    <w:pPr>
      <w:tabs>
        <w:tab w:val="left" w:pos="340"/>
      </w:tabs>
      <w:spacing w:before="60" w:after="60"/>
      <w:ind w:left="340" w:hanging="340"/>
    </w:pPr>
  </w:style>
  <w:style w:type="paragraph" w:styleId="ListBullet">
    <w:name w:val="List Bullet"/>
    <w:basedOn w:val="List"/>
    <w:rsid w:val="002F0FAC"/>
    <w:pPr>
      <w:numPr>
        <w:numId w:val="11"/>
      </w:numPr>
      <w:tabs>
        <w:tab w:val="clear" w:pos="340"/>
      </w:tabs>
      <w:spacing w:before="40" w:after="40"/>
    </w:pPr>
  </w:style>
  <w:style w:type="paragraph" w:customStyle="1" w:styleId="Note">
    <w:name w:val="Note"/>
    <w:basedOn w:val="BodyText"/>
    <w:rsid w:val="002F0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FAC"/>
    <w:pPr>
      <w:framePr w:wrap="auto" w:hAnchor="text" w:y="6049"/>
    </w:pPr>
    <w:rPr>
      <w:color w:val="000000"/>
      <w:sz w:val="40"/>
    </w:rPr>
  </w:style>
  <w:style w:type="paragraph" w:customStyle="1" w:styleId="TOCTitle">
    <w:name w:val="TOCTitle"/>
    <w:basedOn w:val="Heading1"/>
    <w:rsid w:val="002F0FAC"/>
    <w:pPr>
      <w:spacing w:after="240"/>
      <w:jc w:val="center"/>
      <w:outlineLvl w:val="9"/>
    </w:pPr>
    <w:rPr>
      <w:caps/>
    </w:rPr>
  </w:style>
  <w:style w:type="paragraph" w:customStyle="1" w:styleId="Version">
    <w:name w:val="Version"/>
    <w:rsid w:val="002F0F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FAC"/>
    <w:pPr>
      <w:numPr>
        <w:numId w:val="12"/>
      </w:numPr>
      <w:tabs>
        <w:tab w:val="clear" w:pos="680"/>
      </w:tabs>
    </w:pPr>
  </w:style>
  <w:style w:type="paragraph" w:styleId="Index1">
    <w:name w:val="index 1"/>
    <w:basedOn w:val="Normal"/>
    <w:next w:val="Normal"/>
    <w:semiHidden/>
    <w:rsid w:val="002F0FAC"/>
    <w:pPr>
      <w:keepNext w:val="0"/>
      <w:tabs>
        <w:tab w:val="right" w:pos="4176"/>
      </w:tabs>
      <w:ind w:left="198" w:hanging="198"/>
    </w:pPr>
    <w:rPr>
      <w:rFonts w:ascii="Garamond" w:hAnsi="Garamond"/>
    </w:rPr>
  </w:style>
  <w:style w:type="paragraph" w:styleId="IndexHeading">
    <w:name w:val="index heading"/>
    <w:basedOn w:val="Normal"/>
    <w:next w:val="Index1"/>
    <w:semiHidden/>
    <w:rsid w:val="002F0FAC"/>
    <w:pPr>
      <w:spacing w:before="120" w:after="120"/>
    </w:pPr>
    <w:rPr>
      <w:rFonts w:ascii="Arial" w:hAnsi="Arial"/>
      <w:b/>
      <w:color w:val="918585"/>
      <w:sz w:val="24"/>
    </w:rPr>
  </w:style>
  <w:style w:type="paragraph" w:styleId="Header">
    <w:name w:val="header"/>
    <w:basedOn w:val="Normal"/>
    <w:link w:val="HeaderChar"/>
    <w:rsid w:val="002F0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0FAC"/>
    <w:rPr>
      <w:rFonts w:ascii="Times New Roman" w:eastAsia="Times New Roman" w:hAnsi="Times New Roman" w:cs="Times New Roman"/>
      <w:sz w:val="16"/>
      <w:szCs w:val="20"/>
      <w:lang w:val="en-GB" w:eastAsia="en-US"/>
    </w:rPr>
  </w:style>
  <w:style w:type="paragraph" w:customStyle="1" w:styleId="Chapter">
    <w:name w:val="Chapter"/>
    <w:basedOn w:val="Normal"/>
    <w:rsid w:val="002F0FAC"/>
    <w:pPr>
      <w:spacing w:before="240"/>
    </w:pPr>
    <w:rPr>
      <w:rFonts w:ascii="Times New Roman" w:hAnsi="Times New Roman"/>
      <w:smallCaps/>
      <w:spacing w:val="80"/>
      <w:sz w:val="28"/>
    </w:rPr>
  </w:style>
  <w:style w:type="paragraph" w:customStyle="1" w:styleId="InChapter">
    <w:name w:val="InChapter"/>
    <w:basedOn w:val="Heading3"/>
    <w:rsid w:val="002F0FAC"/>
    <w:pPr>
      <w:spacing w:after="240"/>
      <w:outlineLvl w:val="9"/>
    </w:pPr>
    <w:rPr>
      <w:noProof/>
    </w:rPr>
  </w:style>
  <w:style w:type="paragraph" w:styleId="Index2">
    <w:name w:val="index 2"/>
    <w:basedOn w:val="Normal"/>
    <w:next w:val="Normal"/>
    <w:semiHidden/>
    <w:rsid w:val="002F0FAC"/>
    <w:pPr>
      <w:tabs>
        <w:tab w:val="right" w:pos="4176"/>
      </w:tabs>
      <w:ind w:left="568" w:hanging="284"/>
    </w:pPr>
    <w:rPr>
      <w:rFonts w:ascii="Garamond" w:hAnsi="Garamond"/>
    </w:rPr>
  </w:style>
  <w:style w:type="paragraph" w:customStyle="1" w:styleId="Byline">
    <w:name w:val="Byline"/>
    <w:rsid w:val="002F0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FAC"/>
    <w:pPr>
      <w:tabs>
        <w:tab w:val="clear" w:pos="3600"/>
        <w:tab w:val="clear" w:pos="3958"/>
      </w:tabs>
      <w:jc w:val="right"/>
    </w:pPr>
  </w:style>
  <w:style w:type="character" w:styleId="Emphasis">
    <w:name w:val="Emphasis"/>
    <w:qFormat/>
    <w:rsid w:val="002F0FAC"/>
    <w:rPr>
      <w:i/>
    </w:rPr>
  </w:style>
  <w:style w:type="paragraph" w:styleId="Caption">
    <w:name w:val="caption"/>
    <w:basedOn w:val="BodyText"/>
    <w:next w:val="Normal"/>
    <w:qFormat/>
    <w:rsid w:val="002F0FAC"/>
    <w:pPr>
      <w:framePr w:w="2268" w:hSpace="181" w:vSpace="181" w:wrap="around" w:vAnchor="text" w:hAnchor="page" w:x="1135" w:y="285" w:anchorLock="1"/>
    </w:pPr>
    <w:rPr>
      <w:i/>
    </w:rPr>
  </w:style>
  <w:style w:type="paragraph" w:customStyle="1" w:styleId="MiniTOCTitle">
    <w:name w:val="MiniTOCTitle"/>
    <w:basedOn w:val="Heading4"/>
    <w:rsid w:val="002F0FAC"/>
    <w:pPr>
      <w:spacing w:before="240"/>
      <w:outlineLvl w:val="9"/>
    </w:pPr>
    <w:rPr>
      <w:noProof/>
      <w:sz w:val="24"/>
    </w:rPr>
  </w:style>
  <w:style w:type="paragraph" w:customStyle="1" w:styleId="MiniTOCItem">
    <w:name w:val="MiniTOCItem"/>
    <w:basedOn w:val="ListBullet"/>
    <w:rsid w:val="002F0FAC"/>
    <w:pPr>
      <w:numPr>
        <w:numId w:val="0"/>
      </w:numPr>
      <w:tabs>
        <w:tab w:val="right" w:leader="dot" w:pos="6521"/>
      </w:tabs>
      <w:spacing w:before="0" w:after="0"/>
    </w:pPr>
  </w:style>
  <w:style w:type="paragraph" w:customStyle="1" w:styleId="TOFTitle">
    <w:name w:val="TOFTitle"/>
    <w:basedOn w:val="TOCTitle"/>
    <w:rsid w:val="002F0FAC"/>
  </w:style>
  <w:style w:type="paragraph" w:styleId="TableofFigures">
    <w:name w:val="table of figures"/>
    <w:basedOn w:val="Normal"/>
    <w:next w:val="Normal"/>
    <w:semiHidden/>
    <w:rsid w:val="002F0FAC"/>
    <w:pPr>
      <w:tabs>
        <w:tab w:val="right" w:leader="dot" w:pos="9072"/>
      </w:tabs>
      <w:ind w:left="970" w:hanging="403"/>
    </w:pPr>
    <w:rPr>
      <w:rFonts w:ascii="Times New Roman" w:hAnsi="Times New Roman"/>
      <w:b/>
    </w:rPr>
  </w:style>
  <w:style w:type="paragraph" w:styleId="ListNumber">
    <w:name w:val="List Number"/>
    <w:basedOn w:val="List"/>
    <w:rsid w:val="002F0FAC"/>
    <w:pPr>
      <w:numPr>
        <w:numId w:val="9"/>
      </w:numPr>
    </w:pPr>
  </w:style>
  <w:style w:type="character" w:customStyle="1" w:styleId="WingdingSymbols">
    <w:name w:val="Wingding Symbols"/>
    <w:rsid w:val="002F0FAC"/>
    <w:rPr>
      <w:rFonts w:ascii="Wingdings" w:hAnsi="Wingdings"/>
    </w:rPr>
  </w:style>
  <w:style w:type="paragraph" w:customStyle="1" w:styleId="TableHeading">
    <w:name w:val="Table Heading"/>
    <w:basedOn w:val="HeadingBase"/>
    <w:rsid w:val="002F0FAC"/>
    <w:pPr>
      <w:keepLines/>
      <w:pBdr>
        <w:bottom w:val="single" w:sz="6" w:space="1" w:color="918585"/>
      </w:pBdr>
      <w:spacing w:before="240"/>
    </w:pPr>
  </w:style>
  <w:style w:type="character" w:customStyle="1" w:styleId="HotSpot">
    <w:name w:val="HotSpot"/>
    <w:rsid w:val="002F0FAC"/>
    <w:rPr>
      <w:color w:val="0033CC"/>
      <w:u w:val="none"/>
    </w:rPr>
  </w:style>
  <w:style w:type="paragraph" w:customStyle="1" w:styleId="BodyTextRight">
    <w:name w:val="Body Text Right"/>
    <w:basedOn w:val="BodyText"/>
    <w:rsid w:val="002F0FAC"/>
    <w:pPr>
      <w:spacing w:before="0" w:after="0"/>
      <w:jc w:val="right"/>
    </w:pPr>
  </w:style>
  <w:style w:type="paragraph" w:styleId="Index3">
    <w:name w:val="index 3"/>
    <w:basedOn w:val="ListNumber2"/>
    <w:next w:val="Normal"/>
    <w:semiHidden/>
    <w:rsid w:val="002F0FAC"/>
    <w:pPr>
      <w:numPr>
        <w:numId w:val="0"/>
      </w:numPr>
      <w:tabs>
        <w:tab w:val="right" w:leader="dot" w:pos="4176"/>
      </w:tabs>
    </w:pPr>
  </w:style>
  <w:style w:type="paragraph" w:styleId="ListNumber2">
    <w:name w:val="List Number 2"/>
    <w:basedOn w:val="List2"/>
    <w:rsid w:val="002F0FAC"/>
    <w:pPr>
      <w:numPr>
        <w:numId w:val="8"/>
      </w:numPr>
      <w:tabs>
        <w:tab w:val="clear" w:pos="1060"/>
      </w:tabs>
    </w:pPr>
  </w:style>
  <w:style w:type="paragraph" w:customStyle="1" w:styleId="MarginNote">
    <w:name w:val="Margin Note"/>
    <w:basedOn w:val="BodyText"/>
    <w:rsid w:val="002F0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0F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0FAC"/>
    <w:rPr>
      <w:sz w:val="32"/>
    </w:rPr>
  </w:style>
  <w:style w:type="paragraph" w:customStyle="1" w:styleId="HeadingProcedure">
    <w:name w:val="Heading Procedure"/>
    <w:basedOn w:val="HeadingBase"/>
    <w:next w:val="Normal"/>
    <w:rsid w:val="002F0FAC"/>
    <w:pPr>
      <w:tabs>
        <w:tab w:val="left" w:pos="0"/>
      </w:tabs>
      <w:spacing w:before="120" w:after="60"/>
    </w:pPr>
    <w:rPr>
      <w:i/>
      <w:color w:val="918585"/>
      <w:sz w:val="22"/>
    </w:rPr>
  </w:style>
  <w:style w:type="paragraph" w:customStyle="1" w:styleId="TableBodyText">
    <w:name w:val="Table Body Text"/>
    <w:basedOn w:val="BodyText"/>
    <w:rsid w:val="002F0FAC"/>
    <w:pPr>
      <w:spacing w:before="60" w:after="60"/>
    </w:pPr>
  </w:style>
  <w:style w:type="paragraph" w:styleId="ListContinue">
    <w:name w:val="List Continue"/>
    <w:basedOn w:val="List"/>
    <w:rsid w:val="002F0FAC"/>
    <w:pPr>
      <w:ind w:firstLine="0"/>
    </w:pPr>
  </w:style>
  <w:style w:type="paragraph" w:customStyle="1" w:styleId="ListNote">
    <w:name w:val="List Note"/>
    <w:basedOn w:val="List"/>
    <w:rsid w:val="002F0FAC"/>
    <w:pPr>
      <w:pBdr>
        <w:top w:val="single" w:sz="6" w:space="2" w:color="918585"/>
        <w:bottom w:val="single" w:sz="6" w:space="2" w:color="918585"/>
      </w:pBdr>
      <w:tabs>
        <w:tab w:val="left" w:pos="1021"/>
      </w:tabs>
      <w:ind w:firstLine="0"/>
    </w:pPr>
  </w:style>
  <w:style w:type="paragraph" w:customStyle="1" w:styleId="Warning">
    <w:name w:val="Warning"/>
    <w:basedOn w:val="BodyText"/>
    <w:rsid w:val="002F0FAC"/>
    <w:pPr>
      <w:shd w:val="clear" w:color="auto" w:fill="D9D9D9"/>
      <w:tabs>
        <w:tab w:val="left" w:pos="992"/>
      </w:tabs>
      <w:ind w:left="119" w:right="119"/>
    </w:pPr>
    <w:rPr>
      <w:sz w:val="20"/>
    </w:rPr>
  </w:style>
  <w:style w:type="paragraph" w:customStyle="1" w:styleId="MarginIcons">
    <w:name w:val="Margin Icons"/>
    <w:basedOn w:val="BodyText"/>
    <w:rsid w:val="002F0F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0FAC"/>
    <w:rPr>
      <w:rFonts w:ascii="Courier New" w:hAnsi="Courier New"/>
    </w:rPr>
  </w:style>
  <w:style w:type="paragraph" w:customStyle="1" w:styleId="NoteBullet">
    <w:name w:val="Note Bullet"/>
    <w:basedOn w:val="Note"/>
    <w:rsid w:val="002F0FAC"/>
    <w:pPr>
      <w:tabs>
        <w:tab w:val="clear" w:pos="680"/>
      </w:tabs>
      <w:spacing w:before="60" w:after="60"/>
    </w:pPr>
  </w:style>
  <w:style w:type="paragraph" w:customStyle="1" w:styleId="SubHeading2">
    <w:name w:val="SubHeading2"/>
    <w:basedOn w:val="HeadingBase"/>
    <w:rsid w:val="002F0FAC"/>
    <w:pPr>
      <w:spacing w:before="240" w:after="60"/>
    </w:pPr>
    <w:rPr>
      <w:sz w:val="20"/>
    </w:rPr>
  </w:style>
  <w:style w:type="paragraph" w:customStyle="1" w:styleId="SubHeading1">
    <w:name w:val="SubHeading1"/>
    <w:basedOn w:val="HeadingBase"/>
    <w:rsid w:val="002F0FAC"/>
    <w:pPr>
      <w:spacing w:before="240" w:after="60"/>
    </w:pPr>
    <w:rPr>
      <w:color w:val="918585"/>
      <w:sz w:val="22"/>
    </w:rPr>
  </w:style>
  <w:style w:type="paragraph" w:customStyle="1" w:styleId="SideHeading">
    <w:name w:val="Side Heading"/>
    <w:basedOn w:val="HeadingBase"/>
    <w:rsid w:val="002F0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FAC"/>
    <w:pPr>
      <w:numPr>
        <w:numId w:val="10"/>
      </w:numPr>
    </w:pPr>
  </w:style>
  <w:style w:type="paragraph" w:styleId="PlainText">
    <w:name w:val="Plain Text"/>
    <w:basedOn w:val="Normal"/>
    <w:link w:val="PlainTextChar"/>
    <w:rsid w:val="002F0FAC"/>
    <w:rPr>
      <w:sz w:val="20"/>
    </w:rPr>
  </w:style>
  <w:style w:type="character" w:customStyle="1" w:styleId="PlainTextChar">
    <w:name w:val="Plain Text Char"/>
    <w:basedOn w:val="DefaultParagraphFont"/>
    <w:link w:val="PlainText"/>
    <w:rsid w:val="002F0FAC"/>
    <w:rPr>
      <w:rFonts w:ascii="Courier New" w:eastAsia="Times New Roman" w:hAnsi="Courier New" w:cs="Times New Roman"/>
      <w:sz w:val="20"/>
      <w:szCs w:val="20"/>
      <w:lang w:val="en-US" w:eastAsia="en-US"/>
    </w:rPr>
  </w:style>
  <w:style w:type="character" w:customStyle="1" w:styleId="MenuOption">
    <w:name w:val="Menu Option"/>
    <w:rsid w:val="002F0FAC"/>
    <w:rPr>
      <w:b/>
      <w:smallCaps/>
    </w:rPr>
  </w:style>
  <w:style w:type="paragraph" w:customStyle="1" w:styleId="TableListNumber">
    <w:name w:val="Table List Number"/>
    <w:basedOn w:val="ListNumber"/>
    <w:rsid w:val="002F0FAC"/>
    <w:pPr>
      <w:numPr>
        <w:numId w:val="0"/>
      </w:numPr>
    </w:pPr>
  </w:style>
  <w:style w:type="paragraph" w:styleId="TOC4">
    <w:name w:val="toc 4"/>
    <w:basedOn w:val="TOCBase"/>
    <w:next w:val="Normal"/>
    <w:semiHidden/>
    <w:rsid w:val="002F0FAC"/>
    <w:pPr>
      <w:tabs>
        <w:tab w:val="right" w:leader="dot" w:pos="9071"/>
      </w:tabs>
      <w:ind w:left="1701"/>
    </w:pPr>
  </w:style>
  <w:style w:type="paragraph" w:customStyle="1" w:styleId="ListAlpha">
    <w:name w:val="List Alpha"/>
    <w:basedOn w:val="List"/>
    <w:rsid w:val="002F0FAC"/>
    <w:pPr>
      <w:numPr>
        <w:numId w:val="7"/>
      </w:numPr>
    </w:pPr>
  </w:style>
  <w:style w:type="paragraph" w:customStyle="1" w:styleId="ListAlpha2">
    <w:name w:val="List Alpha 2"/>
    <w:basedOn w:val="List2"/>
    <w:rsid w:val="002F0FAC"/>
    <w:pPr>
      <w:numPr>
        <w:numId w:val="6"/>
      </w:numPr>
    </w:pPr>
  </w:style>
  <w:style w:type="paragraph" w:styleId="List2">
    <w:name w:val="List 2"/>
    <w:basedOn w:val="BodyText"/>
    <w:rsid w:val="002F0FAC"/>
    <w:pPr>
      <w:tabs>
        <w:tab w:val="left" w:pos="680"/>
      </w:tabs>
      <w:spacing w:before="60" w:after="60"/>
      <w:ind w:left="680" w:hanging="340"/>
    </w:pPr>
  </w:style>
  <w:style w:type="paragraph" w:styleId="List3">
    <w:name w:val="List 3"/>
    <w:basedOn w:val="BodyText"/>
    <w:rsid w:val="002F0FAC"/>
    <w:pPr>
      <w:tabs>
        <w:tab w:val="left" w:pos="1021"/>
      </w:tabs>
      <w:spacing w:before="60" w:after="60"/>
      <w:ind w:left="1020" w:hanging="340"/>
    </w:pPr>
  </w:style>
  <w:style w:type="paragraph" w:styleId="List4">
    <w:name w:val="List 4"/>
    <w:basedOn w:val="BodyText"/>
    <w:rsid w:val="002F0FAC"/>
    <w:pPr>
      <w:tabs>
        <w:tab w:val="left" w:pos="1361"/>
      </w:tabs>
      <w:spacing w:before="60" w:after="60"/>
      <w:ind w:left="1361" w:hanging="340"/>
    </w:pPr>
  </w:style>
  <w:style w:type="paragraph" w:styleId="List5">
    <w:name w:val="List 5"/>
    <w:basedOn w:val="BodyText"/>
    <w:rsid w:val="002F0FAC"/>
    <w:pPr>
      <w:tabs>
        <w:tab w:val="left" w:pos="1701"/>
      </w:tabs>
      <w:spacing w:before="60" w:after="60"/>
      <w:ind w:left="1701" w:hanging="340"/>
    </w:pPr>
  </w:style>
  <w:style w:type="paragraph" w:styleId="ListBullet3">
    <w:name w:val="List Bullet 3"/>
    <w:basedOn w:val="List3"/>
    <w:rsid w:val="002F0FAC"/>
    <w:pPr>
      <w:numPr>
        <w:numId w:val="13"/>
      </w:numPr>
      <w:tabs>
        <w:tab w:val="clear" w:pos="1021"/>
      </w:tabs>
      <w:ind w:left="1037" w:hanging="357"/>
    </w:pPr>
  </w:style>
  <w:style w:type="paragraph" w:styleId="ListBullet4">
    <w:name w:val="List Bullet 4"/>
    <w:basedOn w:val="List4"/>
    <w:rsid w:val="002F0FAC"/>
    <w:pPr>
      <w:numPr>
        <w:numId w:val="1"/>
      </w:numPr>
    </w:pPr>
  </w:style>
  <w:style w:type="paragraph" w:styleId="ListBullet5">
    <w:name w:val="List Bullet 5"/>
    <w:basedOn w:val="List5"/>
    <w:rsid w:val="002F0FAC"/>
    <w:pPr>
      <w:numPr>
        <w:numId w:val="2"/>
      </w:numPr>
    </w:pPr>
  </w:style>
  <w:style w:type="paragraph" w:styleId="ListContinue2">
    <w:name w:val="List Continue 2"/>
    <w:basedOn w:val="List2"/>
    <w:rsid w:val="002F0FAC"/>
    <w:pPr>
      <w:ind w:firstLine="0"/>
    </w:pPr>
  </w:style>
  <w:style w:type="paragraph" w:styleId="ListContinue3">
    <w:name w:val="List Continue 3"/>
    <w:basedOn w:val="List3"/>
    <w:rsid w:val="002F0FAC"/>
    <w:pPr>
      <w:ind w:left="1021" w:firstLine="0"/>
    </w:pPr>
  </w:style>
  <w:style w:type="paragraph" w:styleId="ListContinue4">
    <w:name w:val="List Continue 4"/>
    <w:basedOn w:val="List4"/>
    <w:rsid w:val="002F0FAC"/>
    <w:pPr>
      <w:ind w:firstLine="0"/>
    </w:pPr>
  </w:style>
  <w:style w:type="paragraph" w:styleId="ListContinue5">
    <w:name w:val="List Continue 5"/>
    <w:basedOn w:val="List5"/>
    <w:rsid w:val="002F0FAC"/>
    <w:pPr>
      <w:ind w:firstLine="0"/>
    </w:pPr>
  </w:style>
  <w:style w:type="paragraph" w:styleId="ListNumber3">
    <w:name w:val="List Number 3"/>
    <w:basedOn w:val="List3"/>
    <w:rsid w:val="002F0FAC"/>
    <w:pPr>
      <w:numPr>
        <w:numId w:val="3"/>
      </w:numPr>
    </w:pPr>
  </w:style>
  <w:style w:type="paragraph" w:styleId="ListNumber4">
    <w:name w:val="List Number 4"/>
    <w:basedOn w:val="List4"/>
    <w:rsid w:val="002F0FAC"/>
    <w:pPr>
      <w:numPr>
        <w:numId w:val="4"/>
      </w:numPr>
    </w:pPr>
  </w:style>
  <w:style w:type="paragraph" w:styleId="ListNumber5">
    <w:name w:val="List Number 5"/>
    <w:basedOn w:val="List5"/>
    <w:rsid w:val="002F0FAC"/>
    <w:pPr>
      <w:numPr>
        <w:numId w:val="5"/>
      </w:numPr>
    </w:pPr>
  </w:style>
  <w:style w:type="paragraph" w:styleId="BlockText">
    <w:name w:val="Block Text"/>
    <w:basedOn w:val="Normal"/>
    <w:rsid w:val="002F0FAC"/>
    <w:pPr>
      <w:spacing w:after="120"/>
      <w:ind w:left="1440" w:right="1440"/>
    </w:pPr>
  </w:style>
  <w:style w:type="character" w:customStyle="1" w:styleId="Subscript">
    <w:name w:val="Subscript"/>
    <w:rsid w:val="002F0FAC"/>
    <w:rPr>
      <w:sz w:val="16"/>
      <w:vertAlign w:val="subscript"/>
    </w:rPr>
  </w:style>
  <w:style w:type="character" w:customStyle="1" w:styleId="Superscript">
    <w:name w:val="Superscript"/>
    <w:rsid w:val="002F0FAC"/>
    <w:rPr>
      <w:sz w:val="16"/>
      <w:vertAlign w:val="superscript"/>
    </w:rPr>
  </w:style>
  <w:style w:type="character" w:customStyle="1" w:styleId="Symbols">
    <w:name w:val="Symbols"/>
    <w:rsid w:val="002F0FAC"/>
    <w:rPr>
      <w:rFonts w:ascii="Symbol" w:hAnsi="Symbol"/>
    </w:rPr>
  </w:style>
  <w:style w:type="character" w:customStyle="1" w:styleId="MenuOptions">
    <w:name w:val="Menu Options"/>
    <w:rsid w:val="002F0FAC"/>
    <w:rPr>
      <w:rFonts w:ascii="Arial Narrow" w:hAnsi="Arial Narrow"/>
      <w:smallCaps/>
    </w:rPr>
  </w:style>
  <w:style w:type="character" w:customStyle="1" w:styleId="Buttons">
    <w:name w:val="Buttons"/>
    <w:rsid w:val="002F0FAC"/>
    <w:rPr>
      <w:b/>
    </w:rPr>
  </w:style>
  <w:style w:type="character" w:customStyle="1" w:styleId="Underlined">
    <w:name w:val="Underlined"/>
    <w:rsid w:val="002F0FAC"/>
    <w:rPr>
      <w:u w:val="single"/>
    </w:rPr>
  </w:style>
  <w:style w:type="paragraph" w:customStyle="1" w:styleId="TableBodyTextRight">
    <w:name w:val="Table Body Text Right"/>
    <w:basedOn w:val="TableBodyText"/>
    <w:rsid w:val="002F0FAC"/>
    <w:pPr>
      <w:widowControl w:val="0"/>
      <w:autoSpaceDE w:val="0"/>
      <w:autoSpaceDN w:val="0"/>
      <w:adjustRightInd w:val="0"/>
      <w:jc w:val="right"/>
    </w:pPr>
    <w:rPr>
      <w:rFonts w:cs="Arial"/>
      <w:szCs w:val="18"/>
    </w:rPr>
  </w:style>
  <w:style w:type="paragraph" w:customStyle="1" w:styleId="CopyrightText">
    <w:name w:val="Copyright Text"/>
    <w:basedOn w:val="BodyText"/>
    <w:rsid w:val="002F0FAC"/>
    <w:rPr>
      <w:sz w:val="18"/>
    </w:rPr>
  </w:style>
  <w:style w:type="paragraph" w:customStyle="1" w:styleId="BodySmallRight">
    <w:name w:val="Body Small Right"/>
    <w:basedOn w:val="BodyTextRight"/>
    <w:rsid w:val="002F0FAC"/>
    <w:rPr>
      <w:sz w:val="18"/>
      <w:szCs w:val="18"/>
    </w:rPr>
  </w:style>
  <w:style w:type="paragraph" w:customStyle="1" w:styleId="MarginEdition">
    <w:name w:val="Margin Edition"/>
    <w:basedOn w:val="MarginNote"/>
    <w:rsid w:val="002F0FAC"/>
    <w:pPr>
      <w:spacing w:before="0" w:after="0"/>
    </w:pPr>
    <w:rPr>
      <w:rFonts w:ascii="Times New Roman" w:hAnsi="Times New Roman"/>
      <w:color w:val="999999"/>
    </w:rPr>
  </w:style>
  <w:style w:type="paragraph" w:customStyle="1" w:styleId="Spacer">
    <w:name w:val="Spacer"/>
    <w:basedOn w:val="Normal"/>
    <w:rsid w:val="002F0FAC"/>
    <w:rPr>
      <w:sz w:val="2"/>
      <w:szCs w:val="2"/>
    </w:rPr>
  </w:style>
  <w:style w:type="character" w:customStyle="1" w:styleId="Small">
    <w:name w:val="Small"/>
    <w:rsid w:val="002F0FAC"/>
    <w:rPr>
      <w:sz w:val="16"/>
    </w:rPr>
  </w:style>
  <w:style w:type="paragraph" w:customStyle="1" w:styleId="WideTable">
    <w:name w:val="Wide Table"/>
    <w:basedOn w:val="Normal"/>
    <w:rsid w:val="002F0FAC"/>
    <w:pPr>
      <w:ind w:left="-1418"/>
    </w:pPr>
    <w:rPr>
      <w:sz w:val="2"/>
      <w:szCs w:val="2"/>
    </w:rPr>
  </w:style>
  <w:style w:type="character" w:styleId="PageNumber">
    <w:name w:val="page number"/>
    <w:rsid w:val="002F0FAC"/>
  </w:style>
  <w:style w:type="paragraph" w:styleId="Quote">
    <w:name w:val="Quote"/>
    <w:basedOn w:val="Heading1"/>
    <w:link w:val="QuoteChar"/>
    <w:qFormat/>
    <w:rsid w:val="002F0FAC"/>
    <w:rPr>
      <w:b w:val="0"/>
      <w:sz w:val="72"/>
      <w:szCs w:val="72"/>
      <w:lang w:val="en-NZ"/>
    </w:rPr>
  </w:style>
  <w:style w:type="character" w:customStyle="1" w:styleId="QuoteChar">
    <w:name w:val="Quote Char"/>
    <w:link w:val="Quote"/>
    <w:rsid w:val="002F0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FAC"/>
    <w:pPr>
      <w:pageBreakBefore/>
    </w:pPr>
  </w:style>
  <w:style w:type="paragraph" w:customStyle="1" w:styleId="Border">
    <w:name w:val="Border"/>
    <w:basedOn w:val="Normal"/>
    <w:qFormat/>
    <w:rsid w:val="002F0FAC"/>
    <w:pPr>
      <w:pBdr>
        <w:top w:val="single" w:sz="18" w:space="1" w:color="auto"/>
      </w:pBdr>
    </w:pPr>
    <w:rPr>
      <w:rFonts w:ascii="Times New Roman" w:hAnsi="Times New Roman"/>
      <w:color w:val="FFFFFF"/>
      <w:sz w:val="2"/>
    </w:rPr>
  </w:style>
  <w:style w:type="character" w:styleId="IntenseEmphasis">
    <w:name w:val="Intense Emphasis"/>
    <w:uiPriority w:val="21"/>
    <w:qFormat/>
    <w:rsid w:val="002F0FAC"/>
    <w:rPr>
      <w:b/>
      <w:bCs/>
      <w:i/>
      <w:iCs/>
      <w:color w:val="auto"/>
    </w:rPr>
  </w:style>
  <w:style w:type="paragraph" w:styleId="IntenseQuote">
    <w:name w:val="Intense Quote"/>
    <w:basedOn w:val="Normal"/>
    <w:next w:val="Normal"/>
    <w:link w:val="IntenseQuoteChar"/>
    <w:uiPriority w:val="30"/>
    <w:qFormat/>
    <w:rsid w:val="002F0F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0FAC"/>
    <w:rPr>
      <w:rFonts w:ascii="Courier New" w:eastAsia="Times New Roman" w:hAnsi="Courier New" w:cs="Times New Roman"/>
      <w:b/>
      <w:bCs/>
      <w:i/>
      <w:iCs/>
      <w:szCs w:val="20"/>
      <w:lang w:val="en-US" w:eastAsia="en-US"/>
    </w:rPr>
  </w:style>
  <w:style w:type="character" w:styleId="SubtleReference">
    <w:name w:val="Subtle Reference"/>
    <w:uiPriority w:val="31"/>
    <w:qFormat/>
    <w:rsid w:val="002F0FAC"/>
    <w:rPr>
      <w:smallCaps/>
      <w:color w:val="auto"/>
      <w:u w:val="single"/>
    </w:rPr>
  </w:style>
  <w:style w:type="character" w:styleId="IntenseReference">
    <w:name w:val="Intense Reference"/>
    <w:uiPriority w:val="32"/>
    <w:qFormat/>
    <w:rsid w:val="002F0FAC"/>
    <w:rPr>
      <w:b/>
      <w:bCs/>
      <w:smallCaps/>
      <w:color w:val="auto"/>
      <w:spacing w:val="5"/>
      <w:u w:val="single"/>
    </w:rPr>
  </w:style>
  <w:style w:type="paragraph" w:customStyle="1" w:styleId="2ColumnHeading">
    <w:name w:val="2Column Heading"/>
    <w:basedOn w:val="BodyText"/>
    <w:qFormat/>
    <w:rsid w:val="002F0FAC"/>
    <w:pPr>
      <w:spacing w:after="60"/>
      <w:ind w:left="-2268"/>
    </w:pPr>
    <w:rPr>
      <w:b/>
    </w:rPr>
  </w:style>
  <w:style w:type="paragraph" w:customStyle="1" w:styleId="Heading1TOC">
    <w:name w:val="Heading1 TOC"/>
    <w:basedOn w:val="Normal"/>
    <w:qFormat/>
    <w:rsid w:val="002F0FAC"/>
    <w:pPr>
      <w:spacing w:before="240" w:after="120"/>
    </w:pPr>
    <w:rPr>
      <w:rFonts w:ascii="Times New Roman" w:hAnsi="Times New Roman"/>
      <w:b/>
      <w:sz w:val="32"/>
    </w:rPr>
  </w:style>
  <w:style w:type="paragraph" w:customStyle="1" w:styleId="Heading2TOC">
    <w:name w:val="Heading2 TOC"/>
    <w:basedOn w:val="Normal"/>
    <w:qFormat/>
    <w:rsid w:val="002F0FAC"/>
    <w:pPr>
      <w:spacing w:before="240" w:after="60"/>
    </w:pPr>
    <w:rPr>
      <w:rFonts w:ascii="Times New Roman" w:hAnsi="Times New Roman"/>
      <w:b/>
      <w:sz w:val="28"/>
    </w:rPr>
  </w:style>
  <w:style w:type="character" w:customStyle="1" w:styleId="Underline">
    <w:name w:val="Underline"/>
    <w:qFormat/>
    <w:rsid w:val="002F0FAC"/>
    <w:rPr>
      <w:u w:val="single"/>
    </w:rPr>
  </w:style>
  <w:style w:type="character" w:customStyle="1" w:styleId="BoldandItalics">
    <w:name w:val="Bold and Italics"/>
    <w:qFormat/>
    <w:rsid w:val="002F0FAC"/>
    <w:rPr>
      <w:b/>
      <w:i/>
      <w:u w:val="none"/>
    </w:rPr>
  </w:style>
  <w:style w:type="paragraph" w:styleId="BalloonText">
    <w:name w:val="Balloon Text"/>
    <w:basedOn w:val="Normal"/>
    <w:link w:val="BalloonTextChar"/>
    <w:rsid w:val="002F0FAC"/>
    <w:rPr>
      <w:rFonts w:ascii="Tahoma" w:hAnsi="Tahoma" w:cs="Tahoma"/>
      <w:sz w:val="16"/>
      <w:szCs w:val="16"/>
    </w:rPr>
  </w:style>
  <w:style w:type="character" w:customStyle="1" w:styleId="BalloonTextChar">
    <w:name w:val="Balloon Text Char"/>
    <w:link w:val="BalloonText"/>
    <w:rsid w:val="002F0F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0F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0F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2403</Words>
  <Characters>15023</Characters>
  <Application>Microsoft Office Word</Application>
  <DocSecurity>0</DocSecurity>
  <Lines>410</Lines>
  <Paragraphs>232</Paragraphs>
  <ScaleCrop>false</ScaleCrop>
  <Company>Author-it Software Corporation Ltd.</Company>
  <LinksUpToDate>false</LinksUpToDate>
  <CharactersWithSpaces>17255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BSBMGT502A Manage people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