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2B7" w:rsidP="004902B7">
      <w:pPr>
        <w:pStyle w:val="Title"/>
      </w:pPr>
      <w:r>
        <w:fldChar w:fldCharType="begin"/>
      </w:r>
      <w:r>
        <w:instrText xml:space="preserve"> TITLE   \* MERGEFORMAT </w:instrText>
      </w:r>
      <w:r>
        <w:fldChar w:fldCharType="separate"/>
      </w:r>
      <w:r>
        <w:t>BSBHRM505A Manage remuneration and employee benefits</w:t>
      </w:r>
      <w:r>
        <w:fldChar w:fldCharType="end"/>
      </w:r>
    </w:p>
    <w:p w:rsidR="004902B7" w:rsidP="004902B7">
      <w:pPr>
        <w:pStyle w:val="Version"/>
        <w:sectPr w:rsidSect="009E6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BAE" w:rsidP="009E6BAE">
      <w:pPr>
        <w:pStyle w:val="SuperHeading"/>
      </w:pPr>
      <w:r w:rsidRPr="009E6BAE">
        <w:t>BSBHRM505A Manage remuneration and employee benefits</w:t>
      </w:r>
    </w:p>
    <w:p w:rsidR="00000000" w:rsidRPr="009E6BAE" w:rsidP="009E6BAE">
      <w:pPr>
        <w:pStyle w:val="Heading1"/>
      </w:pPr>
      <w:bookmarkStart w:id="1" w:name="O_312818"/>
      <w:bookmarkEnd w:id="1"/>
      <w:r w:rsidRPr="009E6BAE">
        <w:t>Modification History</w:t>
      </w:r>
    </w:p>
    <w:p w:rsidR="00000000" w:rsidRPr="009E6BAE" w:rsidP="009E6BAE">
      <w:pPr>
        <w:pStyle w:val="Heading1"/>
      </w:pPr>
      <w:bookmarkStart w:id="2" w:name="O_312828"/>
      <w:bookmarkEnd w:id="2"/>
      <w:r w:rsidRPr="009E6BAE">
        <w:t>Unit Descriptor</w:t>
      </w:r>
    </w:p>
    <w:p w:rsidR="00000000" w:rsidRPr="009E6BAE" w:rsidP="009E6BAE">
      <w:pPr>
        <w:pStyle w:val="BodyText"/>
      </w:pPr>
      <w:r w:rsidRPr="009E6BAE">
        <w:t>This unit describes the performance outcomes, skills and knowledge required to implement an organisations remuneration and benefit p</w:t>
      </w:r>
      <w:r w:rsidRPr="009E6BAE">
        <w:t>lans. It incorporates all functions associated with remuneration including packaging, salary benchmarking, market rates reviews, bonuses and the legislative aspects of remuneration and employee benefits.</w:t>
      </w:r>
    </w:p>
    <w:p w:rsidR="00000000" w:rsidRPr="009E6BAE" w:rsidP="009E6BAE">
      <w:pPr>
        <w:pStyle w:val="BodyText"/>
      </w:pPr>
      <w:r w:rsidRPr="009E6BAE">
        <w:t>No licensing, legislative, regulatory or certificati</w:t>
      </w:r>
      <w:r w:rsidRPr="009E6BAE">
        <w:t>on requirements apply to this unit at the time of endorsement.</w:t>
      </w:r>
    </w:p>
    <w:p w:rsidR="00000000" w:rsidRPr="009E6BAE" w:rsidP="009E6BAE">
      <w:pPr>
        <w:pStyle w:val="BodyText"/>
      </w:pPr>
      <w:r w:rsidRPr="009E6BAE">
        <w:t>This unit describes the performance outcomes, skills and knowledge required to implement an organisations remuneration and benefit plans. It incorporates all functions associated with remunerat</w:t>
      </w:r>
      <w:r w:rsidRPr="009E6BAE">
        <w:t>ion including packaging, salary benchmarking, market rates reviews, bonuses and the legislative aspects of remuneration and employee benefits.</w:t>
      </w:r>
    </w:p>
    <w:p w:rsidR="00000000" w:rsidRPr="009E6BAE" w:rsidP="009E6BAE">
      <w:pPr>
        <w:pStyle w:val="BodyText"/>
      </w:pPr>
      <w:r w:rsidRPr="009E6BAE">
        <w:t>No licensing, legislative, regulatory or certification requirements apply to this unit at the time of endorsement</w:t>
      </w:r>
      <w:r w:rsidRPr="009E6BAE">
        <w:t>.</w:t>
      </w:r>
    </w:p>
    <w:p w:rsidR="00000000" w:rsidRPr="009E6BAE" w:rsidP="009E6BAE">
      <w:pPr>
        <w:pStyle w:val="AllowPageBreak"/>
      </w:pPr>
    </w:p>
    <w:p w:rsidR="00000000" w:rsidRPr="009E6BAE" w:rsidP="009E6BAE">
      <w:pPr>
        <w:pStyle w:val="Heading1"/>
      </w:pPr>
      <w:bookmarkStart w:id="3" w:name="O_312827"/>
      <w:bookmarkEnd w:id="3"/>
      <w:r w:rsidRPr="009E6BAE">
        <w:t>Application of the Unit</w:t>
      </w:r>
    </w:p>
    <w:p w:rsidR="00000000" w:rsidRPr="009E6BAE" w:rsidP="009E6BAE">
      <w:pPr>
        <w:pStyle w:val="BodyText"/>
      </w:pPr>
      <w:r w:rsidRPr="009E6BAE">
        <w:t>This unit applies to human resources managers who have responsibility for overseeing the organisations remuneration process.</w:t>
      </w:r>
    </w:p>
    <w:p w:rsidR="00000000" w:rsidRPr="009E6BAE" w:rsidP="009E6BAE">
      <w:pPr>
        <w:pStyle w:val="BodyText"/>
      </w:pPr>
      <w:r w:rsidRPr="009E6BAE">
        <w:t>This unit applies to human resources managers who have responsibility for overseeing the</w:t>
      </w:r>
      <w:r w:rsidRPr="009E6BAE">
        <w:t xml:space="preserve"> organisations remuneration process.</w:t>
      </w:r>
    </w:p>
    <w:p w:rsidR="00000000" w:rsidRPr="009E6BAE" w:rsidP="009E6BAE">
      <w:pPr>
        <w:pStyle w:val="AllowPageBreak"/>
      </w:pPr>
    </w:p>
    <w:p w:rsidR="00000000" w:rsidRPr="009E6BAE" w:rsidP="009E6BAE">
      <w:pPr>
        <w:pStyle w:val="Heading1"/>
      </w:pPr>
      <w:bookmarkStart w:id="4" w:name="O_312826"/>
      <w:bookmarkEnd w:id="4"/>
      <w:r w:rsidRPr="009E6BAE">
        <w:t>Licensing/Regulatory Information</w:t>
      </w:r>
    </w:p>
    <w:p w:rsidR="00000000" w:rsidRPr="009E6BAE" w:rsidP="009E6BAE">
      <w:pPr>
        <w:pStyle w:val="BodyText"/>
      </w:pPr>
      <w:r w:rsidRPr="009E6BAE">
        <w:t>Refer to Unit Descriptor</w:t>
      </w:r>
    </w:p>
    <w:p w:rsidR="00000000" w:rsidRPr="009E6BAE" w:rsidP="009E6BAE">
      <w:pPr>
        <w:pStyle w:val="AllowPageBreak"/>
      </w:pPr>
    </w:p>
    <w:p w:rsidR="00000000" w:rsidRPr="009E6BAE" w:rsidP="009E6BAE">
      <w:pPr>
        <w:pStyle w:val="Heading1"/>
      </w:pPr>
      <w:bookmarkStart w:id="5" w:name="O_312825"/>
      <w:bookmarkEnd w:id="5"/>
      <w:r w:rsidRPr="009E6BAE">
        <w:t>Pre-Requisites</w:t>
      </w:r>
    </w:p>
    <w:p w:rsidR="00000000" w:rsidRPr="009E6BAE" w:rsidP="009E6BAE">
      <w:pPr>
        <w:pStyle w:val="Heading1"/>
      </w:pPr>
      <w:bookmarkStart w:id="6" w:name="O_312824"/>
      <w:bookmarkEnd w:id="6"/>
      <w:r w:rsidRPr="009E6BAE">
        <w:t>Employability Skills Information</w:t>
      </w:r>
    </w:p>
    <w:p w:rsidR="00000000" w:rsidRPr="009E6BAE" w:rsidP="009E6BAE">
      <w:pPr>
        <w:pStyle w:val="BodyText"/>
      </w:pPr>
      <w:r w:rsidRPr="009E6BAE">
        <w:t>This unit contains employability skills.</w:t>
      </w:r>
    </w:p>
    <w:p w:rsidR="00000000" w:rsidRPr="009E6BAE" w:rsidP="009E6BAE">
      <w:pPr>
        <w:pStyle w:val="BodyText"/>
      </w:pPr>
      <w:r w:rsidRPr="009E6BAE">
        <w:t>This unit contains employability skills.</w:t>
      </w:r>
    </w:p>
    <w:p w:rsidR="00000000" w:rsidRPr="009E6BAE" w:rsidP="009E6BAE">
      <w:pPr>
        <w:pStyle w:val="AllowPageBreak"/>
      </w:pPr>
    </w:p>
    <w:p w:rsidR="00000000" w:rsidRPr="009E6BAE" w:rsidP="009E6BAE">
      <w:pPr>
        <w:pStyle w:val="Heading1"/>
      </w:pPr>
      <w:bookmarkStart w:id="7" w:name="O_312823"/>
      <w:bookmarkEnd w:id="7"/>
      <w:r w:rsidRPr="009E6BAE">
        <w:t>Elements and Performance Criteria Pre-Content</w:t>
      </w:r>
    </w:p>
    <w:p w:rsidR="00000000" w:rsidRPr="009E6BAE" w:rsidP="009E6BAE">
      <w:pPr>
        <w:pStyle w:val="BodyText"/>
      </w:pPr>
      <w:r w:rsidRPr="009E6BAE">
        <w:t>Elements describe the essential outcomes of a unit of competency.</w:t>
      </w:r>
    </w:p>
    <w:p w:rsidR="00000000" w:rsidRPr="009E6BAE" w:rsidP="009E6BAE">
      <w:pPr>
        <w:pStyle w:val="BodyText"/>
      </w:pPr>
      <w:r w:rsidRPr="009E6BAE">
        <w:t>Performance criteria describe the performance needed to demonstrate achievement of the</w:t>
      </w:r>
      <w:r w:rsidRPr="009E6BAE">
        <w:t xml:space="preserve"> element. Where bold italicised text is used, further information is detailed in the required skills and knowledge section and the range statement. Assessment of performance is to be consistent with the evidence guide.</w:t>
      </w:r>
    </w:p>
    <w:p w:rsidR="00000000" w:rsidRPr="009E6BAE" w:rsidP="009E6BAE">
      <w:pPr>
        <w:pStyle w:val="BodyText"/>
      </w:pPr>
      <w:r w:rsidRPr="009E6BAE">
        <w:t>Elements describe the essential outco</w:t>
      </w:r>
      <w:r w:rsidRPr="009E6BAE">
        <w:t>mes of a unit of competency.</w:t>
      </w:r>
    </w:p>
    <w:p w:rsidR="00000000" w:rsidRPr="009E6BAE" w:rsidP="009E6BAE">
      <w:pPr>
        <w:pStyle w:val="BodyText"/>
      </w:pPr>
      <w:r w:rsidRPr="009E6BAE">
        <w:t>Performance criteria describe the performance needed to demonstrate achievement of the element. Where bold italicised text is used, further information is detailed in the required skills and knowledge section and the range stat</w:t>
      </w:r>
      <w:r w:rsidRPr="009E6BAE">
        <w:t>ement. Assessment of performance is to be consistent with the evidence guide.</w:t>
      </w:r>
    </w:p>
    <w:p w:rsidR="00000000" w:rsidRPr="009E6BAE" w:rsidP="009E6BAE">
      <w:pPr>
        <w:pStyle w:val="AllowPageBreak"/>
      </w:pPr>
    </w:p>
    <w:p w:rsidR="00000000" w:rsidRPr="009E6BAE" w:rsidP="009E6BAE">
      <w:pPr>
        <w:pStyle w:val="Heading1"/>
      </w:pPr>
      <w:bookmarkStart w:id="8" w:name="O_312822"/>
      <w:bookmarkEnd w:id="8"/>
      <w:r w:rsidRPr="009E6B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02B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Elements and Performance Criteria</w:t>
            </w:r>
          </w:p>
        </w:tc>
      </w:tr>
      <w:tr w:rsidTr="004902B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Performance Criteria</w:t>
            </w:r>
          </w:p>
        </w:tc>
      </w:tr>
      <w:tr w:rsidTr="004902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w:t>
            </w:r>
          </w:p>
        </w:tc>
        <w:tc>
          <w:tcPr>
            <w:tcW w:w="30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Develop organisation's remuneration strategy</w:t>
            </w: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1.1</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Analyse strategic and operational plans to determine the scope of </w:t>
            </w:r>
            <w:r w:rsidRPr="009E6BAE">
              <w:rPr>
                <w:rStyle w:val="SpecialBold"/>
              </w:rPr>
              <w:t xml:space="preserve">remuneration and benefits plans </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1.2</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Undertake research on current practice, recent developments and legislative parameters for the remuneration strategy</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1.3</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Develop options for consideration by relevant managers</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1.4</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Present options showing the link to organisational strategic objectives</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1.5</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Ensure remuneration policies and incentive plans are agreed and documented</w:t>
            </w:r>
          </w:p>
        </w:tc>
      </w:tr>
      <w:tr w:rsidTr="004902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w:t>
            </w:r>
          </w:p>
        </w:tc>
        <w:tc>
          <w:tcPr>
            <w:tcW w:w="30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Implement remuneration strategy</w:t>
            </w: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2.1</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R</w:t>
            </w:r>
            <w:r w:rsidRPr="009E6BAE">
              <w:t>esearch occupational groups to determine those which are industrial agreement based</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2.2</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Access/undertake </w:t>
            </w:r>
            <w:r w:rsidRPr="009E6BAE">
              <w:rPr>
                <w:rStyle w:val="SpecialBold"/>
              </w:rPr>
              <w:t xml:space="preserve">market rates surveys </w:t>
            </w:r>
            <w:r w:rsidRPr="009E6BAE">
              <w:t>regularly to ensure the organisation's required level of competitiveness for particular occupational groups is maintained</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2.3</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Align remuneration and benefits plans with performance management system</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2.4</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Ensure that employees receive at least their minimum entitlements in accordance with </w:t>
            </w:r>
            <w:r w:rsidRPr="009E6BAE">
              <w:t>organisational policies and legal requirements</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2.5</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Ensure </w:t>
            </w:r>
            <w:r w:rsidRPr="009E6BAE">
              <w:rPr>
                <w:rStyle w:val="SpecialBold"/>
              </w:rPr>
              <w:t xml:space="preserve">salary packages </w:t>
            </w:r>
            <w:r w:rsidRPr="009E6BAE">
              <w:t>comply with organisational policies and legal requirements including fringe benefits tax (FBT) and superannuation</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2.6</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Ensure </w:t>
            </w:r>
            <w:r w:rsidRPr="009E6BAE">
              <w:rPr>
                <w:rStyle w:val="SpecialBold"/>
              </w:rPr>
              <w:t xml:space="preserve">incentive arrangements, </w:t>
            </w:r>
            <w:r w:rsidRPr="009E6BAE">
              <w:t>if included, comply with the organisation's remuneration strategy</w:t>
            </w:r>
          </w:p>
        </w:tc>
      </w:tr>
      <w:tr w:rsidTr="004902B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3</w:t>
            </w:r>
          </w:p>
        </w:tc>
        <w:tc>
          <w:tcPr>
            <w:tcW w:w="3000" w:type="dxa"/>
            <w:vMerge w:val="restart"/>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Review and update remuneration stra</w:t>
            </w:r>
            <w:r w:rsidRPr="009E6BAE">
              <w:t>tegy</w:t>
            </w: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3.1</w:t>
            </w:r>
          </w:p>
        </w:tc>
        <w:tc>
          <w:tcPr>
            <w:tcW w:w="51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Consult managers and employees about the effectiveness of the remuneration strategy</w:t>
            </w:r>
          </w:p>
        </w:tc>
      </w:tr>
      <w:tr w:rsidTr="004902B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3.2</w:t>
            </w:r>
          </w:p>
        </w:tc>
        <w:tc>
          <w:tcPr>
            <w:tcW w:w="51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Amend strategy and plans as necessary to meet organisational policies and legal requirements</w:t>
            </w:r>
          </w:p>
        </w:tc>
      </w:tr>
    </w:tbl>
    <w:p w:rsidR="00000000" w:rsidRPr="009E6BAE" w:rsidP="009E6BAE">
      <w:pPr>
        <w:pStyle w:val="BodyText"/>
      </w:pPr>
    </w:p>
    <w:p w:rsidR="00000000" w:rsidRPr="009E6BAE" w:rsidP="009E6BAE">
      <w:pPr>
        <w:pStyle w:val="AllowPageBreak"/>
      </w:pPr>
    </w:p>
    <w:p w:rsidR="00000000" w:rsidRPr="009E6BAE" w:rsidP="009E6BAE">
      <w:pPr>
        <w:pStyle w:val="Heading1"/>
      </w:pPr>
      <w:bookmarkStart w:id="9" w:name="O_312817"/>
      <w:bookmarkEnd w:id="9"/>
      <w:r w:rsidRPr="009E6BAE">
        <w:t>Required Skills and Knowledge</w:t>
      </w:r>
    </w:p>
    <w:tbl>
      <w:tblPr>
        <w:tblW w:w="0" w:type="auto"/>
        <w:tblLayout w:type="fixed"/>
        <w:tblCellMar>
          <w:left w:w="62" w:type="dxa"/>
          <w:right w:w="62" w:type="dxa"/>
        </w:tblCellMar>
        <w:tblLook w:val="0000"/>
      </w:tblPr>
      <w:tblGrid>
        <w:gridCol w:w="9000"/>
      </w:tblGrid>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p>
        </w:tc>
      </w:tr>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This section describes the skills and knowledge required for this unit. </w:t>
            </w:r>
          </w:p>
        </w:tc>
      </w:tr>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Required skills</w:t>
            </w:r>
          </w:p>
        </w:tc>
      </w:tr>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interpersonal skills and ethics to communicate sensitively about remuneration and to observe confidentiality</w:t>
            </w:r>
          </w:p>
          <w:p w:rsidR="00000000" w:rsidRPr="009E6BAE" w:rsidP="009E6BAE">
            <w:pPr>
              <w:pStyle w:val="BodyText"/>
            </w:pPr>
            <w:r w:rsidRPr="009E6BAE">
              <w:t>mathematical and technology skills to calculate costs to</w:t>
            </w:r>
            <w:r w:rsidRPr="009E6BAE">
              <w:t xml:space="preserve"> the organisation, to graph salary costs and to link salaries to budgets</w:t>
            </w:r>
          </w:p>
          <w:p w:rsidR="00000000" w:rsidP="009E6BAE">
            <w:pPr>
              <w:pStyle w:val="BodyText"/>
              <w:rPr>
                <w:lang w:val="en-NZ"/>
              </w:rPr>
            </w:pPr>
            <w:r w:rsidRPr="009E6BAE">
              <w:t>research skills to determine appropriate models of remuneration and benefits for particular occupational groups and individuals.</w:t>
            </w:r>
          </w:p>
        </w:tc>
      </w:tr>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Required knowledge</w:t>
            </w:r>
          </w:p>
        </w:tc>
      </w:tr>
      <w:tr w:rsidTr="004902B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leasing arrangements including no</w:t>
            </w:r>
            <w:r w:rsidRPr="009E6BAE">
              <w:t>vated leases</w:t>
            </w:r>
          </w:p>
          <w:p w:rsidR="00000000" w:rsidRPr="009E6BAE" w:rsidP="009E6BAE">
            <w:pPr>
              <w:pStyle w:val="BodyText"/>
            </w:pPr>
            <w:r w:rsidRPr="009E6BAE">
              <w:t>models for bonus/incentive schemes including gain sharing/profit sharing</w:t>
            </w:r>
          </w:p>
          <w:p w:rsidR="00000000" w:rsidRPr="009E6BAE" w:rsidP="009E6BAE">
            <w:pPr>
              <w:pStyle w:val="BodyText"/>
            </w:pPr>
            <w:r w:rsidRPr="009E6BAE">
              <w:t>relevant legislation</w:t>
            </w:r>
          </w:p>
          <w:p w:rsidR="00000000" w:rsidRPr="009E6BAE" w:rsidP="009E6BAE">
            <w:pPr>
              <w:pStyle w:val="BodyText"/>
            </w:pPr>
            <w:r w:rsidRPr="009E6BAE">
              <w:t>remuneration principles/models and strategies</w:t>
            </w:r>
          </w:p>
          <w:p w:rsidR="00000000" w:rsidRPr="009E6BAE" w:rsidP="009E6BAE">
            <w:pPr>
              <w:pStyle w:val="BodyText"/>
            </w:pPr>
            <w:r w:rsidRPr="009E6BAE">
              <w:t>requirements of Australian Tax Office in relation to income tax, superannuation reporting, FBT and bonu</w:t>
            </w:r>
            <w:r w:rsidRPr="009E6BAE">
              <w:t>s payments.</w:t>
            </w:r>
          </w:p>
          <w:p w:rsidR="00000000" w:rsidRPr="009E6BAE" w:rsidP="009E6BAE">
            <w:pPr>
              <w:pStyle w:val="BodyText"/>
            </w:pPr>
            <w:r w:rsidRPr="009E6BAE">
              <w:t>award structures for industrial agreements.</w:t>
            </w:r>
          </w:p>
        </w:tc>
      </w:tr>
    </w:tbl>
    <w:p w:rsidR="00000000" w:rsidRPr="009E6BAE" w:rsidP="009E6BAE">
      <w:pPr>
        <w:pStyle w:val="BodyText"/>
      </w:pPr>
    </w:p>
    <w:p w:rsidR="00000000" w:rsidRPr="009E6BAE" w:rsidP="009E6BAE">
      <w:pPr>
        <w:pStyle w:val="AllowPageBreak"/>
      </w:pPr>
    </w:p>
    <w:p w:rsidR="00000000" w:rsidRPr="009E6BAE" w:rsidP="009E6BAE">
      <w:pPr>
        <w:pStyle w:val="Heading1"/>
      </w:pPr>
      <w:bookmarkStart w:id="10" w:name="O_312820"/>
      <w:bookmarkEnd w:id="10"/>
      <w:r w:rsidRPr="009E6BAE">
        <w:t>Evidence Guide</w:t>
      </w:r>
    </w:p>
    <w:tbl>
      <w:tblPr>
        <w:tblW w:w="0" w:type="auto"/>
        <w:tblLayout w:type="fixed"/>
        <w:tblCellMar>
          <w:left w:w="62" w:type="dxa"/>
          <w:right w:w="62" w:type="dxa"/>
        </w:tblCellMar>
        <w:tblLook w:val="0000"/>
      </w:tblPr>
      <w:tblGrid>
        <w:gridCol w:w="4500"/>
        <w:gridCol w:w="4500"/>
      </w:tblGrid>
      <w:tr w:rsidTr="004902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BAE">
            <w:pPr>
              <w:pStyle w:val="BodyText"/>
              <w:rPr>
                <w:lang w:val="en-NZ"/>
              </w:rPr>
            </w:pPr>
          </w:p>
        </w:tc>
      </w:tr>
      <w:tr w:rsidTr="004902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 xml:space="preserve">The evidence guide provides advice on assessment and must be read in conjunction with the performance criteria, required skills and knowledge, </w:t>
            </w:r>
            <w:r w:rsidRPr="009E6BAE">
              <w:t xml:space="preserve">range statement and the Assessment Guidelines for the Training Package. </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 xml:space="preserve">Evidence of the following is essential:    </w:t>
            </w:r>
          </w:p>
          <w:p w:rsidR="00000000" w:rsidRPr="009E6BAE" w:rsidP="009E6BAE">
            <w:pPr>
              <w:pStyle w:val="BodyText"/>
            </w:pPr>
            <w:r w:rsidRPr="009E6BAE">
              <w:t>compliance with all</w:t>
            </w:r>
            <w:r w:rsidRPr="009E6BAE">
              <w:t xml:space="preserve"> of the legal aspects of managing remuneration and benefits</w:t>
            </w:r>
          </w:p>
          <w:p w:rsidR="00000000" w:rsidRPr="009E6BAE" w:rsidP="009E6BAE">
            <w:pPr>
              <w:pStyle w:val="BodyText"/>
            </w:pPr>
            <w:r w:rsidRPr="009E6BAE">
              <w:t>demonstrated capacity to research and apply remuneration strategies to different occupational groups and circumstances</w:t>
            </w:r>
          </w:p>
          <w:p w:rsidR="00000000" w:rsidRPr="009E6BAE" w:rsidP="009E6BAE">
            <w:pPr>
              <w:pStyle w:val="BodyText"/>
            </w:pPr>
            <w:r w:rsidRPr="009E6BAE">
              <w:t>application of awards and agreements to structure remuneration processes</w:t>
            </w:r>
          </w:p>
          <w:p w:rsidR="00000000" w:rsidP="009E6BAE">
            <w:pPr>
              <w:pStyle w:val="BodyText"/>
              <w:rPr>
                <w:lang w:val="en-NZ"/>
              </w:rPr>
            </w:pPr>
            <w:r w:rsidRPr="009E6BAE">
              <w:t>know</w:t>
            </w:r>
            <w:r w:rsidRPr="009E6BAE">
              <w:t>ledge of the requirements of the Australian Tax Office in relation to income tax, superannuation reporting, FBT and bonus payments.</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 xml:space="preserve">Assessment must ensure:    </w:t>
            </w:r>
          </w:p>
          <w:p w:rsidR="00000000" w:rsidP="009E6BAE">
            <w:pPr>
              <w:pStyle w:val="BodyText"/>
              <w:rPr>
                <w:lang w:val="en-NZ"/>
              </w:rPr>
            </w:pPr>
            <w:r w:rsidRPr="009E6BAE">
              <w:t>access to appropriate documentation and resources normally used in the workplace.</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 xml:space="preserve">A range of assessment methods should be used to assess practical skills and knowledge. The following examples are appropriate for this unit:    </w:t>
            </w:r>
          </w:p>
          <w:p w:rsidR="00000000" w:rsidRPr="009E6BAE" w:rsidP="009E6BAE">
            <w:pPr>
              <w:pStyle w:val="BodyText"/>
            </w:pPr>
            <w:r w:rsidRPr="009E6BAE">
              <w:t>assessm</w:t>
            </w:r>
            <w:r w:rsidRPr="009E6BAE">
              <w:t>ent of written reports on remuneration models and approaches</w:t>
            </w:r>
          </w:p>
          <w:p w:rsidR="00000000" w:rsidRPr="009E6BAE" w:rsidP="009E6BAE">
            <w:pPr>
              <w:pStyle w:val="BodyText"/>
            </w:pPr>
            <w:r w:rsidRPr="009E6BAE">
              <w:t>direct questioning combined with review of portfolios of evidence and third party workplace reports of on-the-job performance by the candidate</w:t>
            </w:r>
          </w:p>
          <w:p w:rsidR="00000000" w:rsidRPr="009E6BAE" w:rsidP="009E6BAE">
            <w:pPr>
              <w:pStyle w:val="BodyText"/>
            </w:pPr>
            <w:r w:rsidRPr="009E6BAE">
              <w:t>review of research undertaken on current practice, r</w:t>
            </w:r>
            <w:r w:rsidRPr="009E6BAE">
              <w:t>ecent developments and legislative parameters for the remuneration strategy</w:t>
            </w:r>
          </w:p>
          <w:p w:rsidR="00000000" w:rsidRPr="009E6BAE" w:rsidP="009E6BAE">
            <w:pPr>
              <w:pStyle w:val="BodyText"/>
            </w:pPr>
            <w:r w:rsidRPr="009E6BAE">
              <w:t>review of remuneration options developed for consideration by relevant managers</w:t>
            </w:r>
          </w:p>
          <w:p w:rsidR="00000000" w:rsidP="009E6BAE">
            <w:pPr>
              <w:pStyle w:val="BodyText"/>
              <w:rPr>
                <w:lang w:val="en-NZ"/>
              </w:rPr>
            </w:pPr>
            <w:r w:rsidRPr="009E6BAE">
              <w:t>oral or written questioning to assess knowledge of legislation and the taxation system.</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Guidance in</w:t>
            </w:r>
            <w:r w:rsidRPr="009E6BAE">
              <w:rPr>
                <w:rStyle w:val="SpecialBold"/>
              </w:rPr>
              <w:t>formation for assessment</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 xml:space="preserve">Holistic assessment with other units relevant to the industry sector, workplace and job role is recommended, for example:    </w:t>
            </w:r>
          </w:p>
          <w:p w:rsidR="00000000" w:rsidRPr="009E6BAE" w:rsidP="009E6BAE">
            <w:pPr>
              <w:pStyle w:val="BodyText"/>
            </w:pPr>
            <w:r w:rsidRPr="009E6BAE">
              <w:t>other units from the Diploma of Human Resources Management.</w:t>
            </w:r>
          </w:p>
        </w:tc>
      </w:tr>
    </w:tbl>
    <w:p w:rsidR="00000000" w:rsidRPr="009E6BAE" w:rsidP="009E6BAE">
      <w:pPr>
        <w:pStyle w:val="BodyText"/>
      </w:pPr>
    </w:p>
    <w:p w:rsidR="00000000" w:rsidRPr="009E6BAE" w:rsidP="009E6BAE">
      <w:pPr>
        <w:pStyle w:val="AllowPageBreak"/>
      </w:pPr>
    </w:p>
    <w:p w:rsidR="00000000" w:rsidRPr="009E6BAE" w:rsidP="009E6BAE">
      <w:pPr>
        <w:pStyle w:val="Heading1"/>
      </w:pPr>
      <w:bookmarkStart w:id="11" w:name="O_312829"/>
      <w:bookmarkEnd w:id="11"/>
      <w:r w:rsidRPr="009E6BAE">
        <w:t>Range Statement</w:t>
      </w:r>
    </w:p>
    <w:tbl>
      <w:tblPr>
        <w:tblW w:w="0" w:type="auto"/>
        <w:tblLayout w:type="fixed"/>
        <w:tblCellMar>
          <w:left w:w="62" w:type="dxa"/>
          <w:right w:w="62" w:type="dxa"/>
        </w:tblCellMar>
        <w:tblLook w:val="0000"/>
      </w:tblPr>
      <w:tblGrid>
        <w:gridCol w:w="4500"/>
        <w:gridCol w:w="4500"/>
      </w:tblGrid>
      <w:tr w:rsidTr="004902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BAE">
            <w:pPr>
              <w:pStyle w:val="BodyText"/>
              <w:rPr>
                <w:lang w:val="en-NZ"/>
              </w:rPr>
            </w:pPr>
          </w:p>
        </w:tc>
      </w:tr>
      <w:tr w:rsidTr="004902B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t>The range statement relates to the unit of competency as a whole. It allows for different work environments and situations that may affect performance. Bold italicised wording, if used in the performance criteria, is detailed below. Essential operating con</w:t>
            </w:r>
            <w:r w:rsidRPr="009E6BAE">
              <w:t xml:space="preserve">ditions that may be present with training and assessment (depending on the work situation, needs of the candidate, accessibility of the item, and local industry and regional contexts) may also be included. </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Remuneration and benefits</w:t>
            </w:r>
            <w:r w:rsidRPr="009E6B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allowan</w:t>
            </w:r>
            <w:r w:rsidRPr="009E6BAE">
              <w:t>ces</w:t>
            </w:r>
          </w:p>
          <w:p w:rsidR="00000000" w:rsidRPr="009E6BAE" w:rsidP="009E6BAE">
            <w:pPr>
              <w:pStyle w:val="BodyText"/>
            </w:pPr>
            <w:r w:rsidRPr="009E6BAE">
              <w:t>annual leave</w:t>
            </w:r>
          </w:p>
          <w:p w:rsidR="00000000" w:rsidRPr="009E6BAE" w:rsidP="009E6BAE">
            <w:pPr>
              <w:pStyle w:val="BodyText"/>
            </w:pPr>
            <w:r w:rsidRPr="009E6BAE">
              <w:t>bonuses/incentives</w:t>
            </w:r>
          </w:p>
          <w:p w:rsidR="00000000" w:rsidRPr="009E6BAE" w:rsidP="009E6BAE">
            <w:pPr>
              <w:pStyle w:val="BodyText"/>
            </w:pPr>
            <w:r w:rsidRPr="009E6BAE">
              <w:t>competency-based progression</w:t>
            </w:r>
          </w:p>
          <w:p w:rsidR="00000000" w:rsidRPr="009E6BAE" w:rsidP="009E6BAE">
            <w:pPr>
              <w:pStyle w:val="BodyText"/>
            </w:pPr>
            <w:r w:rsidRPr="009E6BAE">
              <w:t>employee share plans</w:t>
            </w:r>
          </w:p>
          <w:p w:rsidR="00000000" w:rsidRPr="009E6BAE" w:rsidP="009E6BAE">
            <w:pPr>
              <w:pStyle w:val="BodyText"/>
            </w:pPr>
            <w:r w:rsidRPr="009E6BAE">
              <w:t>ex gratia payments</w:t>
            </w:r>
          </w:p>
          <w:p w:rsidR="00000000" w:rsidRPr="009E6BAE" w:rsidP="009E6BAE">
            <w:pPr>
              <w:pStyle w:val="BodyText"/>
            </w:pPr>
            <w:r w:rsidRPr="009E6BAE">
              <w:t>expense reimbursement</w:t>
            </w:r>
          </w:p>
          <w:p w:rsidR="00000000" w:rsidRPr="009E6BAE" w:rsidP="009E6BAE">
            <w:pPr>
              <w:pStyle w:val="BodyText"/>
            </w:pPr>
            <w:r w:rsidRPr="009E6BAE">
              <w:t>family/carer's leave</w:t>
            </w:r>
          </w:p>
          <w:p w:rsidR="00000000" w:rsidRPr="009E6BAE" w:rsidP="009E6BAE">
            <w:pPr>
              <w:pStyle w:val="BodyText"/>
            </w:pPr>
            <w:r w:rsidRPr="009E6BAE">
              <w:t>fringe benefits</w:t>
            </w:r>
          </w:p>
          <w:p w:rsidR="00000000" w:rsidRPr="009E6BAE" w:rsidP="009E6BAE">
            <w:pPr>
              <w:pStyle w:val="BodyText"/>
            </w:pPr>
            <w:r w:rsidRPr="009E6BAE">
              <w:t>leave without pay</w:t>
            </w:r>
          </w:p>
          <w:p w:rsidR="00000000" w:rsidRPr="009E6BAE" w:rsidP="009E6BAE">
            <w:pPr>
              <w:pStyle w:val="BodyText"/>
            </w:pPr>
            <w:r w:rsidRPr="009E6BAE">
              <w:t>long service leave</w:t>
            </w:r>
          </w:p>
          <w:p w:rsidR="00000000" w:rsidRPr="009E6BAE" w:rsidP="009E6BAE">
            <w:pPr>
              <w:pStyle w:val="BodyText"/>
            </w:pPr>
            <w:r w:rsidRPr="009E6BAE">
              <w:t>motor vehicle</w:t>
            </w:r>
          </w:p>
          <w:p w:rsidR="00000000" w:rsidRPr="009E6BAE" w:rsidP="009E6BAE">
            <w:pPr>
              <w:pStyle w:val="BodyText"/>
            </w:pPr>
            <w:r w:rsidRPr="009E6BAE">
              <w:t>salaries and wages</w:t>
            </w:r>
          </w:p>
          <w:p w:rsidR="00000000" w:rsidRPr="009E6BAE" w:rsidP="009E6BAE">
            <w:pPr>
              <w:pStyle w:val="BodyText"/>
            </w:pPr>
            <w:r w:rsidRPr="009E6BAE">
              <w:t>share options</w:t>
            </w:r>
          </w:p>
          <w:p w:rsidR="00000000" w:rsidRPr="009E6BAE" w:rsidP="009E6BAE">
            <w:pPr>
              <w:pStyle w:val="BodyText"/>
            </w:pPr>
            <w:r w:rsidRPr="009E6BAE">
              <w:t>sick lea</w:t>
            </w:r>
            <w:r w:rsidRPr="009E6BAE">
              <w:t>ve</w:t>
            </w:r>
          </w:p>
          <w:p w:rsidR="00000000" w:rsidRPr="009E6BAE" w:rsidP="009E6BAE">
            <w:pPr>
              <w:pStyle w:val="BodyText"/>
            </w:pPr>
            <w:r w:rsidRPr="009E6BAE">
              <w:t>special leave</w:t>
            </w:r>
          </w:p>
          <w:p w:rsidR="00000000" w:rsidRPr="009E6BAE" w:rsidP="009E6BAE">
            <w:pPr>
              <w:pStyle w:val="BodyText"/>
            </w:pPr>
            <w:r w:rsidRPr="009E6BAE">
              <w:t>study leave</w:t>
            </w:r>
          </w:p>
          <w:p w:rsidR="00000000" w:rsidP="009E6BAE">
            <w:pPr>
              <w:pStyle w:val="BodyText"/>
              <w:rPr>
                <w:lang w:val="en-NZ"/>
              </w:rPr>
            </w:pPr>
            <w:r w:rsidRPr="009E6BAE">
              <w:t>superannuation</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Market rates surveys</w:t>
            </w:r>
            <w:r w:rsidRPr="009E6B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data from remuneration specialists</w:t>
            </w:r>
          </w:p>
          <w:p w:rsidR="00000000" w:rsidRPr="009E6BAE" w:rsidP="009E6BAE">
            <w:pPr>
              <w:pStyle w:val="BodyText"/>
            </w:pPr>
            <w:r w:rsidRPr="009E6BAE">
              <w:t>general community surveys</w:t>
            </w:r>
          </w:p>
          <w:p w:rsidR="00000000" w:rsidRPr="009E6BAE" w:rsidP="009E6BAE">
            <w:pPr>
              <w:pStyle w:val="BodyText"/>
            </w:pPr>
            <w:r w:rsidRPr="009E6BAE">
              <w:t>industry salary benchmarking</w:t>
            </w:r>
          </w:p>
          <w:p w:rsidR="00000000" w:rsidP="009E6BAE">
            <w:pPr>
              <w:pStyle w:val="BodyText"/>
              <w:rPr>
                <w:lang w:val="en-NZ"/>
              </w:rPr>
            </w:pPr>
            <w:r w:rsidRPr="009E6BAE">
              <w:t>surveys conducted by the organisation</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Salary packages</w:t>
            </w:r>
            <w:r w:rsidRPr="009E6BAE">
              <w:t xml:space="preserve"> refers to: </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payment arrangement where the total remuneration and benefits payable to an employee are calculated as total cost of employment (i.e. salary, allowances, motor vehicle, superannuation and fringe benefits)</w:t>
            </w:r>
          </w:p>
          <w:p w:rsidR="00000000" w:rsidP="009E6BAE">
            <w:pPr>
              <w:pStyle w:val="BodyText"/>
              <w:rPr>
                <w:lang w:val="en-NZ"/>
              </w:rPr>
            </w:pPr>
            <w:r w:rsidRPr="009E6BAE">
              <w:t>it does not include payroll tax or workers compensa</w:t>
            </w:r>
            <w:r w:rsidRPr="009E6BAE">
              <w:t>tion insurance</w:t>
            </w:r>
          </w:p>
        </w:tc>
      </w:tr>
      <w:tr w:rsidTr="004902B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BAE">
            <w:pPr>
              <w:pStyle w:val="BodyText"/>
              <w:rPr>
                <w:lang w:val="en-NZ"/>
              </w:rPr>
            </w:pPr>
            <w:r w:rsidRPr="009E6BAE">
              <w:rPr>
                <w:rStyle w:val="SpecialBold"/>
              </w:rPr>
              <w:t>Incentive arrangements</w:t>
            </w:r>
            <w:r w:rsidRPr="009E6BA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E6BAE" w:rsidP="009E6BAE">
            <w:pPr>
              <w:pStyle w:val="BodyText"/>
            </w:pPr>
            <w:r w:rsidRPr="009E6BAE">
              <w:t>commission</w:t>
            </w:r>
          </w:p>
          <w:p w:rsidR="00000000" w:rsidRPr="009E6BAE" w:rsidP="009E6BAE">
            <w:pPr>
              <w:pStyle w:val="BodyText"/>
            </w:pPr>
            <w:r w:rsidRPr="009E6BAE">
              <w:t>bonuses</w:t>
            </w:r>
          </w:p>
          <w:p w:rsidR="00000000" w:rsidRPr="009E6BAE" w:rsidP="009E6BAE">
            <w:pPr>
              <w:pStyle w:val="BodyText"/>
            </w:pPr>
            <w:r w:rsidRPr="009E6BAE">
              <w:t>share plans</w:t>
            </w:r>
          </w:p>
          <w:p w:rsidR="00000000" w:rsidRPr="009E6BAE" w:rsidP="009E6BAE">
            <w:pPr>
              <w:pStyle w:val="BodyText"/>
            </w:pPr>
            <w:r w:rsidRPr="009E6BAE">
              <w:t>share options</w:t>
            </w:r>
          </w:p>
          <w:p w:rsidR="00000000" w:rsidRPr="009E6BAE" w:rsidP="009E6BAE">
            <w:pPr>
              <w:pStyle w:val="BodyText"/>
            </w:pPr>
            <w:r w:rsidRPr="009E6BAE">
              <w:t>gain sharing</w:t>
            </w:r>
          </w:p>
          <w:p w:rsidR="00000000" w:rsidRPr="009E6BAE" w:rsidP="009E6BAE">
            <w:pPr>
              <w:pStyle w:val="BodyText"/>
            </w:pPr>
            <w:r w:rsidRPr="009E6BAE">
              <w:t>profit sharing</w:t>
            </w:r>
          </w:p>
        </w:tc>
      </w:tr>
    </w:tbl>
    <w:p w:rsidR="00000000" w:rsidRPr="009E6BAE" w:rsidP="009E6BAE">
      <w:pPr>
        <w:pStyle w:val="BodyText"/>
      </w:pPr>
    </w:p>
    <w:p w:rsidR="00000000" w:rsidRPr="009E6BAE" w:rsidP="009E6BAE">
      <w:pPr>
        <w:pStyle w:val="AllowPageBreak"/>
      </w:pPr>
    </w:p>
    <w:p w:rsidR="00000000" w:rsidRPr="009E6BAE" w:rsidP="009E6BAE">
      <w:pPr>
        <w:pStyle w:val="Heading1"/>
      </w:pPr>
      <w:bookmarkStart w:id="12" w:name="O_312819"/>
      <w:bookmarkEnd w:id="12"/>
      <w:r w:rsidRPr="009E6BAE">
        <w:t>Unit Sector(s)</w:t>
      </w:r>
    </w:p>
    <w:p w:rsidR="00000000" w:rsidRPr="009E6BAE" w:rsidP="009E6BAE">
      <w:pPr>
        <w:pStyle w:val="BodyText"/>
      </w:pPr>
      <w:r w:rsidRPr="009E6BAE">
        <w:t>empty</w:t>
      </w:r>
    </w:p>
    <w:p w:rsidR="00000000" w:rsidRPr="009E6BAE" w:rsidP="009E6BAE">
      <w:pPr>
        <w:pStyle w:val="BodyText"/>
      </w:pPr>
      <w:r w:rsidRPr="009E6BAE">
        <w:t>empt</w:t>
      </w:r>
    </w:p>
    <w:p w:rsidR="00000000" w:rsidRPr="009E6BAE" w:rsidP="009E6BAE">
      <w:pPr>
        <w:pStyle w:val="AllowPageBreak"/>
      </w:pPr>
    </w:p>
    <w:p w:rsidR="00000000" w:rsidRPr="009E6BAE" w:rsidP="009E6BAE">
      <w:pPr>
        <w:pStyle w:val="Heading1"/>
      </w:pPr>
      <w:bookmarkStart w:id="13" w:name="O_312821"/>
      <w:bookmarkEnd w:id="13"/>
      <w:r w:rsidRPr="009E6BAE">
        <w:t>Competency field</w:t>
      </w:r>
    </w:p>
    <w:p w:rsidR="00000000" w:rsidRPr="009E6BAE" w:rsidP="009E6BAE">
      <w:pPr>
        <w:pStyle w:val="BodyText"/>
      </w:pPr>
      <w:r w:rsidRPr="009E6BAE">
        <w:t>Workforce Development - Human Resource Management</w:t>
      </w:r>
    </w:p>
    <w:p w:rsidR="00000000" w:rsidRPr="009E6BAE" w:rsidP="009E6BAE">
      <w:pPr>
        <w:pStyle w:val="BodyText"/>
      </w:pPr>
      <w:r w:rsidRPr="009E6BAE">
        <w:t>Workforce Development - Human Resource Management</w:t>
      </w:r>
    </w:p>
    <w:p w:rsidR="00000000" w:rsidRPr="009E6BAE" w:rsidP="009E6BAE"/>
    <w:sectPr w:rsidSect="009E6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2B7" w:rsidP="00490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B7" w:rsidP="009E6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02B7" w:rsidP="009E6B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02B7" w:rsidP="009E6B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2B7" w:rsidP="004902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2B7" w:rsidP="009E6BAE">
    <w:pPr>
      <w:pStyle w:val="Header"/>
      <w:framePr w:wrap="around"/>
    </w:pPr>
    <w:r>
      <w:fldChar w:fldCharType="begin"/>
    </w:r>
    <w:r>
      <w:instrText xml:space="preserve"> TITLE   \* MERGEFORMAT </w:instrText>
    </w:r>
    <w:r>
      <w:fldChar w:fldCharType="separate"/>
    </w:r>
    <w:r>
      <w:t>BSBHRM505A Manage remuneration and employee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02B7" w:rsidP="009E6B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B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BAE"/>
    <w:pPr>
      <w:spacing w:before="360" w:after="60"/>
      <w:outlineLvl w:val="0"/>
    </w:pPr>
    <w:rPr>
      <w:sz w:val="32"/>
    </w:rPr>
  </w:style>
  <w:style w:type="paragraph" w:styleId="Heading2">
    <w:name w:val="heading 2"/>
    <w:basedOn w:val="HeadingBase"/>
    <w:next w:val="BodyText"/>
    <w:link w:val="Heading2Char"/>
    <w:qFormat/>
    <w:rsid w:val="009E6BAE"/>
    <w:pPr>
      <w:keepLines/>
      <w:spacing w:before="240" w:after="120"/>
      <w:outlineLvl w:val="1"/>
    </w:pPr>
    <w:rPr>
      <w:sz w:val="28"/>
      <w:szCs w:val="40"/>
    </w:rPr>
  </w:style>
  <w:style w:type="paragraph" w:styleId="Heading3">
    <w:name w:val="heading 3"/>
    <w:basedOn w:val="HeadingBase"/>
    <w:next w:val="BodyText"/>
    <w:link w:val="Heading3Char"/>
    <w:qFormat/>
    <w:rsid w:val="009E6BAE"/>
    <w:pPr>
      <w:spacing w:before="180" w:after="120"/>
      <w:outlineLvl w:val="2"/>
    </w:pPr>
    <w:rPr>
      <w:spacing w:val="-10"/>
      <w:kern w:val="32"/>
    </w:rPr>
  </w:style>
  <w:style w:type="paragraph" w:styleId="Heading4">
    <w:name w:val="heading 4"/>
    <w:basedOn w:val="HeadingBase"/>
    <w:next w:val="BodyText"/>
    <w:link w:val="Heading4Char"/>
    <w:qFormat/>
    <w:rsid w:val="009E6BAE"/>
    <w:pPr>
      <w:spacing w:before="160" w:after="120"/>
      <w:outlineLvl w:val="3"/>
    </w:pPr>
    <w:rPr>
      <w:sz w:val="22"/>
    </w:rPr>
  </w:style>
  <w:style w:type="paragraph" w:styleId="Heading5">
    <w:name w:val="heading 5"/>
    <w:basedOn w:val="HeadingBase"/>
    <w:next w:val="Normal"/>
    <w:link w:val="Heading5Char"/>
    <w:qFormat/>
    <w:rsid w:val="009E6BAE"/>
    <w:pPr>
      <w:spacing w:before="80"/>
      <w:outlineLvl w:val="4"/>
    </w:pPr>
    <w:rPr>
      <w:color w:val="918585"/>
      <w:sz w:val="20"/>
    </w:rPr>
  </w:style>
  <w:style w:type="paragraph" w:styleId="Heading6">
    <w:name w:val="heading 6"/>
    <w:basedOn w:val="HeadingBase"/>
    <w:next w:val="Normal"/>
    <w:link w:val="Heading6Char"/>
    <w:qFormat/>
    <w:rsid w:val="009E6BAE"/>
    <w:pPr>
      <w:spacing w:before="60"/>
      <w:outlineLvl w:val="5"/>
    </w:pPr>
    <w:rPr>
      <w:color w:val="918585"/>
      <w:sz w:val="20"/>
    </w:rPr>
  </w:style>
  <w:style w:type="paragraph" w:styleId="Heading7">
    <w:name w:val="heading 7"/>
    <w:basedOn w:val="Normal"/>
    <w:next w:val="Normal"/>
    <w:link w:val="Heading7Char"/>
    <w:qFormat/>
    <w:rsid w:val="009E6BAE"/>
    <w:pPr>
      <w:ind w:left="720"/>
      <w:outlineLvl w:val="6"/>
    </w:pPr>
    <w:rPr>
      <w:i/>
    </w:rPr>
  </w:style>
  <w:style w:type="paragraph" w:styleId="Heading8">
    <w:name w:val="heading 8"/>
    <w:basedOn w:val="Normal"/>
    <w:next w:val="Normal"/>
    <w:link w:val="Heading8Char"/>
    <w:qFormat/>
    <w:rsid w:val="009E6BAE"/>
    <w:pPr>
      <w:ind w:left="720"/>
      <w:outlineLvl w:val="7"/>
    </w:pPr>
    <w:rPr>
      <w:i/>
    </w:rPr>
  </w:style>
  <w:style w:type="paragraph" w:styleId="Heading9">
    <w:name w:val="heading 9"/>
    <w:basedOn w:val="Normal"/>
    <w:next w:val="Normal"/>
    <w:link w:val="Heading9Char"/>
    <w:qFormat/>
    <w:rsid w:val="009E6BAE"/>
    <w:pPr>
      <w:ind w:left="720"/>
      <w:outlineLvl w:val="8"/>
    </w:pPr>
    <w:rPr>
      <w:i/>
    </w:rPr>
  </w:style>
  <w:style w:type="character" w:default="1" w:styleId="DefaultParagraphFont">
    <w:name w:val="Default Paragraph Font"/>
    <w:uiPriority w:val="1"/>
    <w:unhideWhenUsed/>
    <w:rsid w:val="009E6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BAE"/>
  </w:style>
  <w:style w:type="character" w:customStyle="1" w:styleId="Heading1Char">
    <w:name w:val="Heading 1 Char"/>
    <w:basedOn w:val="DefaultParagraphFont"/>
    <w:link w:val="Heading1"/>
    <w:rsid w:val="009E6BAE"/>
    <w:rPr>
      <w:rFonts w:ascii="Times New Roman" w:eastAsia="Times New Roman" w:hAnsi="Times New Roman" w:cs="Times New Roman"/>
      <w:b/>
      <w:sz w:val="32"/>
      <w:szCs w:val="20"/>
      <w:lang w:eastAsia="en-US"/>
    </w:rPr>
  </w:style>
  <w:style w:type="paragraph" w:styleId="BodyText">
    <w:name w:val="Body Text"/>
    <w:basedOn w:val="Normal"/>
    <w:link w:val="BodyTextChar"/>
    <w:rsid w:val="009E6B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BAE"/>
    <w:rPr>
      <w:rFonts w:ascii="Times New Roman" w:eastAsia="Times New Roman" w:hAnsi="Times New Roman" w:cs="Times New Roman"/>
      <w:sz w:val="24"/>
      <w:lang w:val="en-US" w:eastAsia="en-US"/>
    </w:rPr>
  </w:style>
  <w:style w:type="paragraph" w:styleId="Footer">
    <w:name w:val="footer"/>
    <w:basedOn w:val="Normal"/>
    <w:link w:val="FooterChar"/>
    <w:rsid w:val="009E6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B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E6BAE"/>
    <w:rPr>
      <w:b/>
      <w:spacing w:val="0"/>
    </w:rPr>
  </w:style>
  <w:style w:type="paragraph" w:styleId="Header">
    <w:name w:val="header"/>
    <w:basedOn w:val="Normal"/>
    <w:link w:val="HeaderChar"/>
    <w:rsid w:val="009E6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B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BAE"/>
    <w:pPr>
      <w:spacing w:before="240" w:after="120"/>
      <w:outlineLvl w:val="0"/>
    </w:pPr>
    <w:rPr>
      <w:rFonts w:ascii="Times New Roman" w:hAnsi="Times New Roman"/>
      <w:b/>
      <w:sz w:val="28"/>
    </w:rPr>
  </w:style>
  <w:style w:type="paragraph" w:customStyle="1" w:styleId="AllowPageBreak">
    <w:name w:val="AllowPageBreak"/>
    <w:rsid w:val="009E6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B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B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BAE"/>
    <w:rPr>
      <w:rFonts w:ascii="Courier New" w:eastAsia="Times New Roman" w:hAnsi="Courier New" w:cs="Times New Roman"/>
      <w:i/>
      <w:szCs w:val="20"/>
      <w:lang w:val="en-US" w:eastAsia="en-US"/>
    </w:rPr>
  </w:style>
  <w:style w:type="paragraph" w:customStyle="1" w:styleId="HeadingBase">
    <w:name w:val="Heading Base"/>
    <w:rsid w:val="009E6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BAE"/>
    <w:pPr>
      <w:tabs>
        <w:tab w:val="right" w:leader="dot" w:pos="9072"/>
      </w:tabs>
      <w:ind w:left="567"/>
    </w:pPr>
    <w:rPr>
      <w:szCs w:val="22"/>
    </w:rPr>
  </w:style>
  <w:style w:type="paragraph" w:customStyle="1" w:styleId="TOCBase">
    <w:name w:val="TOC Base"/>
    <w:rsid w:val="009E6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BAE"/>
    <w:pPr>
      <w:tabs>
        <w:tab w:val="right" w:leader="dot" w:pos="9072"/>
      </w:tabs>
      <w:spacing w:before="40" w:after="40"/>
      <w:ind w:left="284"/>
    </w:pPr>
    <w:rPr>
      <w:rFonts w:ascii="Times New Roman" w:hAnsi="Times New Roman"/>
    </w:rPr>
  </w:style>
  <w:style w:type="paragraph" w:styleId="TOC1">
    <w:name w:val="toc 1"/>
    <w:basedOn w:val="TOCBase"/>
    <w:next w:val="Normal"/>
    <w:rsid w:val="009E6B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BAE"/>
    <w:pPr>
      <w:spacing w:before="5040"/>
      <w:jc w:val="center"/>
    </w:pPr>
    <w:rPr>
      <w:sz w:val="48"/>
      <w:szCs w:val="72"/>
      <w:lang w:val="en-US"/>
    </w:rPr>
  </w:style>
  <w:style w:type="character" w:customStyle="1" w:styleId="TitleChar">
    <w:name w:val="Title Char"/>
    <w:basedOn w:val="DefaultParagraphFont"/>
    <w:link w:val="Title"/>
    <w:rsid w:val="009E6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BAE"/>
    <w:pPr>
      <w:tabs>
        <w:tab w:val="left" w:pos="3600"/>
        <w:tab w:val="left" w:pos="3958"/>
      </w:tabs>
    </w:pPr>
  </w:style>
  <w:style w:type="paragraph" w:styleId="List">
    <w:name w:val="List"/>
    <w:basedOn w:val="BodyText"/>
    <w:next w:val="BodyText"/>
    <w:rsid w:val="009E6BAE"/>
    <w:pPr>
      <w:tabs>
        <w:tab w:val="left" w:pos="340"/>
      </w:tabs>
      <w:spacing w:before="60" w:after="60"/>
      <w:ind w:left="340" w:hanging="340"/>
    </w:pPr>
  </w:style>
  <w:style w:type="paragraph" w:styleId="ListBullet">
    <w:name w:val="List Bullet"/>
    <w:basedOn w:val="List"/>
    <w:rsid w:val="009E6BAE"/>
    <w:pPr>
      <w:numPr>
        <w:numId w:val="11"/>
      </w:numPr>
      <w:tabs>
        <w:tab w:val="clear" w:pos="340"/>
      </w:tabs>
      <w:spacing w:before="40" w:after="40"/>
    </w:pPr>
  </w:style>
  <w:style w:type="paragraph" w:customStyle="1" w:styleId="Note">
    <w:name w:val="Note"/>
    <w:basedOn w:val="BodyText"/>
    <w:rsid w:val="009E6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BAE"/>
    <w:pPr>
      <w:framePr w:wrap="auto" w:hAnchor="text" w:y="6049"/>
    </w:pPr>
    <w:rPr>
      <w:color w:val="000000"/>
      <w:sz w:val="40"/>
    </w:rPr>
  </w:style>
  <w:style w:type="paragraph" w:customStyle="1" w:styleId="TOCTitle">
    <w:name w:val="TOCTitle"/>
    <w:basedOn w:val="Heading1"/>
    <w:rsid w:val="009E6BAE"/>
    <w:pPr>
      <w:spacing w:after="240"/>
      <w:jc w:val="center"/>
      <w:outlineLvl w:val="9"/>
    </w:pPr>
    <w:rPr>
      <w:caps/>
    </w:rPr>
  </w:style>
  <w:style w:type="paragraph" w:customStyle="1" w:styleId="Version">
    <w:name w:val="Version"/>
    <w:rsid w:val="009E6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BAE"/>
    <w:pPr>
      <w:numPr>
        <w:numId w:val="12"/>
      </w:numPr>
      <w:tabs>
        <w:tab w:val="clear" w:pos="680"/>
      </w:tabs>
    </w:pPr>
  </w:style>
  <w:style w:type="paragraph" w:styleId="Index1">
    <w:name w:val="index 1"/>
    <w:basedOn w:val="Normal"/>
    <w:next w:val="Normal"/>
    <w:semiHidden/>
    <w:rsid w:val="009E6BAE"/>
    <w:pPr>
      <w:keepNext w:val="0"/>
      <w:tabs>
        <w:tab w:val="right" w:pos="4176"/>
      </w:tabs>
      <w:ind w:left="198" w:hanging="198"/>
    </w:pPr>
    <w:rPr>
      <w:rFonts w:ascii="Garamond" w:hAnsi="Garamond"/>
    </w:rPr>
  </w:style>
  <w:style w:type="paragraph" w:styleId="IndexHeading">
    <w:name w:val="index heading"/>
    <w:basedOn w:val="Normal"/>
    <w:next w:val="Index1"/>
    <w:semiHidden/>
    <w:rsid w:val="009E6BAE"/>
    <w:pPr>
      <w:spacing w:before="120" w:after="120"/>
    </w:pPr>
    <w:rPr>
      <w:rFonts w:ascii="Arial" w:hAnsi="Arial"/>
      <w:b/>
      <w:color w:val="918585"/>
      <w:sz w:val="24"/>
    </w:rPr>
  </w:style>
  <w:style w:type="paragraph" w:customStyle="1" w:styleId="Chapter">
    <w:name w:val="Chapter"/>
    <w:basedOn w:val="Normal"/>
    <w:rsid w:val="009E6BAE"/>
    <w:pPr>
      <w:spacing w:before="240"/>
    </w:pPr>
    <w:rPr>
      <w:rFonts w:ascii="Times New Roman" w:hAnsi="Times New Roman"/>
      <w:smallCaps/>
      <w:spacing w:val="80"/>
      <w:sz w:val="28"/>
    </w:rPr>
  </w:style>
  <w:style w:type="paragraph" w:customStyle="1" w:styleId="InChapter">
    <w:name w:val="InChapter"/>
    <w:basedOn w:val="Heading3"/>
    <w:rsid w:val="009E6BAE"/>
    <w:pPr>
      <w:spacing w:after="240"/>
      <w:outlineLvl w:val="9"/>
    </w:pPr>
    <w:rPr>
      <w:noProof/>
    </w:rPr>
  </w:style>
  <w:style w:type="paragraph" w:styleId="Index2">
    <w:name w:val="index 2"/>
    <w:basedOn w:val="Normal"/>
    <w:next w:val="Normal"/>
    <w:semiHidden/>
    <w:rsid w:val="009E6BAE"/>
    <w:pPr>
      <w:tabs>
        <w:tab w:val="right" w:pos="4176"/>
      </w:tabs>
      <w:ind w:left="568" w:hanging="284"/>
    </w:pPr>
    <w:rPr>
      <w:rFonts w:ascii="Garamond" w:hAnsi="Garamond"/>
    </w:rPr>
  </w:style>
  <w:style w:type="paragraph" w:customStyle="1" w:styleId="Byline">
    <w:name w:val="Byline"/>
    <w:rsid w:val="009E6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BAE"/>
    <w:pPr>
      <w:tabs>
        <w:tab w:val="clear" w:pos="3600"/>
        <w:tab w:val="clear" w:pos="3958"/>
      </w:tabs>
      <w:jc w:val="right"/>
    </w:pPr>
  </w:style>
  <w:style w:type="character" w:styleId="Emphasis">
    <w:name w:val="Emphasis"/>
    <w:basedOn w:val="DefaultParagraphFont"/>
    <w:qFormat/>
    <w:rsid w:val="009E6BAE"/>
    <w:rPr>
      <w:i/>
    </w:rPr>
  </w:style>
  <w:style w:type="paragraph" w:styleId="Caption">
    <w:name w:val="caption"/>
    <w:basedOn w:val="BodyText"/>
    <w:next w:val="Normal"/>
    <w:qFormat/>
    <w:rsid w:val="009E6BAE"/>
    <w:pPr>
      <w:framePr w:w="2268" w:hSpace="181" w:vSpace="181" w:wrap="around" w:vAnchor="text" w:hAnchor="page" w:x="1135" w:y="285" w:anchorLock="1"/>
    </w:pPr>
    <w:rPr>
      <w:i/>
    </w:rPr>
  </w:style>
  <w:style w:type="paragraph" w:customStyle="1" w:styleId="MiniTOCTitle">
    <w:name w:val="MiniTOCTitle"/>
    <w:basedOn w:val="Heading4"/>
    <w:rsid w:val="009E6BAE"/>
    <w:pPr>
      <w:spacing w:before="240"/>
      <w:outlineLvl w:val="9"/>
    </w:pPr>
    <w:rPr>
      <w:noProof/>
      <w:sz w:val="24"/>
    </w:rPr>
  </w:style>
  <w:style w:type="paragraph" w:customStyle="1" w:styleId="MiniTOCItem">
    <w:name w:val="MiniTOCItem"/>
    <w:basedOn w:val="ListBullet"/>
    <w:rsid w:val="009E6BAE"/>
    <w:pPr>
      <w:numPr>
        <w:numId w:val="0"/>
      </w:numPr>
      <w:tabs>
        <w:tab w:val="right" w:leader="dot" w:pos="6521"/>
      </w:tabs>
      <w:spacing w:before="0" w:after="0"/>
    </w:pPr>
  </w:style>
  <w:style w:type="paragraph" w:customStyle="1" w:styleId="TOFTitle">
    <w:name w:val="TOFTitle"/>
    <w:basedOn w:val="TOCTitle"/>
    <w:rsid w:val="009E6BAE"/>
  </w:style>
  <w:style w:type="paragraph" w:styleId="TableofFigures">
    <w:name w:val="table of figures"/>
    <w:basedOn w:val="Normal"/>
    <w:next w:val="Normal"/>
    <w:semiHidden/>
    <w:rsid w:val="009E6BAE"/>
    <w:pPr>
      <w:tabs>
        <w:tab w:val="right" w:leader="dot" w:pos="9072"/>
      </w:tabs>
      <w:ind w:left="970" w:hanging="403"/>
    </w:pPr>
    <w:rPr>
      <w:rFonts w:ascii="Times New Roman" w:hAnsi="Times New Roman"/>
      <w:b/>
    </w:rPr>
  </w:style>
  <w:style w:type="paragraph" w:styleId="ListNumber">
    <w:name w:val="List Number"/>
    <w:basedOn w:val="List"/>
    <w:rsid w:val="009E6BAE"/>
    <w:pPr>
      <w:numPr>
        <w:numId w:val="9"/>
      </w:numPr>
    </w:pPr>
  </w:style>
  <w:style w:type="character" w:customStyle="1" w:styleId="WingdingSymbols">
    <w:name w:val="Wingding Symbols"/>
    <w:rsid w:val="009E6BAE"/>
    <w:rPr>
      <w:rFonts w:ascii="Wingdings" w:hAnsi="Wingdings"/>
    </w:rPr>
  </w:style>
  <w:style w:type="paragraph" w:customStyle="1" w:styleId="TableHeading">
    <w:name w:val="Table Heading"/>
    <w:basedOn w:val="HeadingBase"/>
    <w:rsid w:val="009E6BAE"/>
    <w:pPr>
      <w:keepLines/>
      <w:pBdr>
        <w:bottom w:val="single" w:sz="6" w:space="1" w:color="918585"/>
      </w:pBdr>
      <w:spacing w:before="240"/>
    </w:pPr>
  </w:style>
  <w:style w:type="character" w:customStyle="1" w:styleId="HotSpot">
    <w:name w:val="HotSpot"/>
    <w:rsid w:val="009E6BAE"/>
    <w:rPr>
      <w:color w:val="0033CC"/>
      <w:u w:val="none"/>
    </w:rPr>
  </w:style>
  <w:style w:type="paragraph" w:customStyle="1" w:styleId="BodyTextRight">
    <w:name w:val="Body Text Right"/>
    <w:basedOn w:val="BodyText"/>
    <w:rsid w:val="009E6BAE"/>
    <w:pPr>
      <w:spacing w:before="0" w:after="0"/>
      <w:jc w:val="right"/>
    </w:pPr>
  </w:style>
  <w:style w:type="paragraph" w:styleId="Index3">
    <w:name w:val="index 3"/>
    <w:basedOn w:val="ListNumber2"/>
    <w:next w:val="Normal"/>
    <w:semiHidden/>
    <w:rsid w:val="009E6BAE"/>
    <w:pPr>
      <w:numPr>
        <w:numId w:val="0"/>
      </w:numPr>
      <w:tabs>
        <w:tab w:val="right" w:leader="dot" w:pos="4176"/>
      </w:tabs>
    </w:pPr>
  </w:style>
  <w:style w:type="paragraph" w:styleId="ListNumber2">
    <w:name w:val="List Number 2"/>
    <w:basedOn w:val="List2"/>
    <w:rsid w:val="009E6BAE"/>
    <w:pPr>
      <w:numPr>
        <w:numId w:val="8"/>
      </w:numPr>
      <w:tabs>
        <w:tab w:val="clear" w:pos="1060"/>
      </w:tabs>
    </w:pPr>
  </w:style>
  <w:style w:type="paragraph" w:customStyle="1" w:styleId="MarginNote">
    <w:name w:val="Margin Note"/>
    <w:basedOn w:val="BodyText"/>
    <w:rsid w:val="009E6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B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BAE"/>
    <w:rPr>
      <w:sz w:val="32"/>
    </w:rPr>
  </w:style>
  <w:style w:type="paragraph" w:customStyle="1" w:styleId="HeadingProcedure">
    <w:name w:val="Heading Procedure"/>
    <w:basedOn w:val="HeadingBase"/>
    <w:next w:val="Normal"/>
    <w:rsid w:val="009E6BAE"/>
    <w:pPr>
      <w:tabs>
        <w:tab w:val="left" w:pos="0"/>
      </w:tabs>
      <w:spacing w:before="120" w:after="60"/>
    </w:pPr>
    <w:rPr>
      <w:i/>
      <w:color w:val="918585"/>
      <w:sz w:val="22"/>
    </w:rPr>
  </w:style>
  <w:style w:type="paragraph" w:customStyle="1" w:styleId="TableBodyText">
    <w:name w:val="Table Body Text"/>
    <w:basedOn w:val="BodyText"/>
    <w:rsid w:val="009E6BAE"/>
    <w:pPr>
      <w:spacing w:before="60" w:after="60"/>
    </w:pPr>
  </w:style>
  <w:style w:type="paragraph" w:styleId="ListContinue">
    <w:name w:val="List Continue"/>
    <w:basedOn w:val="List"/>
    <w:rsid w:val="009E6BAE"/>
    <w:pPr>
      <w:ind w:firstLine="0"/>
    </w:pPr>
  </w:style>
  <w:style w:type="paragraph" w:customStyle="1" w:styleId="ListNote">
    <w:name w:val="List Note"/>
    <w:basedOn w:val="List"/>
    <w:rsid w:val="009E6BAE"/>
    <w:pPr>
      <w:pBdr>
        <w:top w:val="single" w:sz="6" w:space="2" w:color="918585"/>
        <w:bottom w:val="single" w:sz="6" w:space="2" w:color="918585"/>
      </w:pBdr>
      <w:tabs>
        <w:tab w:val="left" w:pos="1021"/>
      </w:tabs>
      <w:ind w:firstLine="0"/>
    </w:pPr>
  </w:style>
  <w:style w:type="paragraph" w:customStyle="1" w:styleId="Warning">
    <w:name w:val="Warning"/>
    <w:basedOn w:val="BodyText"/>
    <w:rsid w:val="009E6BAE"/>
    <w:pPr>
      <w:shd w:val="clear" w:color="auto" w:fill="D9D9D9"/>
      <w:tabs>
        <w:tab w:val="left" w:pos="992"/>
      </w:tabs>
      <w:ind w:left="119" w:right="119"/>
    </w:pPr>
    <w:rPr>
      <w:sz w:val="20"/>
    </w:rPr>
  </w:style>
  <w:style w:type="paragraph" w:customStyle="1" w:styleId="MarginIcons">
    <w:name w:val="Margin Icons"/>
    <w:basedOn w:val="BodyText"/>
    <w:rsid w:val="009E6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BAE"/>
    <w:rPr>
      <w:rFonts w:ascii="Courier New" w:hAnsi="Courier New"/>
    </w:rPr>
  </w:style>
  <w:style w:type="paragraph" w:customStyle="1" w:styleId="NoteBullet">
    <w:name w:val="Note Bullet"/>
    <w:basedOn w:val="Note"/>
    <w:rsid w:val="009E6BAE"/>
    <w:pPr>
      <w:tabs>
        <w:tab w:val="clear" w:pos="680"/>
      </w:tabs>
      <w:spacing w:before="60" w:after="60"/>
    </w:pPr>
  </w:style>
  <w:style w:type="paragraph" w:customStyle="1" w:styleId="SubHeading2">
    <w:name w:val="SubHeading2"/>
    <w:basedOn w:val="HeadingBase"/>
    <w:rsid w:val="009E6BAE"/>
    <w:pPr>
      <w:spacing w:before="240" w:after="60"/>
    </w:pPr>
    <w:rPr>
      <w:sz w:val="20"/>
    </w:rPr>
  </w:style>
  <w:style w:type="paragraph" w:customStyle="1" w:styleId="SubHeading1">
    <w:name w:val="SubHeading1"/>
    <w:basedOn w:val="HeadingBase"/>
    <w:rsid w:val="009E6BAE"/>
    <w:pPr>
      <w:spacing w:before="240" w:after="60"/>
    </w:pPr>
    <w:rPr>
      <w:color w:val="918585"/>
      <w:sz w:val="22"/>
    </w:rPr>
  </w:style>
  <w:style w:type="paragraph" w:customStyle="1" w:styleId="SideHeading">
    <w:name w:val="Side Heading"/>
    <w:basedOn w:val="HeadingBase"/>
    <w:rsid w:val="009E6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BAE"/>
    <w:pPr>
      <w:numPr>
        <w:numId w:val="10"/>
      </w:numPr>
    </w:pPr>
  </w:style>
  <w:style w:type="paragraph" w:styleId="PlainText">
    <w:name w:val="Plain Text"/>
    <w:basedOn w:val="Normal"/>
    <w:link w:val="PlainTextChar"/>
    <w:rsid w:val="009E6BAE"/>
    <w:rPr>
      <w:sz w:val="20"/>
    </w:rPr>
  </w:style>
  <w:style w:type="character" w:customStyle="1" w:styleId="PlainTextChar">
    <w:name w:val="Plain Text Char"/>
    <w:basedOn w:val="DefaultParagraphFont"/>
    <w:link w:val="PlainText"/>
    <w:rsid w:val="009E6B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BAE"/>
    <w:rPr>
      <w:b/>
      <w:smallCaps/>
    </w:rPr>
  </w:style>
  <w:style w:type="paragraph" w:customStyle="1" w:styleId="TableListNumber">
    <w:name w:val="Table List Number"/>
    <w:basedOn w:val="ListNumber"/>
    <w:rsid w:val="009E6BAE"/>
    <w:pPr>
      <w:numPr>
        <w:numId w:val="0"/>
      </w:numPr>
    </w:pPr>
  </w:style>
  <w:style w:type="paragraph" w:styleId="TOC4">
    <w:name w:val="toc 4"/>
    <w:basedOn w:val="TOCBase"/>
    <w:next w:val="Normal"/>
    <w:semiHidden/>
    <w:rsid w:val="009E6BAE"/>
    <w:pPr>
      <w:tabs>
        <w:tab w:val="right" w:leader="dot" w:pos="9071"/>
      </w:tabs>
      <w:ind w:left="1701"/>
    </w:pPr>
  </w:style>
  <w:style w:type="paragraph" w:customStyle="1" w:styleId="ListAlpha">
    <w:name w:val="List Alpha"/>
    <w:basedOn w:val="List"/>
    <w:rsid w:val="009E6BAE"/>
    <w:pPr>
      <w:numPr>
        <w:numId w:val="7"/>
      </w:numPr>
    </w:pPr>
  </w:style>
  <w:style w:type="paragraph" w:customStyle="1" w:styleId="ListAlpha2">
    <w:name w:val="List Alpha 2"/>
    <w:basedOn w:val="List2"/>
    <w:rsid w:val="009E6BAE"/>
    <w:pPr>
      <w:numPr>
        <w:numId w:val="6"/>
      </w:numPr>
    </w:pPr>
  </w:style>
  <w:style w:type="paragraph" w:styleId="List2">
    <w:name w:val="List 2"/>
    <w:basedOn w:val="BodyText"/>
    <w:rsid w:val="009E6BAE"/>
    <w:pPr>
      <w:tabs>
        <w:tab w:val="left" w:pos="680"/>
      </w:tabs>
      <w:spacing w:before="60" w:after="60"/>
      <w:ind w:left="680" w:hanging="340"/>
    </w:pPr>
  </w:style>
  <w:style w:type="paragraph" w:styleId="List3">
    <w:name w:val="List 3"/>
    <w:basedOn w:val="BodyText"/>
    <w:rsid w:val="009E6BAE"/>
    <w:pPr>
      <w:tabs>
        <w:tab w:val="left" w:pos="1021"/>
      </w:tabs>
      <w:spacing w:before="60" w:after="60"/>
      <w:ind w:left="1020" w:hanging="340"/>
    </w:pPr>
  </w:style>
  <w:style w:type="paragraph" w:styleId="List4">
    <w:name w:val="List 4"/>
    <w:basedOn w:val="BodyText"/>
    <w:rsid w:val="009E6BAE"/>
    <w:pPr>
      <w:tabs>
        <w:tab w:val="left" w:pos="1361"/>
      </w:tabs>
      <w:spacing w:before="60" w:after="60"/>
      <w:ind w:left="1361" w:hanging="340"/>
    </w:pPr>
  </w:style>
  <w:style w:type="paragraph" w:styleId="List5">
    <w:name w:val="List 5"/>
    <w:basedOn w:val="BodyText"/>
    <w:rsid w:val="009E6BAE"/>
    <w:pPr>
      <w:tabs>
        <w:tab w:val="left" w:pos="1701"/>
      </w:tabs>
      <w:spacing w:before="60" w:after="60"/>
      <w:ind w:left="1701" w:hanging="340"/>
    </w:pPr>
  </w:style>
  <w:style w:type="paragraph" w:styleId="ListBullet3">
    <w:name w:val="List Bullet 3"/>
    <w:basedOn w:val="List3"/>
    <w:rsid w:val="009E6BAE"/>
    <w:pPr>
      <w:numPr>
        <w:numId w:val="13"/>
      </w:numPr>
      <w:tabs>
        <w:tab w:val="clear" w:pos="1021"/>
      </w:tabs>
      <w:ind w:left="1037" w:hanging="357"/>
    </w:pPr>
  </w:style>
  <w:style w:type="paragraph" w:styleId="ListBullet4">
    <w:name w:val="List Bullet 4"/>
    <w:basedOn w:val="List4"/>
    <w:rsid w:val="009E6BAE"/>
    <w:pPr>
      <w:numPr>
        <w:numId w:val="1"/>
      </w:numPr>
    </w:pPr>
  </w:style>
  <w:style w:type="paragraph" w:styleId="ListBullet5">
    <w:name w:val="List Bullet 5"/>
    <w:basedOn w:val="List5"/>
    <w:rsid w:val="009E6BAE"/>
    <w:pPr>
      <w:numPr>
        <w:numId w:val="2"/>
      </w:numPr>
    </w:pPr>
  </w:style>
  <w:style w:type="paragraph" w:styleId="ListContinue2">
    <w:name w:val="List Continue 2"/>
    <w:basedOn w:val="List2"/>
    <w:rsid w:val="009E6BAE"/>
    <w:pPr>
      <w:ind w:firstLine="0"/>
    </w:pPr>
  </w:style>
  <w:style w:type="paragraph" w:styleId="ListContinue3">
    <w:name w:val="List Continue 3"/>
    <w:basedOn w:val="List3"/>
    <w:rsid w:val="009E6BAE"/>
    <w:pPr>
      <w:ind w:left="1021" w:firstLine="0"/>
    </w:pPr>
  </w:style>
  <w:style w:type="paragraph" w:styleId="ListContinue4">
    <w:name w:val="List Continue 4"/>
    <w:basedOn w:val="List4"/>
    <w:rsid w:val="009E6BAE"/>
    <w:pPr>
      <w:ind w:firstLine="0"/>
    </w:pPr>
  </w:style>
  <w:style w:type="paragraph" w:styleId="ListContinue5">
    <w:name w:val="List Continue 5"/>
    <w:basedOn w:val="List5"/>
    <w:rsid w:val="009E6BAE"/>
    <w:pPr>
      <w:ind w:firstLine="0"/>
    </w:pPr>
  </w:style>
  <w:style w:type="paragraph" w:styleId="ListNumber3">
    <w:name w:val="List Number 3"/>
    <w:basedOn w:val="List3"/>
    <w:rsid w:val="009E6BAE"/>
    <w:pPr>
      <w:numPr>
        <w:numId w:val="3"/>
      </w:numPr>
    </w:pPr>
  </w:style>
  <w:style w:type="paragraph" w:styleId="ListNumber4">
    <w:name w:val="List Number 4"/>
    <w:basedOn w:val="List4"/>
    <w:rsid w:val="009E6BAE"/>
    <w:pPr>
      <w:numPr>
        <w:numId w:val="4"/>
      </w:numPr>
    </w:pPr>
  </w:style>
  <w:style w:type="paragraph" w:styleId="ListNumber5">
    <w:name w:val="List Number 5"/>
    <w:basedOn w:val="List5"/>
    <w:rsid w:val="009E6BAE"/>
    <w:pPr>
      <w:numPr>
        <w:numId w:val="5"/>
      </w:numPr>
    </w:pPr>
  </w:style>
  <w:style w:type="paragraph" w:styleId="BlockText">
    <w:name w:val="Block Text"/>
    <w:basedOn w:val="Normal"/>
    <w:rsid w:val="009E6BAE"/>
    <w:pPr>
      <w:spacing w:after="120"/>
      <w:ind w:left="1440" w:right="1440"/>
    </w:pPr>
  </w:style>
  <w:style w:type="character" w:customStyle="1" w:styleId="Subscript">
    <w:name w:val="Subscript"/>
    <w:basedOn w:val="DefaultParagraphFont"/>
    <w:rsid w:val="009E6BAE"/>
    <w:rPr>
      <w:sz w:val="16"/>
      <w:vertAlign w:val="subscript"/>
    </w:rPr>
  </w:style>
  <w:style w:type="character" w:customStyle="1" w:styleId="Superscript">
    <w:name w:val="Superscript"/>
    <w:basedOn w:val="DefaultParagraphFont"/>
    <w:rsid w:val="009E6BAE"/>
    <w:rPr>
      <w:sz w:val="16"/>
      <w:vertAlign w:val="superscript"/>
    </w:rPr>
  </w:style>
  <w:style w:type="character" w:customStyle="1" w:styleId="Symbols">
    <w:name w:val="Symbols"/>
    <w:basedOn w:val="DefaultParagraphFont"/>
    <w:rsid w:val="009E6BAE"/>
    <w:rPr>
      <w:rFonts w:ascii="Symbol" w:hAnsi="Symbol"/>
    </w:rPr>
  </w:style>
  <w:style w:type="character" w:customStyle="1" w:styleId="MenuOptions">
    <w:name w:val="Menu Options"/>
    <w:basedOn w:val="DefaultParagraphFont"/>
    <w:rsid w:val="009E6BAE"/>
    <w:rPr>
      <w:rFonts w:ascii="Arial Narrow" w:hAnsi="Arial Narrow"/>
      <w:smallCaps/>
    </w:rPr>
  </w:style>
  <w:style w:type="character" w:customStyle="1" w:styleId="Buttons">
    <w:name w:val="Buttons"/>
    <w:basedOn w:val="DefaultParagraphFont"/>
    <w:rsid w:val="009E6BAE"/>
    <w:rPr>
      <w:b/>
    </w:rPr>
  </w:style>
  <w:style w:type="character" w:customStyle="1" w:styleId="Underlined">
    <w:name w:val="Underlined"/>
    <w:basedOn w:val="DefaultParagraphFont"/>
    <w:rsid w:val="009E6BAE"/>
    <w:rPr>
      <w:u w:val="single"/>
    </w:rPr>
  </w:style>
  <w:style w:type="paragraph" w:customStyle="1" w:styleId="TableBodyTextRight">
    <w:name w:val="Table Body Text Right"/>
    <w:basedOn w:val="TableBodyText"/>
    <w:rsid w:val="009E6BAE"/>
    <w:pPr>
      <w:widowControl w:val="0"/>
      <w:autoSpaceDE w:val="0"/>
      <w:autoSpaceDN w:val="0"/>
      <w:adjustRightInd w:val="0"/>
      <w:jc w:val="right"/>
    </w:pPr>
    <w:rPr>
      <w:rFonts w:cs="Arial"/>
      <w:szCs w:val="18"/>
    </w:rPr>
  </w:style>
  <w:style w:type="paragraph" w:customStyle="1" w:styleId="CopyrightText">
    <w:name w:val="Copyright Text"/>
    <w:basedOn w:val="BodyText"/>
    <w:rsid w:val="009E6BAE"/>
    <w:rPr>
      <w:sz w:val="18"/>
    </w:rPr>
  </w:style>
  <w:style w:type="paragraph" w:customStyle="1" w:styleId="BodySmallRight">
    <w:name w:val="Body Small Right"/>
    <w:basedOn w:val="BodyTextRight"/>
    <w:rsid w:val="009E6BAE"/>
    <w:rPr>
      <w:sz w:val="18"/>
      <w:szCs w:val="18"/>
    </w:rPr>
  </w:style>
  <w:style w:type="paragraph" w:customStyle="1" w:styleId="MarginEdition">
    <w:name w:val="Margin Edition"/>
    <w:basedOn w:val="MarginNote"/>
    <w:rsid w:val="009E6BAE"/>
    <w:pPr>
      <w:spacing w:before="0" w:after="0"/>
    </w:pPr>
    <w:rPr>
      <w:rFonts w:ascii="Times New Roman" w:hAnsi="Times New Roman"/>
      <w:color w:val="999999"/>
    </w:rPr>
  </w:style>
  <w:style w:type="paragraph" w:customStyle="1" w:styleId="Spacer">
    <w:name w:val="Spacer"/>
    <w:basedOn w:val="Normal"/>
    <w:rsid w:val="009E6BAE"/>
    <w:rPr>
      <w:sz w:val="2"/>
      <w:szCs w:val="2"/>
    </w:rPr>
  </w:style>
  <w:style w:type="character" w:customStyle="1" w:styleId="Small">
    <w:name w:val="Small"/>
    <w:basedOn w:val="DefaultParagraphFont"/>
    <w:rsid w:val="009E6BAE"/>
    <w:rPr>
      <w:sz w:val="16"/>
    </w:rPr>
  </w:style>
  <w:style w:type="paragraph" w:customStyle="1" w:styleId="WideTable">
    <w:name w:val="Wide Table"/>
    <w:basedOn w:val="Normal"/>
    <w:rsid w:val="009E6BAE"/>
    <w:pPr>
      <w:ind w:left="-1418"/>
    </w:pPr>
    <w:rPr>
      <w:sz w:val="2"/>
      <w:szCs w:val="2"/>
    </w:rPr>
  </w:style>
  <w:style w:type="character" w:styleId="PageNumber">
    <w:name w:val="page number"/>
    <w:basedOn w:val="DefaultParagraphFont"/>
    <w:rsid w:val="009E6BAE"/>
  </w:style>
  <w:style w:type="paragraph" w:styleId="Quote">
    <w:name w:val="Quote"/>
    <w:basedOn w:val="Heading1"/>
    <w:link w:val="QuoteChar"/>
    <w:qFormat/>
    <w:rsid w:val="009E6BAE"/>
    <w:rPr>
      <w:b w:val="0"/>
      <w:sz w:val="72"/>
      <w:szCs w:val="72"/>
      <w:lang w:val="en-NZ"/>
    </w:rPr>
  </w:style>
  <w:style w:type="character" w:customStyle="1" w:styleId="QuoteChar">
    <w:name w:val="Quote Char"/>
    <w:basedOn w:val="DefaultParagraphFont"/>
    <w:link w:val="Quote"/>
    <w:rsid w:val="009E6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BAE"/>
    <w:pPr>
      <w:pageBreakBefore/>
    </w:pPr>
  </w:style>
  <w:style w:type="paragraph" w:customStyle="1" w:styleId="Border">
    <w:name w:val="Border"/>
    <w:basedOn w:val="Normal"/>
    <w:qFormat/>
    <w:rsid w:val="009E6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BAE"/>
    <w:rPr>
      <w:b/>
      <w:bCs/>
      <w:i/>
      <w:iCs/>
      <w:color w:val="auto"/>
    </w:rPr>
  </w:style>
  <w:style w:type="paragraph" w:styleId="IntenseQuote">
    <w:name w:val="Intense Quote"/>
    <w:basedOn w:val="Normal"/>
    <w:next w:val="Normal"/>
    <w:link w:val="IntenseQuoteChar"/>
    <w:uiPriority w:val="30"/>
    <w:qFormat/>
    <w:rsid w:val="009E6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B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BAE"/>
    <w:rPr>
      <w:smallCaps/>
      <w:color w:val="auto"/>
      <w:u w:val="single"/>
    </w:rPr>
  </w:style>
  <w:style w:type="character" w:styleId="IntenseReference">
    <w:name w:val="Intense Reference"/>
    <w:basedOn w:val="DefaultParagraphFont"/>
    <w:uiPriority w:val="32"/>
    <w:qFormat/>
    <w:rsid w:val="009E6BAE"/>
    <w:rPr>
      <w:b/>
      <w:bCs/>
      <w:smallCaps/>
      <w:color w:val="auto"/>
      <w:spacing w:val="5"/>
      <w:u w:val="single"/>
    </w:rPr>
  </w:style>
  <w:style w:type="paragraph" w:customStyle="1" w:styleId="2ColumnHeading">
    <w:name w:val="2Column Heading"/>
    <w:basedOn w:val="BodyText"/>
    <w:qFormat/>
    <w:rsid w:val="009E6BAE"/>
    <w:pPr>
      <w:spacing w:after="60"/>
      <w:ind w:left="-2268"/>
    </w:pPr>
    <w:rPr>
      <w:b/>
    </w:rPr>
  </w:style>
  <w:style w:type="paragraph" w:customStyle="1" w:styleId="Heading1TOC">
    <w:name w:val="Heading1 TOC"/>
    <w:basedOn w:val="Normal"/>
    <w:qFormat/>
    <w:rsid w:val="009E6BAE"/>
    <w:pPr>
      <w:spacing w:before="240" w:after="120"/>
    </w:pPr>
    <w:rPr>
      <w:rFonts w:ascii="Times New Roman" w:hAnsi="Times New Roman"/>
      <w:b/>
      <w:sz w:val="32"/>
    </w:rPr>
  </w:style>
  <w:style w:type="paragraph" w:customStyle="1" w:styleId="Heading2TOC">
    <w:name w:val="Heading2 TOC"/>
    <w:basedOn w:val="Normal"/>
    <w:qFormat/>
    <w:rsid w:val="009E6BAE"/>
    <w:pPr>
      <w:spacing w:before="240" w:after="60"/>
    </w:pPr>
    <w:rPr>
      <w:rFonts w:ascii="Times New Roman" w:hAnsi="Times New Roman"/>
      <w:b/>
      <w:sz w:val="28"/>
    </w:rPr>
  </w:style>
  <w:style w:type="character" w:customStyle="1" w:styleId="Underline">
    <w:name w:val="Underline"/>
    <w:basedOn w:val="DefaultParagraphFont"/>
    <w:qFormat/>
    <w:rsid w:val="009E6BAE"/>
    <w:rPr>
      <w:u w:val="single"/>
    </w:rPr>
  </w:style>
  <w:style w:type="character" w:customStyle="1" w:styleId="BoldandItalics">
    <w:name w:val="Bold and Italics"/>
    <w:qFormat/>
    <w:rsid w:val="009E6BAE"/>
    <w:rPr>
      <w:b/>
      <w:i/>
      <w:u w:val="none"/>
    </w:rPr>
  </w:style>
  <w:style w:type="paragraph" w:styleId="BalloonText">
    <w:name w:val="Balloon Text"/>
    <w:basedOn w:val="Normal"/>
    <w:link w:val="BalloonTextChar"/>
    <w:rsid w:val="009E6BAE"/>
    <w:rPr>
      <w:rFonts w:ascii="Tahoma" w:hAnsi="Tahoma" w:cs="Tahoma"/>
      <w:sz w:val="16"/>
      <w:szCs w:val="16"/>
    </w:rPr>
  </w:style>
  <w:style w:type="character" w:customStyle="1" w:styleId="BalloonTextChar">
    <w:name w:val="Balloon Text Char"/>
    <w:basedOn w:val="DefaultParagraphFont"/>
    <w:link w:val="BalloonText"/>
    <w:rsid w:val="009E6B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B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B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7000</Characters>
  <Application>Microsoft Office Word</Application>
  <DocSecurity>0</DocSecurity>
  <Lines>258</Lines>
  <Paragraphs>136</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BSBHRM505A Manage remuneration and employee benefits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2012-05-26T13:53:00Z</dcterms:created>
  <dcterms:modified xsi:type="dcterms:W3CDTF">2012-05-26T13:53:00Z</dcterms:modified>
</cp:coreProperties>
</file>