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1A94" w:rsidP="00BF1A94">
      <w:pPr>
        <w:pStyle w:val="Title"/>
      </w:pPr>
      <w:r>
        <w:fldChar w:fldCharType="begin"/>
      </w:r>
      <w:r>
        <w:instrText xml:space="preserve"> TITLE   \* MERGEFORMAT </w:instrText>
      </w:r>
      <w:r>
        <w:fldChar w:fldCharType="separate"/>
      </w:r>
      <w:r>
        <w:t>BSBATSIW515B Secure funding</w:t>
      </w:r>
      <w:r>
        <w:fldChar w:fldCharType="end"/>
      </w:r>
    </w:p>
    <w:p w:rsidR="00BF1A94" w:rsidP="00BF1A94">
      <w:pPr>
        <w:pStyle w:val="Version"/>
        <w:sectPr w:rsidSect="000309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09F9" w:rsidP="000309F9">
      <w:pPr>
        <w:pStyle w:val="SuperHeading"/>
      </w:pPr>
      <w:r w:rsidRPr="000309F9">
        <w:t>BSBATSIW515B Secure funding</w:t>
      </w:r>
    </w:p>
    <w:p w:rsidR="00000000" w:rsidRPr="000309F9" w:rsidP="000309F9">
      <w:pPr>
        <w:pStyle w:val="Heading1"/>
      </w:pPr>
      <w:bookmarkStart w:id="1" w:name="O_312620"/>
      <w:bookmarkEnd w:id="1"/>
      <w:r w:rsidRPr="000309F9">
        <w:t>Modification History</w:t>
      </w:r>
    </w:p>
    <w:p w:rsidR="00000000" w:rsidRPr="000309F9" w:rsidP="000309F9">
      <w:pPr>
        <w:pStyle w:val="Heading1"/>
      </w:pPr>
      <w:bookmarkStart w:id="2" w:name="O_312619"/>
      <w:bookmarkEnd w:id="2"/>
      <w:r w:rsidRPr="000309F9">
        <w:t>Unit Descriptor</w:t>
      </w:r>
    </w:p>
    <w:p w:rsidR="00000000" w:rsidRPr="000309F9" w:rsidP="000309F9">
      <w:pPr>
        <w:pStyle w:val="BodyText"/>
      </w:pPr>
      <w:r w:rsidRPr="000309F9">
        <w:t>This unit covers the process of locating sources of funds, making applications and lobbying to maximise the organisations chances of securing funds for its</w:t>
      </w:r>
      <w:r w:rsidRPr="000309F9">
        <w:t xml:space="preserve"> activities.</w:t>
      </w:r>
    </w:p>
    <w:p w:rsidR="00000000" w:rsidRPr="000309F9" w:rsidP="000309F9">
      <w:pPr>
        <w:pStyle w:val="BodyText"/>
      </w:pPr>
      <w:r w:rsidRPr="000309F9">
        <w:t>No licensing, legislative, regulatory or certification requirements apply to this unit at the time of endorsement.</w:t>
      </w:r>
    </w:p>
    <w:p w:rsidR="00000000" w:rsidRPr="000309F9" w:rsidP="000309F9">
      <w:pPr>
        <w:pStyle w:val="BodyText"/>
      </w:pPr>
      <w:r w:rsidRPr="000309F9">
        <w:t>This unit covers the process of locating sources of funds, making applications and lobbying to maximise the organisations chance</w:t>
      </w:r>
      <w:r w:rsidRPr="000309F9">
        <w:t>s of securing funds for its activities.</w:t>
      </w:r>
    </w:p>
    <w:p w:rsidR="00000000" w:rsidRPr="000309F9" w:rsidP="000309F9">
      <w:pPr>
        <w:pStyle w:val="BodyText"/>
      </w:pPr>
      <w:r w:rsidRPr="000309F9">
        <w:t>No licensing, legislative, regulatory or certification requirements apply to this unit at the time of endorsement.</w:t>
      </w:r>
    </w:p>
    <w:p w:rsidR="00000000" w:rsidRPr="000309F9" w:rsidP="000309F9">
      <w:pPr>
        <w:pStyle w:val="AllowPageBreak"/>
      </w:pPr>
    </w:p>
    <w:p w:rsidR="00000000" w:rsidRPr="000309F9" w:rsidP="000309F9">
      <w:pPr>
        <w:pStyle w:val="Heading1"/>
      </w:pPr>
      <w:bookmarkStart w:id="3" w:name="O_312618"/>
      <w:bookmarkEnd w:id="3"/>
      <w:r w:rsidRPr="000309F9">
        <w:t>Application of the Unit</w:t>
      </w:r>
    </w:p>
    <w:p w:rsidR="00000000" w:rsidRPr="000309F9" w:rsidP="000309F9">
      <w:pPr>
        <w:pStyle w:val="BodyText"/>
      </w:pPr>
      <w:r w:rsidRPr="000309F9">
        <w:t>This unit applies to individuals with a broad knowledge of t</w:t>
      </w:r>
      <w:r w:rsidRPr="000309F9">
        <w:t>he business or core functions of organisations who contribute their skills and knowledge to monitoring and guiding the activities of organisations in the Indigenous community.</w:t>
      </w:r>
    </w:p>
    <w:p w:rsidR="00000000" w:rsidRPr="000309F9" w:rsidP="000309F9">
      <w:pPr>
        <w:pStyle w:val="BodyText"/>
      </w:pPr>
      <w:r w:rsidRPr="000309F9">
        <w:t xml:space="preserve">This unit applies to individuals with a broad knowledge of the business or core </w:t>
      </w:r>
      <w:r w:rsidRPr="000309F9">
        <w:t>functions of organisations who contribute their skills and knowledge to monitoring and guiding the activities of organisations in the Indigenous community.</w:t>
      </w:r>
    </w:p>
    <w:p w:rsidR="00000000" w:rsidRPr="000309F9" w:rsidP="000309F9">
      <w:pPr>
        <w:pStyle w:val="AllowPageBreak"/>
      </w:pPr>
    </w:p>
    <w:p w:rsidR="00000000" w:rsidRPr="000309F9" w:rsidP="000309F9">
      <w:pPr>
        <w:pStyle w:val="Heading1"/>
      </w:pPr>
      <w:bookmarkStart w:id="4" w:name="O_312617"/>
      <w:bookmarkEnd w:id="4"/>
      <w:r w:rsidRPr="000309F9">
        <w:t>Licensing/Regulatory Information</w:t>
      </w:r>
    </w:p>
    <w:p w:rsidR="00000000" w:rsidRPr="000309F9" w:rsidP="000309F9">
      <w:pPr>
        <w:pStyle w:val="BodyText"/>
      </w:pPr>
      <w:r w:rsidRPr="000309F9">
        <w:t>Refer to Unit Descriptor</w:t>
      </w:r>
    </w:p>
    <w:p w:rsidR="00000000" w:rsidRPr="000309F9" w:rsidP="000309F9">
      <w:pPr>
        <w:pStyle w:val="AllowPageBreak"/>
      </w:pPr>
    </w:p>
    <w:p w:rsidR="00000000" w:rsidRPr="000309F9" w:rsidP="000309F9">
      <w:pPr>
        <w:pStyle w:val="Heading1"/>
      </w:pPr>
      <w:bookmarkStart w:id="5" w:name="O_312616"/>
      <w:bookmarkEnd w:id="5"/>
      <w:r w:rsidRPr="000309F9">
        <w:t>Pre-Requisites</w:t>
      </w:r>
    </w:p>
    <w:p w:rsidR="00000000" w:rsidRPr="000309F9" w:rsidP="000309F9">
      <w:pPr>
        <w:pStyle w:val="Heading1"/>
      </w:pPr>
      <w:bookmarkStart w:id="6" w:name="O_312615"/>
      <w:bookmarkEnd w:id="6"/>
      <w:r w:rsidRPr="000309F9">
        <w:t>Employability Skills Information</w:t>
      </w:r>
    </w:p>
    <w:p w:rsidR="00000000" w:rsidRPr="000309F9" w:rsidP="000309F9">
      <w:pPr>
        <w:pStyle w:val="BodyText"/>
      </w:pPr>
      <w:r w:rsidRPr="000309F9">
        <w:t>This unit contains employability skills.</w:t>
      </w:r>
    </w:p>
    <w:p w:rsidR="00000000" w:rsidRPr="000309F9" w:rsidP="000309F9">
      <w:pPr>
        <w:pStyle w:val="BodyText"/>
      </w:pPr>
      <w:r w:rsidRPr="000309F9">
        <w:t>This unit contains employability skills.</w:t>
      </w:r>
    </w:p>
    <w:p w:rsidR="00000000" w:rsidRPr="000309F9" w:rsidP="000309F9">
      <w:pPr>
        <w:pStyle w:val="AllowPageBreak"/>
      </w:pPr>
    </w:p>
    <w:p w:rsidR="00000000" w:rsidRPr="000309F9" w:rsidP="000309F9">
      <w:pPr>
        <w:pStyle w:val="Heading1"/>
      </w:pPr>
      <w:bookmarkStart w:id="7" w:name="O_312621"/>
      <w:bookmarkEnd w:id="7"/>
      <w:r w:rsidRPr="000309F9">
        <w:t>Elements and Performance Criteria Pre-Content</w:t>
      </w:r>
    </w:p>
    <w:p w:rsidR="00000000" w:rsidRPr="000309F9" w:rsidP="000309F9">
      <w:pPr>
        <w:pStyle w:val="BodyText"/>
      </w:pPr>
      <w:r w:rsidRPr="000309F9">
        <w:t>Elements describe the essential outcomes of a u</w:t>
      </w:r>
      <w:r w:rsidRPr="000309F9">
        <w:t>nit of competency.</w:t>
      </w:r>
    </w:p>
    <w:p w:rsidR="00000000" w:rsidRPr="000309F9" w:rsidP="000309F9">
      <w:pPr>
        <w:pStyle w:val="BodyText"/>
      </w:pPr>
      <w:r w:rsidRPr="000309F9">
        <w:t>Performance criteria describe the performance needed to demonstrate achievement of the element. Where bold italicised text is used, further information is detailed in the required skills and knowledge section and the range statement. Ass</w:t>
      </w:r>
      <w:r w:rsidRPr="000309F9">
        <w:t>essment of performance is to be consistent with the evidence guide.</w:t>
      </w:r>
    </w:p>
    <w:p w:rsidR="00000000" w:rsidRPr="000309F9" w:rsidP="000309F9">
      <w:pPr>
        <w:pStyle w:val="BodyText"/>
      </w:pPr>
      <w:r w:rsidRPr="000309F9">
        <w:t>Elements describe the essential outcomes of a unit of competency.</w:t>
      </w:r>
    </w:p>
    <w:p w:rsidR="00000000" w:rsidRPr="000309F9" w:rsidP="000309F9">
      <w:pPr>
        <w:pStyle w:val="BodyText"/>
      </w:pPr>
      <w:r w:rsidRPr="000309F9">
        <w:t>Performance criteria describe the performance needed to demonstrate achievement of the element. Where bold italicised text</w:t>
      </w:r>
      <w:r w:rsidRPr="000309F9">
        <w:t xml:space="preserve"> is used, further information is detailed in the required skills and knowledge section and the range statement. Assessment of performance is to be consistent with the evidence guide.</w:t>
      </w:r>
    </w:p>
    <w:p w:rsidR="00000000" w:rsidRPr="000309F9" w:rsidP="000309F9">
      <w:pPr>
        <w:pStyle w:val="AllowPageBreak"/>
      </w:pPr>
    </w:p>
    <w:p w:rsidR="00000000" w:rsidRPr="000309F9" w:rsidP="000309F9">
      <w:pPr>
        <w:pStyle w:val="Heading1"/>
      </w:pPr>
      <w:bookmarkStart w:id="8" w:name="O_312614"/>
      <w:bookmarkEnd w:id="8"/>
      <w:r w:rsidRPr="000309F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F1A9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rPr>
                <w:rStyle w:val="SpecialBold"/>
              </w:rPr>
              <w:t>E</w:t>
            </w:r>
            <w:r w:rsidRPr="000309F9">
              <w:rPr>
                <w:rStyle w:val="SpecialBold"/>
              </w:rPr>
              <w:t>lements and Performance Criteria</w:t>
            </w:r>
          </w:p>
        </w:tc>
      </w:tr>
      <w:tr w:rsidTr="00BF1A9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309F9" w:rsidP="000309F9">
            <w:pPr>
              <w:pStyle w:val="BodyText"/>
            </w:pPr>
            <w:r w:rsidRPr="000309F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rPr>
                <w:rStyle w:val="SpecialBold"/>
              </w:rPr>
              <w:t>Performance Criteria</w:t>
            </w:r>
          </w:p>
        </w:tc>
      </w:tr>
      <w:tr w:rsidTr="00BF1A9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t>1</w:t>
            </w:r>
          </w:p>
        </w:tc>
        <w:tc>
          <w:tcPr>
            <w:tcW w:w="3000" w:type="dxa"/>
            <w:vMerge w:val="restart"/>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t>Identify and contact funding bodies</w:t>
            </w:r>
          </w:p>
        </w:tc>
        <w:tc>
          <w:tcPr>
            <w:tcW w:w="500" w:type="dxa"/>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t>1.1</w:t>
            </w:r>
          </w:p>
        </w:tc>
        <w:tc>
          <w:tcPr>
            <w:tcW w:w="5100" w:type="dxa"/>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t xml:space="preserve">Investigate and list mainstream Aboriginal and Torres Strait Islander sources of funding </w:t>
            </w:r>
          </w:p>
        </w:tc>
      </w:tr>
      <w:tr w:rsidTr="00BF1A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t>1.2</w:t>
            </w:r>
          </w:p>
        </w:tc>
        <w:tc>
          <w:tcPr>
            <w:tcW w:w="5100" w:type="dxa"/>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t>Gather information about the potential funding body's priorities, key areas, and expected outcomes</w:t>
            </w:r>
          </w:p>
        </w:tc>
      </w:tr>
      <w:tr w:rsidTr="00BF1A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t>1.3</w:t>
            </w:r>
          </w:p>
        </w:tc>
        <w:tc>
          <w:tcPr>
            <w:tcW w:w="5100" w:type="dxa"/>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t>Explain clearly funding requirements to potential funding sources</w:t>
            </w:r>
          </w:p>
        </w:tc>
      </w:tr>
      <w:tr w:rsidTr="00BF1A9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t>2</w:t>
            </w:r>
          </w:p>
        </w:tc>
        <w:tc>
          <w:tcPr>
            <w:tcW w:w="3000" w:type="dxa"/>
            <w:vMerge w:val="restart"/>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t>Prepare a case for funding</w:t>
            </w:r>
          </w:p>
        </w:tc>
        <w:tc>
          <w:tcPr>
            <w:tcW w:w="500" w:type="dxa"/>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t>2.1</w:t>
            </w:r>
          </w:p>
        </w:tc>
        <w:tc>
          <w:tcPr>
            <w:tcW w:w="5100" w:type="dxa"/>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t xml:space="preserve">Form a team to oversee the funding </w:t>
            </w:r>
            <w:r w:rsidRPr="000309F9">
              <w:rPr>
                <w:rStyle w:val="SpecialBold"/>
              </w:rPr>
              <w:t>application</w:t>
            </w:r>
          </w:p>
        </w:tc>
      </w:tr>
      <w:tr w:rsidTr="00BF1A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t>2.2</w:t>
            </w:r>
          </w:p>
        </w:tc>
        <w:tc>
          <w:tcPr>
            <w:tcW w:w="5100" w:type="dxa"/>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t>Delegate tasks to staff if appropriate</w:t>
            </w:r>
          </w:p>
        </w:tc>
      </w:tr>
      <w:tr w:rsidTr="00BF1A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t>2.3</w:t>
            </w:r>
          </w:p>
        </w:tc>
        <w:tc>
          <w:tcPr>
            <w:tcW w:w="5100" w:type="dxa"/>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t xml:space="preserve">Employ if necessary consultant services to provide technical assistance </w:t>
            </w:r>
          </w:p>
        </w:tc>
      </w:tr>
      <w:tr w:rsidTr="00BF1A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t>2.4</w:t>
            </w:r>
          </w:p>
        </w:tc>
        <w:tc>
          <w:tcPr>
            <w:tcW w:w="5100" w:type="dxa"/>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t>Prepare a proposal that is related to the funding body's objectives, criteria and application requirements</w:t>
            </w:r>
          </w:p>
        </w:tc>
      </w:tr>
      <w:tr w:rsidTr="00BF1A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t>2.5</w:t>
            </w:r>
          </w:p>
        </w:tc>
        <w:tc>
          <w:tcPr>
            <w:tcW w:w="5100" w:type="dxa"/>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t>Ensure all existing financial obligations with respect to the funding body are up to date</w:t>
            </w:r>
          </w:p>
        </w:tc>
      </w:tr>
      <w:tr w:rsidTr="00BF1A9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t>3</w:t>
            </w:r>
          </w:p>
        </w:tc>
        <w:tc>
          <w:tcPr>
            <w:tcW w:w="3000" w:type="dxa"/>
            <w:vMerge w:val="restart"/>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t>Promote the case for funding</w:t>
            </w:r>
          </w:p>
        </w:tc>
        <w:tc>
          <w:tcPr>
            <w:tcW w:w="500" w:type="dxa"/>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t>3.1</w:t>
            </w:r>
          </w:p>
        </w:tc>
        <w:tc>
          <w:tcPr>
            <w:tcW w:w="5100" w:type="dxa"/>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t>Use the network to lobby the funding body</w:t>
            </w:r>
          </w:p>
        </w:tc>
      </w:tr>
      <w:tr w:rsidTr="00BF1A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t>3.2</w:t>
            </w:r>
          </w:p>
        </w:tc>
        <w:tc>
          <w:tcPr>
            <w:tcW w:w="5100" w:type="dxa"/>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t xml:space="preserve">Advise </w:t>
            </w:r>
            <w:r w:rsidRPr="000309F9">
              <w:rPr>
                <w:rStyle w:val="SpecialBold"/>
              </w:rPr>
              <w:t xml:space="preserve">key people </w:t>
            </w:r>
            <w:r w:rsidRPr="000309F9">
              <w:t>of the progress and outcome of the application</w:t>
            </w:r>
          </w:p>
        </w:tc>
      </w:tr>
      <w:tr w:rsidTr="00BF1A9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t>4</w:t>
            </w:r>
          </w:p>
        </w:tc>
        <w:tc>
          <w:tcPr>
            <w:tcW w:w="3000" w:type="dxa"/>
            <w:vMerge w:val="restart"/>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t>Appeal if necessary</w:t>
            </w:r>
          </w:p>
        </w:tc>
        <w:tc>
          <w:tcPr>
            <w:tcW w:w="500" w:type="dxa"/>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t>4.1</w:t>
            </w:r>
          </w:p>
        </w:tc>
        <w:tc>
          <w:tcPr>
            <w:tcW w:w="5100" w:type="dxa"/>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t xml:space="preserve">Identify and document relevant appeal authorities and procedures for funding bodies </w:t>
            </w:r>
          </w:p>
        </w:tc>
      </w:tr>
      <w:tr w:rsidTr="00BF1A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t>4.2</w:t>
            </w:r>
          </w:p>
        </w:tc>
        <w:tc>
          <w:tcPr>
            <w:tcW w:w="5100" w:type="dxa"/>
            <w:tcBorders>
              <w:top w:val="nil"/>
              <w:left w:val="nil"/>
              <w:bottom w:val="nil"/>
              <w:right w:val="nil"/>
            </w:tcBorders>
            <w:tcMar>
              <w:top w:w="0" w:type="dxa"/>
              <w:left w:w="62" w:type="dxa"/>
              <w:bottom w:w="0" w:type="dxa"/>
              <w:right w:w="62" w:type="dxa"/>
            </w:tcMar>
          </w:tcPr>
          <w:p w:rsidR="00000000" w:rsidRPr="000309F9" w:rsidP="000309F9">
            <w:pPr>
              <w:pStyle w:val="BodyText"/>
            </w:pPr>
            <w:r w:rsidRPr="000309F9">
              <w:t>Use the appeal system if required</w:t>
            </w:r>
          </w:p>
        </w:tc>
      </w:tr>
    </w:tbl>
    <w:p w:rsidR="00000000" w:rsidRPr="000309F9" w:rsidP="000309F9">
      <w:pPr>
        <w:pStyle w:val="BodyText"/>
      </w:pPr>
    </w:p>
    <w:p w:rsidR="00000000" w:rsidRPr="000309F9" w:rsidP="000309F9">
      <w:pPr>
        <w:pStyle w:val="AllowPageBreak"/>
      </w:pPr>
    </w:p>
    <w:p w:rsidR="00000000" w:rsidRPr="000309F9" w:rsidP="000309F9">
      <w:pPr>
        <w:pStyle w:val="Heading1"/>
      </w:pPr>
      <w:bookmarkStart w:id="9" w:name="O_312613"/>
      <w:bookmarkEnd w:id="9"/>
      <w:r w:rsidRPr="000309F9">
        <w:t>Required Skills and Knowledge</w:t>
      </w:r>
    </w:p>
    <w:tbl>
      <w:tblPr>
        <w:tblW w:w="0" w:type="auto"/>
        <w:tblLayout w:type="fixed"/>
        <w:tblCellMar>
          <w:left w:w="62" w:type="dxa"/>
          <w:right w:w="62" w:type="dxa"/>
        </w:tblCellMar>
        <w:tblLook w:val="0000"/>
      </w:tblPr>
      <w:tblGrid>
        <w:gridCol w:w="9000"/>
      </w:tblGrid>
      <w:tr w:rsidTr="00BF1A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309F9">
            <w:pPr>
              <w:pStyle w:val="BodyText"/>
              <w:rPr>
                <w:lang w:val="en-NZ"/>
              </w:rPr>
            </w:pPr>
          </w:p>
        </w:tc>
      </w:tr>
      <w:tr w:rsidTr="00BF1A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t xml:space="preserve">This section describes the skills and knowledge required for this unit. </w:t>
            </w:r>
          </w:p>
        </w:tc>
      </w:tr>
      <w:tr w:rsidTr="00BF1A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rPr>
                <w:rStyle w:val="SpecialBold"/>
              </w:rPr>
              <w:t>Required skills</w:t>
            </w:r>
          </w:p>
        </w:tc>
      </w:tr>
      <w:tr w:rsidTr="00BF1A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309F9" w:rsidP="000309F9">
            <w:pPr>
              <w:pStyle w:val="BodyText"/>
            </w:pPr>
            <w:r w:rsidRPr="000309F9">
              <w:t xml:space="preserve">The following skills must be assessed as part of this unit:    </w:t>
            </w:r>
          </w:p>
          <w:p w:rsidR="00000000" w:rsidRPr="000309F9" w:rsidP="000309F9">
            <w:pPr>
              <w:pStyle w:val="BodyText"/>
            </w:pPr>
            <w:r w:rsidRPr="000309F9">
              <w:t>Oral and written communication</w:t>
            </w:r>
          </w:p>
          <w:p w:rsidR="00000000" w:rsidRPr="000309F9" w:rsidP="000309F9">
            <w:pPr>
              <w:pStyle w:val="BodyText"/>
            </w:pPr>
            <w:r w:rsidRPr="000309F9">
              <w:t>Ability to work in a team</w:t>
            </w:r>
          </w:p>
          <w:p w:rsidR="00000000" w:rsidRPr="000309F9" w:rsidP="000309F9">
            <w:pPr>
              <w:pStyle w:val="BodyText"/>
            </w:pPr>
            <w:r w:rsidRPr="000309F9">
              <w:t>Planning and prioritising</w:t>
            </w:r>
          </w:p>
          <w:p w:rsidR="00000000" w:rsidRPr="000309F9" w:rsidP="000309F9">
            <w:pPr>
              <w:pStyle w:val="BodyText"/>
            </w:pPr>
            <w:r w:rsidRPr="000309F9">
              <w:t>Evaluation and decision-making</w:t>
            </w:r>
          </w:p>
          <w:p w:rsidR="00000000" w:rsidRPr="000309F9" w:rsidP="000309F9">
            <w:pPr>
              <w:pStyle w:val="BodyText"/>
            </w:pPr>
            <w:r w:rsidRPr="000309F9">
              <w:t>Networking</w:t>
            </w:r>
          </w:p>
          <w:p w:rsidR="00000000" w:rsidP="000309F9">
            <w:pPr>
              <w:pStyle w:val="BodyText"/>
              <w:rPr>
                <w:lang w:val="en-NZ"/>
              </w:rPr>
            </w:pPr>
            <w:r w:rsidRPr="000309F9">
              <w:t>Negotiation and lobbying</w:t>
            </w:r>
          </w:p>
        </w:tc>
      </w:tr>
      <w:tr w:rsidTr="00BF1A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rPr>
                <w:rStyle w:val="SpecialBold"/>
              </w:rPr>
              <w:t>Required knowledge</w:t>
            </w:r>
          </w:p>
        </w:tc>
      </w:tr>
      <w:tr w:rsidTr="00BF1A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309F9" w:rsidP="000309F9">
            <w:pPr>
              <w:pStyle w:val="BodyText"/>
            </w:pPr>
            <w:r w:rsidRPr="000309F9">
              <w:t xml:space="preserve">The following knowledge must be assessed as part of this unit:    </w:t>
            </w:r>
          </w:p>
          <w:p w:rsidR="00000000" w:rsidRPr="000309F9" w:rsidP="000309F9">
            <w:pPr>
              <w:pStyle w:val="BodyText"/>
            </w:pPr>
            <w:r w:rsidRPr="000309F9">
              <w:t>Cultural context - Boards are upholders of traditional and cultural values. Relevant aspects of cultu</w:t>
            </w:r>
            <w:r w:rsidRPr="000309F9">
              <w:t>re may include: cultural protocols, language (both Traditional and Aboriginal English), Aboriginal learning styles, cultural business, family and community responsibilities and local history</w:t>
            </w:r>
          </w:p>
          <w:p w:rsidR="00000000" w:rsidRPr="000309F9" w:rsidP="000309F9">
            <w:pPr>
              <w:pStyle w:val="BodyText"/>
            </w:pPr>
            <w:r w:rsidRPr="000309F9">
              <w:t>Community control - community participation and control in decisi</w:t>
            </w:r>
            <w:r w:rsidRPr="000309F9">
              <w:t>on-making are central to organisations and the role of Boards is to support the community in these processes</w:t>
            </w:r>
          </w:p>
          <w:p w:rsidR="00000000" w:rsidRPr="000309F9" w:rsidP="000309F9">
            <w:pPr>
              <w:pStyle w:val="BodyText"/>
            </w:pPr>
            <w:r w:rsidRPr="000309F9">
              <w:t>Location and resources - organisations operate in diverse locations where cultural, social, economic and political conditions may vary widely. Also</w:t>
            </w:r>
            <w:r w:rsidRPr="000309F9">
              <w:t>, acute resource shortages may also determine the options available</w:t>
            </w:r>
          </w:p>
          <w:p w:rsidR="00000000" w:rsidRPr="000309F9" w:rsidP="000309F9">
            <w:pPr>
              <w:pStyle w:val="BodyText"/>
            </w:pPr>
            <w:r w:rsidRPr="000309F9">
              <w:t>Legal requirements - organisations operate under provisions of federal, state or territory legislation as legal entities and funding recipients which influence decision-making</w:t>
            </w:r>
          </w:p>
          <w:p w:rsidR="00000000" w:rsidRPr="000309F9" w:rsidP="000309F9">
            <w:pPr>
              <w:pStyle w:val="BodyText"/>
            </w:pPr>
            <w:r w:rsidRPr="000309F9">
              <w:t>Organisation</w:t>
            </w:r>
            <w:r w:rsidRPr="000309F9">
              <w:t xml:space="preserve"> processes</w:t>
            </w:r>
          </w:p>
          <w:p w:rsidR="00000000" w:rsidRPr="000309F9" w:rsidP="000309F9">
            <w:pPr>
              <w:pStyle w:val="BodyText"/>
            </w:pPr>
            <w:r w:rsidRPr="000309F9">
              <w:t>Funding sources and their requirements</w:t>
            </w:r>
          </w:p>
          <w:p w:rsidR="00000000" w:rsidRPr="000309F9" w:rsidP="000309F9">
            <w:pPr>
              <w:pStyle w:val="BodyText"/>
            </w:pPr>
            <w:r w:rsidRPr="000309F9">
              <w:t>Appeal systems</w:t>
            </w:r>
          </w:p>
          <w:p w:rsidR="00000000" w:rsidRPr="000309F9" w:rsidP="000309F9">
            <w:pPr>
              <w:pStyle w:val="BodyText"/>
            </w:pPr>
            <w:r w:rsidRPr="000309F9">
              <w:t>Relevant consultancy services</w:t>
            </w:r>
          </w:p>
        </w:tc>
      </w:tr>
    </w:tbl>
    <w:p w:rsidR="00000000" w:rsidRPr="000309F9" w:rsidP="000309F9">
      <w:pPr>
        <w:pStyle w:val="BodyText"/>
      </w:pPr>
    </w:p>
    <w:p w:rsidR="00000000" w:rsidRPr="000309F9" w:rsidP="000309F9">
      <w:pPr>
        <w:pStyle w:val="AllowPageBreak"/>
      </w:pPr>
    </w:p>
    <w:p w:rsidR="00000000" w:rsidRPr="000309F9" w:rsidP="000309F9">
      <w:pPr>
        <w:pStyle w:val="Heading1"/>
      </w:pPr>
      <w:bookmarkStart w:id="10" w:name="O_312612"/>
      <w:bookmarkEnd w:id="10"/>
      <w:r w:rsidRPr="000309F9">
        <w:t>Evidence Guide</w:t>
      </w:r>
    </w:p>
    <w:tbl>
      <w:tblPr>
        <w:tblW w:w="0" w:type="auto"/>
        <w:tblLayout w:type="fixed"/>
        <w:tblCellMar>
          <w:left w:w="62" w:type="dxa"/>
          <w:right w:w="62" w:type="dxa"/>
        </w:tblCellMar>
        <w:tblLook w:val="0000"/>
      </w:tblPr>
      <w:tblGrid>
        <w:gridCol w:w="4500"/>
        <w:gridCol w:w="4500"/>
      </w:tblGrid>
      <w:tr w:rsidTr="00BF1A9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309F9">
            <w:pPr>
              <w:pStyle w:val="BodyText"/>
              <w:rPr>
                <w:lang w:val="en-NZ"/>
              </w:rPr>
            </w:pPr>
          </w:p>
        </w:tc>
      </w:tr>
      <w:tr w:rsidTr="00BF1A9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t xml:space="preserve">The evidence guide provides advice on assessment and must be read in conjunction with the performance criteria, required skills and knowledge, range statement and the Assessment Guidelines for the Training Package. </w:t>
            </w:r>
          </w:p>
        </w:tc>
      </w:tr>
      <w:tr w:rsidTr="00BF1A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P="000309F9">
            <w:pPr>
              <w:pStyle w:val="BodyText"/>
              <w:rPr>
                <w:lang w:val="en-NZ"/>
              </w:rPr>
            </w:pPr>
          </w:p>
        </w:tc>
      </w:tr>
      <w:tr w:rsidTr="00BF1A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rPr>
                <w:rStyle w:val="SpecialBold"/>
              </w:rPr>
              <w:t>Critical aspe</w:t>
            </w:r>
            <w:r w:rsidRPr="000309F9">
              <w:rPr>
                <w:rStyle w:val="SpecialBold"/>
              </w:rPr>
              <w:t>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0309F9" w:rsidP="000309F9">
            <w:pPr>
              <w:pStyle w:val="BodyText"/>
            </w:pPr>
            <w:r w:rsidRPr="000309F9">
              <w:t xml:space="preserve">Evidence of the following is essential:    </w:t>
            </w:r>
          </w:p>
          <w:p w:rsidR="00000000" w:rsidRPr="000309F9" w:rsidP="000309F9">
            <w:pPr>
              <w:pStyle w:val="BodyText"/>
            </w:pPr>
            <w:r w:rsidRPr="000309F9">
              <w:t>Integrated demonstration of all elements of competency and their performance criteria; and</w:t>
            </w:r>
          </w:p>
          <w:p w:rsidR="00000000" w:rsidP="000309F9">
            <w:pPr>
              <w:pStyle w:val="BodyText"/>
              <w:rPr>
                <w:lang w:val="en-NZ"/>
              </w:rPr>
            </w:pPr>
            <w:r w:rsidRPr="000309F9">
              <w:t xml:space="preserve">Appropriate funding sources are accessed </w:t>
            </w:r>
            <w:r w:rsidRPr="000309F9">
              <w:t>to support the organisation's program</w:t>
            </w:r>
          </w:p>
        </w:tc>
      </w:tr>
      <w:tr w:rsidTr="00BF1A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0309F9" w:rsidP="000309F9">
            <w:pPr>
              <w:pStyle w:val="BodyText"/>
            </w:pPr>
            <w:r w:rsidRPr="000309F9">
              <w:t xml:space="preserve">Assessment must ensure:    </w:t>
            </w:r>
          </w:p>
          <w:p w:rsidR="00000000" w:rsidRPr="000309F9" w:rsidP="000309F9">
            <w:pPr>
              <w:pStyle w:val="BodyText"/>
            </w:pPr>
            <w:r w:rsidRPr="000309F9">
              <w:t>This unit of competency should be assessed through the performance of Board duties, but in the event that there is no opportunity to observe</w:t>
            </w:r>
            <w:r w:rsidRPr="000309F9">
              <w:t xml:space="preserve"> such a performance a simulated environment can be used but such simulation must replicate Board conditions in terms of: performing the task; managing a number of different tasks; coping with irregularities and breakdowns in routine; dealing with the respo</w:t>
            </w:r>
            <w:r w:rsidRPr="000309F9">
              <w:t>nsibilities and expectations of the Board, including working with others; and transferring competency to other situations</w:t>
            </w:r>
          </w:p>
          <w:p w:rsidR="00000000" w:rsidP="000309F9">
            <w:pPr>
              <w:pStyle w:val="BodyText"/>
              <w:rPr>
                <w:lang w:val="en-NZ"/>
              </w:rPr>
            </w:pPr>
            <w:r w:rsidRPr="000309F9">
              <w:t>Knowledge and performance to be assessed over time to confirm consistency in performance</w:t>
            </w:r>
          </w:p>
        </w:tc>
      </w:tr>
      <w:tr w:rsidTr="00BF1A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0309F9" w:rsidP="000309F9">
            <w:pPr>
              <w:pStyle w:val="BodyText"/>
            </w:pPr>
            <w:r w:rsidRPr="000309F9">
              <w:t xml:space="preserve">The following assessment method is appropriate for this unit:     </w:t>
            </w:r>
          </w:p>
          <w:p w:rsidR="00000000" w:rsidP="000309F9">
            <w:pPr>
              <w:pStyle w:val="BodyText"/>
              <w:rPr>
                <w:lang w:val="en-NZ"/>
              </w:rPr>
            </w:pPr>
            <w:r w:rsidRPr="000309F9">
              <w:t>Performance of Board duties, or through an accurate simulation of Board duties</w:t>
            </w:r>
          </w:p>
        </w:tc>
      </w:tr>
      <w:tr w:rsidTr="00BF1A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0309F9" w:rsidP="000309F9">
            <w:pPr>
              <w:pStyle w:val="BodyText"/>
            </w:pPr>
          </w:p>
        </w:tc>
      </w:tr>
    </w:tbl>
    <w:p w:rsidR="00000000" w:rsidRPr="000309F9" w:rsidP="000309F9">
      <w:pPr>
        <w:pStyle w:val="BodyText"/>
      </w:pPr>
    </w:p>
    <w:p w:rsidR="00000000" w:rsidRPr="000309F9" w:rsidP="000309F9">
      <w:pPr>
        <w:pStyle w:val="AllowPageBreak"/>
      </w:pPr>
    </w:p>
    <w:p w:rsidR="00000000" w:rsidRPr="000309F9" w:rsidP="000309F9">
      <w:pPr>
        <w:pStyle w:val="Heading1"/>
      </w:pPr>
      <w:bookmarkStart w:id="11" w:name="O_312611"/>
      <w:bookmarkEnd w:id="11"/>
      <w:r w:rsidRPr="000309F9">
        <w:t>Range Statement</w:t>
      </w:r>
    </w:p>
    <w:tbl>
      <w:tblPr>
        <w:tblW w:w="0" w:type="auto"/>
        <w:tblLayout w:type="fixed"/>
        <w:tblCellMar>
          <w:left w:w="62" w:type="dxa"/>
          <w:right w:w="62" w:type="dxa"/>
        </w:tblCellMar>
        <w:tblLook w:val="0000"/>
      </w:tblPr>
      <w:tblGrid>
        <w:gridCol w:w="4500"/>
        <w:gridCol w:w="4500"/>
      </w:tblGrid>
      <w:tr w:rsidTr="00BF1A9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309F9">
            <w:pPr>
              <w:pStyle w:val="BodyText"/>
              <w:rPr>
                <w:lang w:val="en-NZ"/>
              </w:rPr>
            </w:pPr>
          </w:p>
        </w:tc>
      </w:tr>
      <w:tr w:rsidTr="00BF1A9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t>The range statement relates to the</w:t>
            </w:r>
            <w:r w:rsidRPr="000309F9">
              <w:t xml:space="preserve"> unit of competency as a whole. It allows for different work environments and situations that may affect performance. Bold italicised wording, if used in the performance criteria, is detailed below. Essential operating conditions that may be present with t</w:t>
            </w:r>
            <w:r w:rsidRPr="000309F9">
              <w:t xml:space="preserve">raining and assessment (depending on the work situation, needs of the candidate, accessibility of the item, and local industry and regional contexts) may also be included. </w:t>
            </w:r>
          </w:p>
        </w:tc>
      </w:tr>
      <w:tr w:rsidTr="00BF1A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rPr>
                <w:rStyle w:val="SpecialBold"/>
              </w:rPr>
              <w:t>Application requirements</w:t>
            </w:r>
            <w:r w:rsidRPr="000309F9">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0309F9" w:rsidP="000309F9">
            <w:pPr>
              <w:pStyle w:val="BodyText"/>
            </w:pPr>
            <w:r w:rsidRPr="000309F9">
              <w:t>eligibility criteria</w:t>
            </w:r>
          </w:p>
          <w:p w:rsidR="00000000" w:rsidRPr="000309F9" w:rsidP="000309F9">
            <w:pPr>
              <w:pStyle w:val="BodyText"/>
            </w:pPr>
            <w:r w:rsidRPr="000309F9">
              <w:t>demonstrable outcomes</w:t>
            </w:r>
          </w:p>
          <w:p w:rsidR="00000000" w:rsidRPr="000309F9" w:rsidP="000309F9">
            <w:pPr>
              <w:pStyle w:val="BodyText"/>
            </w:pPr>
            <w:r w:rsidRPr="000309F9">
              <w:t>participation of certain groups eg. women, youth</w:t>
            </w:r>
          </w:p>
          <w:p w:rsidR="00000000" w:rsidP="000309F9">
            <w:pPr>
              <w:pStyle w:val="BodyText"/>
              <w:rPr>
                <w:lang w:val="en-NZ"/>
              </w:rPr>
            </w:pPr>
            <w:r w:rsidRPr="000309F9">
              <w:t>deadlines</w:t>
            </w:r>
          </w:p>
        </w:tc>
      </w:tr>
      <w:tr w:rsidTr="00BF1A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309F9">
            <w:pPr>
              <w:pStyle w:val="BodyText"/>
              <w:rPr>
                <w:lang w:val="en-NZ"/>
              </w:rPr>
            </w:pPr>
            <w:r w:rsidRPr="000309F9">
              <w:rPr>
                <w:rStyle w:val="SpecialBold"/>
              </w:rPr>
              <w:t>Key people</w:t>
            </w:r>
            <w:r w:rsidRPr="000309F9">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0309F9" w:rsidP="000309F9">
            <w:pPr>
              <w:pStyle w:val="BodyText"/>
            </w:pPr>
            <w:r w:rsidRPr="000309F9">
              <w:t>Elders</w:t>
            </w:r>
          </w:p>
          <w:p w:rsidR="00000000" w:rsidRPr="000309F9" w:rsidP="000309F9">
            <w:pPr>
              <w:pStyle w:val="BodyText"/>
            </w:pPr>
            <w:r w:rsidRPr="000309F9">
              <w:t>Committee</w:t>
            </w:r>
          </w:p>
          <w:p w:rsidR="00000000" w:rsidRPr="000309F9" w:rsidP="000309F9">
            <w:pPr>
              <w:pStyle w:val="BodyText"/>
            </w:pPr>
            <w:r w:rsidRPr="000309F9">
              <w:t>management</w:t>
            </w:r>
          </w:p>
        </w:tc>
      </w:tr>
    </w:tbl>
    <w:p w:rsidR="00000000" w:rsidRPr="000309F9" w:rsidP="000309F9">
      <w:pPr>
        <w:pStyle w:val="BodyText"/>
      </w:pPr>
    </w:p>
    <w:p w:rsidR="00000000" w:rsidRPr="000309F9" w:rsidP="000309F9">
      <w:pPr>
        <w:pStyle w:val="AllowPageBreak"/>
      </w:pPr>
    </w:p>
    <w:p w:rsidR="00000000" w:rsidRPr="000309F9" w:rsidP="000309F9">
      <w:pPr>
        <w:pStyle w:val="Heading1"/>
      </w:pPr>
      <w:bookmarkStart w:id="12" w:name="O_312609"/>
      <w:bookmarkEnd w:id="12"/>
      <w:r w:rsidRPr="000309F9">
        <w:t>Unit Sector(s)</w:t>
      </w:r>
    </w:p>
    <w:p w:rsidR="00000000" w:rsidRPr="000309F9" w:rsidP="000309F9">
      <w:pPr>
        <w:pStyle w:val="BodyText"/>
      </w:pPr>
      <w:r w:rsidRPr="000309F9">
        <w:t>empty</w:t>
      </w:r>
    </w:p>
    <w:p w:rsidR="00000000" w:rsidRPr="000309F9" w:rsidP="000309F9">
      <w:pPr>
        <w:pStyle w:val="BodyText"/>
      </w:pPr>
      <w:r w:rsidRPr="000309F9">
        <w:t>empt</w:t>
      </w:r>
    </w:p>
    <w:p w:rsidR="00000000" w:rsidRPr="000309F9" w:rsidP="000309F9">
      <w:pPr>
        <w:pStyle w:val="AllowPageBreak"/>
      </w:pPr>
    </w:p>
    <w:p w:rsidR="00000000" w:rsidRPr="000309F9" w:rsidP="000309F9">
      <w:pPr>
        <w:pStyle w:val="Heading1"/>
      </w:pPr>
      <w:bookmarkStart w:id="13" w:name="O_312610"/>
      <w:bookmarkEnd w:id="13"/>
      <w:r w:rsidRPr="000309F9">
        <w:t>Competency field</w:t>
      </w:r>
    </w:p>
    <w:p w:rsidR="00000000" w:rsidRPr="000309F9" w:rsidP="000309F9">
      <w:pPr>
        <w:pStyle w:val="BodyText"/>
      </w:pPr>
      <w:r w:rsidRPr="000309F9">
        <w:t>Regulation, Licensing and Risk - Governance</w:t>
      </w:r>
    </w:p>
    <w:p w:rsidR="00000000" w:rsidRPr="000309F9" w:rsidP="000309F9">
      <w:pPr>
        <w:pStyle w:val="BodyText"/>
      </w:pPr>
      <w:r w:rsidRPr="000309F9">
        <w:t>Regulation, Licensing and Risk - Governance</w:t>
      </w:r>
    </w:p>
    <w:p w:rsidR="00000000" w:rsidRPr="000309F9" w:rsidP="000309F9"/>
    <w:sectPr w:rsidSect="000309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9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1A94" w:rsidP="00BF1A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9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A94" w:rsidP="000309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F1A94" w:rsidP="000309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F1A94" w:rsidP="000309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9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1A94" w:rsidP="00BF1A9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9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A94" w:rsidP="000309F9">
    <w:pPr>
      <w:pStyle w:val="Header"/>
      <w:framePr w:wrap="around"/>
    </w:pPr>
    <w:r>
      <w:fldChar w:fldCharType="begin"/>
    </w:r>
    <w:r>
      <w:instrText xml:space="preserve"> TITLE   \* MERGEFORMAT </w:instrText>
    </w:r>
    <w:r>
      <w:fldChar w:fldCharType="separate"/>
    </w:r>
    <w:r>
      <w:t>BSBATSIW515B Secure funding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F1A94" w:rsidP="000309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9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09F9"/>
    <w:pPr>
      <w:spacing w:before="360" w:after="60"/>
      <w:outlineLvl w:val="0"/>
    </w:pPr>
    <w:rPr>
      <w:sz w:val="32"/>
    </w:rPr>
  </w:style>
  <w:style w:type="paragraph" w:styleId="Heading2">
    <w:name w:val="heading 2"/>
    <w:basedOn w:val="HeadingBase"/>
    <w:next w:val="BodyText"/>
    <w:link w:val="Heading2Char"/>
    <w:qFormat/>
    <w:rsid w:val="000309F9"/>
    <w:pPr>
      <w:keepLines/>
      <w:spacing w:before="240" w:after="120"/>
      <w:outlineLvl w:val="1"/>
    </w:pPr>
    <w:rPr>
      <w:sz w:val="28"/>
      <w:szCs w:val="40"/>
    </w:rPr>
  </w:style>
  <w:style w:type="paragraph" w:styleId="Heading3">
    <w:name w:val="heading 3"/>
    <w:basedOn w:val="HeadingBase"/>
    <w:next w:val="BodyText"/>
    <w:link w:val="Heading3Char"/>
    <w:qFormat/>
    <w:rsid w:val="000309F9"/>
    <w:pPr>
      <w:spacing w:before="180" w:after="120"/>
      <w:outlineLvl w:val="2"/>
    </w:pPr>
    <w:rPr>
      <w:spacing w:val="-10"/>
      <w:kern w:val="32"/>
    </w:rPr>
  </w:style>
  <w:style w:type="paragraph" w:styleId="Heading4">
    <w:name w:val="heading 4"/>
    <w:basedOn w:val="HeadingBase"/>
    <w:next w:val="BodyText"/>
    <w:link w:val="Heading4Char"/>
    <w:qFormat/>
    <w:rsid w:val="000309F9"/>
    <w:pPr>
      <w:spacing w:before="160" w:after="120"/>
      <w:outlineLvl w:val="3"/>
    </w:pPr>
    <w:rPr>
      <w:sz w:val="22"/>
    </w:rPr>
  </w:style>
  <w:style w:type="paragraph" w:styleId="Heading5">
    <w:name w:val="heading 5"/>
    <w:basedOn w:val="HeadingBase"/>
    <w:next w:val="Normal"/>
    <w:link w:val="Heading5Char"/>
    <w:qFormat/>
    <w:rsid w:val="000309F9"/>
    <w:pPr>
      <w:spacing w:before="80"/>
      <w:outlineLvl w:val="4"/>
    </w:pPr>
    <w:rPr>
      <w:color w:val="918585"/>
      <w:sz w:val="20"/>
    </w:rPr>
  </w:style>
  <w:style w:type="paragraph" w:styleId="Heading6">
    <w:name w:val="heading 6"/>
    <w:basedOn w:val="HeadingBase"/>
    <w:next w:val="Normal"/>
    <w:link w:val="Heading6Char"/>
    <w:qFormat/>
    <w:rsid w:val="000309F9"/>
    <w:pPr>
      <w:spacing w:before="60"/>
      <w:outlineLvl w:val="5"/>
    </w:pPr>
    <w:rPr>
      <w:color w:val="918585"/>
      <w:sz w:val="20"/>
    </w:rPr>
  </w:style>
  <w:style w:type="paragraph" w:styleId="Heading7">
    <w:name w:val="heading 7"/>
    <w:basedOn w:val="Normal"/>
    <w:next w:val="Normal"/>
    <w:link w:val="Heading7Char"/>
    <w:qFormat/>
    <w:rsid w:val="000309F9"/>
    <w:pPr>
      <w:ind w:left="720"/>
      <w:outlineLvl w:val="6"/>
    </w:pPr>
    <w:rPr>
      <w:i/>
    </w:rPr>
  </w:style>
  <w:style w:type="paragraph" w:styleId="Heading8">
    <w:name w:val="heading 8"/>
    <w:basedOn w:val="Normal"/>
    <w:next w:val="Normal"/>
    <w:link w:val="Heading8Char"/>
    <w:qFormat/>
    <w:rsid w:val="000309F9"/>
    <w:pPr>
      <w:ind w:left="720"/>
      <w:outlineLvl w:val="7"/>
    </w:pPr>
    <w:rPr>
      <w:i/>
    </w:rPr>
  </w:style>
  <w:style w:type="paragraph" w:styleId="Heading9">
    <w:name w:val="heading 9"/>
    <w:basedOn w:val="Normal"/>
    <w:next w:val="Normal"/>
    <w:link w:val="Heading9Char"/>
    <w:qFormat/>
    <w:rsid w:val="000309F9"/>
    <w:pPr>
      <w:ind w:left="720"/>
      <w:outlineLvl w:val="8"/>
    </w:pPr>
    <w:rPr>
      <w:i/>
    </w:rPr>
  </w:style>
  <w:style w:type="character" w:default="1" w:styleId="DefaultParagraphFont">
    <w:name w:val="Default Paragraph Font"/>
    <w:uiPriority w:val="1"/>
    <w:unhideWhenUsed/>
    <w:rsid w:val="000309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09F9"/>
  </w:style>
  <w:style w:type="character" w:customStyle="1" w:styleId="Heading1Char">
    <w:name w:val="Heading 1 Char"/>
    <w:basedOn w:val="DefaultParagraphFont"/>
    <w:link w:val="Heading1"/>
    <w:rsid w:val="000309F9"/>
    <w:rPr>
      <w:rFonts w:ascii="Times New Roman" w:eastAsia="Times New Roman" w:hAnsi="Times New Roman" w:cs="Times New Roman"/>
      <w:b/>
      <w:sz w:val="32"/>
      <w:szCs w:val="20"/>
      <w:lang w:eastAsia="en-US"/>
    </w:rPr>
  </w:style>
  <w:style w:type="paragraph" w:styleId="BodyText">
    <w:name w:val="Body Text"/>
    <w:basedOn w:val="Normal"/>
    <w:link w:val="BodyTextChar"/>
    <w:rsid w:val="000309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09F9"/>
    <w:rPr>
      <w:rFonts w:ascii="Times New Roman" w:eastAsia="Times New Roman" w:hAnsi="Times New Roman" w:cs="Times New Roman"/>
      <w:sz w:val="24"/>
      <w:lang w:val="en-US" w:eastAsia="en-US"/>
    </w:rPr>
  </w:style>
  <w:style w:type="paragraph" w:styleId="Footer">
    <w:name w:val="footer"/>
    <w:basedOn w:val="Normal"/>
    <w:link w:val="FooterChar"/>
    <w:rsid w:val="000309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09F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309F9"/>
    <w:rPr>
      <w:b/>
      <w:spacing w:val="0"/>
    </w:rPr>
  </w:style>
  <w:style w:type="paragraph" w:styleId="Header">
    <w:name w:val="header"/>
    <w:basedOn w:val="Normal"/>
    <w:link w:val="HeaderChar"/>
    <w:rsid w:val="000309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09F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09F9"/>
    <w:pPr>
      <w:spacing w:before="240" w:after="120"/>
      <w:outlineLvl w:val="0"/>
    </w:pPr>
    <w:rPr>
      <w:rFonts w:ascii="Times New Roman" w:hAnsi="Times New Roman"/>
      <w:b/>
      <w:sz w:val="28"/>
    </w:rPr>
  </w:style>
  <w:style w:type="paragraph" w:customStyle="1" w:styleId="AllowPageBreak">
    <w:name w:val="AllowPageBreak"/>
    <w:rsid w:val="000309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09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09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09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09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09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09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09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09F9"/>
    <w:rPr>
      <w:rFonts w:ascii="Courier New" w:eastAsia="Times New Roman" w:hAnsi="Courier New" w:cs="Times New Roman"/>
      <w:i/>
      <w:szCs w:val="20"/>
      <w:lang w:val="en-US" w:eastAsia="en-US"/>
    </w:rPr>
  </w:style>
  <w:style w:type="paragraph" w:customStyle="1" w:styleId="HeadingBase">
    <w:name w:val="Heading Base"/>
    <w:rsid w:val="000309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09F9"/>
    <w:pPr>
      <w:tabs>
        <w:tab w:val="right" w:leader="dot" w:pos="9072"/>
      </w:tabs>
      <w:ind w:left="567"/>
    </w:pPr>
    <w:rPr>
      <w:szCs w:val="22"/>
    </w:rPr>
  </w:style>
  <w:style w:type="paragraph" w:customStyle="1" w:styleId="TOCBase">
    <w:name w:val="TOC Base"/>
    <w:rsid w:val="000309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09F9"/>
    <w:pPr>
      <w:tabs>
        <w:tab w:val="right" w:leader="dot" w:pos="9072"/>
      </w:tabs>
      <w:spacing w:before="40" w:after="40"/>
      <w:ind w:left="284"/>
    </w:pPr>
    <w:rPr>
      <w:rFonts w:ascii="Times New Roman" w:hAnsi="Times New Roman"/>
    </w:rPr>
  </w:style>
  <w:style w:type="paragraph" w:styleId="TOC1">
    <w:name w:val="toc 1"/>
    <w:basedOn w:val="TOCBase"/>
    <w:next w:val="Normal"/>
    <w:rsid w:val="000309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09F9"/>
    <w:pPr>
      <w:spacing w:before="5040"/>
      <w:jc w:val="center"/>
    </w:pPr>
    <w:rPr>
      <w:sz w:val="48"/>
      <w:szCs w:val="72"/>
      <w:lang w:val="en-US"/>
    </w:rPr>
  </w:style>
  <w:style w:type="character" w:customStyle="1" w:styleId="TitleChar">
    <w:name w:val="Title Char"/>
    <w:basedOn w:val="DefaultParagraphFont"/>
    <w:link w:val="Title"/>
    <w:rsid w:val="000309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09F9"/>
    <w:pPr>
      <w:tabs>
        <w:tab w:val="left" w:pos="3600"/>
        <w:tab w:val="left" w:pos="3958"/>
      </w:tabs>
    </w:pPr>
  </w:style>
  <w:style w:type="paragraph" w:styleId="List">
    <w:name w:val="List"/>
    <w:basedOn w:val="BodyText"/>
    <w:next w:val="BodyText"/>
    <w:rsid w:val="000309F9"/>
    <w:pPr>
      <w:tabs>
        <w:tab w:val="left" w:pos="340"/>
      </w:tabs>
      <w:spacing w:before="60" w:after="60"/>
      <w:ind w:left="340" w:hanging="340"/>
    </w:pPr>
  </w:style>
  <w:style w:type="paragraph" w:styleId="ListBullet">
    <w:name w:val="List Bullet"/>
    <w:basedOn w:val="List"/>
    <w:rsid w:val="000309F9"/>
    <w:pPr>
      <w:numPr>
        <w:numId w:val="11"/>
      </w:numPr>
      <w:tabs>
        <w:tab w:val="clear" w:pos="340"/>
      </w:tabs>
      <w:spacing w:before="40" w:after="40"/>
    </w:pPr>
  </w:style>
  <w:style w:type="paragraph" w:customStyle="1" w:styleId="Note">
    <w:name w:val="Note"/>
    <w:basedOn w:val="BodyText"/>
    <w:rsid w:val="000309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09F9"/>
    <w:pPr>
      <w:framePr w:wrap="auto" w:hAnchor="text" w:y="6049"/>
    </w:pPr>
    <w:rPr>
      <w:color w:val="000000"/>
      <w:sz w:val="40"/>
    </w:rPr>
  </w:style>
  <w:style w:type="paragraph" w:customStyle="1" w:styleId="TOCTitle">
    <w:name w:val="TOCTitle"/>
    <w:basedOn w:val="Heading1"/>
    <w:rsid w:val="000309F9"/>
    <w:pPr>
      <w:spacing w:after="240"/>
      <w:jc w:val="center"/>
      <w:outlineLvl w:val="9"/>
    </w:pPr>
    <w:rPr>
      <w:caps/>
    </w:rPr>
  </w:style>
  <w:style w:type="paragraph" w:customStyle="1" w:styleId="Version">
    <w:name w:val="Version"/>
    <w:rsid w:val="000309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09F9"/>
    <w:pPr>
      <w:numPr>
        <w:numId w:val="12"/>
      </w:numPr>
      <w:tabs>
        <w:tab w:val="clear" w:pos="680"/>
      </w:tabs>
    </w:pPr>
  </w:style>
  <w:style w:type="paragraph" w:styleId="Index1">
    <w:name w:val="index 1"/>
    <w:basedOn w:val="Normal"/>
    <w:next w:val="Normal"/>
    <w:semiHidden/>
    <w:rsid w:val="000309F9"/>
    <w:pPr>
      <w:keepNext w:val="0"/>
      <w:tabs>
        <w:tab w:val="right" w:pos="4176"/>
      </w:tabs>
      <w:ind w:left="198" w:hanging="198"/>
    </w:pPr>
    <w:rPr>
      <w:rFonts w:ascii="Garamond" w:hAnsi="Garamond"/>
    </w:rPr>
  </w:style>
  <w:style w:type="paragraph" w:styleId="IndexHeading">
    <w:name w:val="index heading"/>
    <w:basedOn w:val="Normal"/>
    <w:next w:val="Index1"/>
    <w:semiHidden/>
    <w:rsid w:val="000309F9"/>
    <w:pPr>
      <w:spacing w:before="120" w:after="120"/>
    </w:pPr>
    <w:rPr>
      <w:rFonts w:ascii="Arial" w:hAnsi="Arial"/>
      <w:b/>
      <w:color w:val="918585"/>
      <w:sz w:val="24"/>
    </w:rPr>
  </w:style>
  <w:style w:type="paragraph" w:customStyle="1" w:styleId="Chapter">
    <w:name w:val="Chapter"/>
    <w:basedOn w:val="Normal"/>
    <w:rsid w:val="000309F9"/>
    <w:pPr>
      <w:spacing w:before="240"/>
    </w:pPr>
    <w:rPr>
      <w:rFonts w:ascii="Times New Roman" w:hAnsi="Times New Roman"/>
      <w:smallCaps/>
      <w:spacing w:val="80"/>
      <w:sz w:val="28"/>
    </w:rPr>
  </w:style>
  <w:style w:type="paragraph" w:customStyle="1" w:styleId="InChapter">
    <w:name w:val="InChapter"/>
    <w:basedOn w:val="Heading3"/>
    <w:rsid w:val="000309F9"/>
    <w:pPr>
      <w:spacing w:after="240"/>
      <w:outlineLvl w:val="9"/>
    </w:pPr>
    <w:rPr>
      <w:noProof/>
    </w:rPr>
  </w:style>
  <w:style w:type="paragraph" w:styleId="Index2">
    <w:name w:val="index 2"/>
    <w:basedOn w:val="Normal"/>
    <w:next w:val="Normal"/>
    <w:semiHidden/>
    <w:rsid w:val="000309F9"/>
    <w:pPr>
      <w:tabs>
        <w:tab w:val="right" w:pos="4176"/>
      </w:tabs>
      <w:ind w:left="568" w:hanging="284"/>
    </w:pPr>
    <w:rPr>
      <w:rFonts w:ascii="Garamond" w:hAnsi="Garamond"/>
    </w:rPr>
  </w:style>
  <w:style w:type="paragraph" w:customStyle="1" w:styleId="Byline">
    <w:name w:val="Byline"/>
    <w:rsid w:val="000309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09F9"/>
    <w:pPr>
      <w:tabs>
        <w:tab w:val="clear" w:pos="3600"/>
        <w:tab w:val="clear" w:pos="3958"/>
      </w:tabs>
      <w:jc w:val="right"/>
    </w:pPr>
  </w:style>
  <w:style w:type="character" w:styleId="Emphasis">
    <w:name w:val="Emphasis"/>
    <w:basedOn w:val="DefaultParagraphFont"/>
    <w:qFormat/>
    <w:rsid w:val="000309F9"/>
    <w:rPr>
      <w:i/>
    </w:rPr>
  </w:style>
  <w:style w:type="paragraph" w:styleId="Caption">
    <w:name w:val="caption"/>
    <w:basedOn w:val="BodyText"/>
    <w:next w:val="Normal"/>
    <w:qFormat/>
    <w:rsid w:val="000309F9"/>
    <w:pPr>
      <w:framePr w:w="2268" w:hSpace="181" w:vSpace="181" w:wrap="around" w:vAnchor="text" w:hAnchor="page" w:x="1135" w:y="285" w:anchorLock="1"/>
    </w:pPr>
    <w:rPr>
      <w:i/>
    </w:rPr>
  </w:style>
  <w:style w:type="paragraph" w:customStyle="1" w:styleId="MiniTOCTitle">
    <w:name w:val="MiniTOCTitle"/>
    <w:basedOn w:val="Heading4"/>
    <w:rsid w:val="000309F9"/>
    <w:pPr>
      <w:spacing w:before="240"/>
      <w:outlineLvl w:val="9"/>
    </w:pPr>
    <w:rPr>
      <w:noProof/>
      <w:sz w:val="24"/>
    </w:rPr>
  </w:style>
  <w:style w:type="paragraph" w:customStyle="1" w:styleId="MiniTOCItem">
    <w:name w:val="MiniTOCItem"/>
    <w:basedOn w:val="ListBullet"/>
    <w:rsid w:val="000309F9"/>
    <w:pPr>
      <w:numPr>
        <w:numId w:val="0"/>
      </w:numPr>
      <w:tabs>
        <w:tab w:val="right" w:leader="dot" w:pos="6521"/>
      </w:tabs>
      <w:spacing w:before="0" w:after="0"/>
    </w:pPr>
  </w:style>
  <w:style w:type="paragraph" w:customStyle="1" w:styleId="TOFTitle">
    <w:name w:val="TOFTitle"/>
    <w:basedOn w:val="TOCTitle"/>
    <w:rsid w:val="000309F9"/>
  </w:style>
  <w:style w:type="paragraph" w:styleId="TableofFigures">
    <w:name w:val="table of figures"/>
    <w:basedOn w:val="Normal"/>
    <w:next w:val="Normal"/>
    <w:semiHidden/>
    <w:rsid w:val="000309F9"/>
    <w:pPr>
      <w:tabs>
        <w:tab w:val="right" w:leader="dot" w:pos="9072"/>
      </w:tabs>
      <w:ind w:left="970" w:hanging="403"/>
    </w:pPr>
    <w:rPr>
      <w:rFonts w:ascii="Times New Roman" w:hAnsi="Times New Roman"/>
      <w:b/>
    </w:rPr>
  </w:style>
  <w:style w:type="paragraph" w:styleId="ListNumber">
    <w:name w:val="List Number"/>
    <w:basedOn w:val="List"/>
    <w:rsid w:val="000309F9"/>
    <w:pPr>
      <w:numPr>
        <w:numId w:val="9"/>
      </w:numPr>
    </w:pPr>
  </w:style>
  <w:style w:type="character" w:customStyle="1" w:styleId="WingdingSymbols">
    <w:name w:val="Wingding Symbols"/>
    <w:rsid w:val="000309F9"/>
    <w:rPr>
      <w:rFonts w:ascii="Wingdings" w:hAnsi="Wingdings"/>
    </w:rPr>
  </w:style>
  <w:style w:type="paragraph" w:customStyle="1" w:styleId="TableHeading">
    <w:name w:val="Table Heading"/>
    <w:basedOn w:val="HeadingBase"/>
    <w:rsid w:val="000309F9"/>
    <w:pPr>
      <w:keepLines/>
      <w:pBdr>
        <w:bottom w:val="single" w:sz="6" w:space="1" w:color="918585"/>
      </w:pBdr>
      <w:spacing w:before="240"/>
    </w:pPr>
  </w:style>
  <w:style w:type="character" w:customStyle="1" w:styleId="HotSpot">
    <w:name w:val="HotSpot"/>
    <w:rsid w:val="000309F9"/>
    <w:rPr>
      <w:color w:val="0033CC"/>
      <w:u w:val="none"/>
    </w:rPr>
  </w:style>
  <w:style w:type="paragraph" w:customStyle="1" w:styleId="BodyTextRight">
    <w:name w:val="Body Text Right"/>
    <w:basedOn w:val="BodyText"/>
    <w:rsid w:val="000309F9"/>
    <w:pPr>
      <w:spacing w:before="0" w:after="0"/>
      <w:jc w:val="right"/>
    </w:pPr>
  </w:style>
  <w:style w:type="paragraph" w:styleId="Index3">
    <w:name w:val="index 3"/>
    <w:basedOn w:val="ListNumber2"/>
    <w:next w:val="Normal"/>
    <w:semiHidden/>
    <w:rsid w:val="000309F9"/>
    <w:pPr>
      <w:numPr>
        <w:numId w:val="0"/>
      </w:numPr>
      <w:tabs>
        <w:tab w:val="right" w:leader="dot" w:pos="4176"/>
      </w:tabs>
    </w:pPr>
  </w:style>
  <w:style w:type="paragraph" w:styleId="ListNumber2">
    <w:name w:val="List Number 2"/>
    <w:basedOn w:val="List2"/>
    <w:rsid w:val="000309F9"/>
    <w:pPr>
      <w:numPr>
        <w:numId w:val="8"/>
      </w:numPr>
      <w:tabs>
        <w:tab w:val="clear" w:pos="1060"/>
      </w:tabs>
    </w:pPr>
  </w:style>
  <w:style w:type="paragraph" w:customStyle="1" w:styleId="MarginNote">
    <w:name w:val="Margin Note"/>
    <w:basedOn w:val="BodyText"/>
    <w:rsid w:val="000309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09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09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09F9"/>
    <w:rPr>
      <w:sz w:val="32"/>
    </w:rPr>
  </w:style>
  <w:style w:type="paragraph" w:customStyle="1" w:styleId="HeadingProcedure">
    <w:name w:val="Heading Procedure"/>
    <w:basedOn w:val="HeadingBase"/>
    <w:next w:val="Normal"/>
    <w:rsid w:val="000309F9"/>
    <w:pPr>
      <w:tabs>
        <w:tab w:val="left" w:pos="0"/>
      </w:tabs>
      <w:spacing w:before="120" w:after="60"/>
    </w:pPr>
    <w:rPr>
      <w:i/>
      <w:color w:val="918585"/>
      <w:sz w:val="22"/>
    </w:rPr>
  </w:style>
  <w:style w:type="paragraph" w:customStyle="1" w:styleId="TableBodyText">
    <w:name w:val="Table Body Text"/>
    <w:basedOn w:val="BodyText"/>
    <w:rsid w:val="000309F9"/>
    <w:pPr>
      <w:spacing w:before="60" w:after="60"/>
    </w:pPr>
  </w:style>
  <w:style w:type="paragraph" w:styleId="ListContinue">
    <w:name w:val="List Continue"/>
    <w:basedOn w:val="List"/>
    <w:rsid w:val="000309F9"/>
    <w:pPr>
      <w:ind w:firstLine="0"/>
    </w:pPr>
  </w:style>
  <w:style w:type="paragraph" w:customStyle="1" w:styleId="ListNote">
    <w:name w:val="List Note"/>
    <w:basedOn w:val="List"/>
    <w:rsid w:val="000309F9"/>
    <w:pPr>
      <w:pBdr>
        <w:top w:val="single" w:sz="6" w:space="2" w:color="918585"/>
        <w:bottom w:val="single" w:sz="6" w:space="2" w:color="918585"/>
      </w:pBdr>
      <w:tabs>
        <w:tab w:val="left" w:pos="1021"/>
      </w:tabs>
      <w:ind w:firstLine="0"/>
    </w:pPr>
  </w:style>
  <w:style w:type="paragraph" w:customStyle="1" w:styleId="Warning">
    <w:name w:val="Warning"/>
    <w:basedOn w:val="BodyText"/>
    <w:rsid w:val="000309F9"/>
    <w:pPr>
      <w:shd w:val="clear" w:color="auto" w:fill="D9D9D9"/>
      <w:tabs>
        <w:tab w:val="left" w:pos="992"/>
      </w:tabs>
      <w:ind w:left="119" w:right="119"/>
    </w:pPr>
    <w:rPr>
      <w:sz w:val="20"/>
    </w:rPr>
  </w:style>
  <w:style w:type="paragraph" w:customStyle="1" w:styleId="MarginIcons">
    <w:name w:val="Margin Icons"/>
    <w:basedOn w:val="BodyText"/>
    <w:rsid w:val="000309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09F9"/>
    <w:rPr>
      <w:rFonts w:ascii="Courier New" w:hAnsi="Courier New"/>
    </w:rPr>
  </w:style>
  <w:style w:type="paragraph" w:customStyle="1" w:styleId="NoteBullet">
    <w:name w:val="Note Bullet"/>
    <w:basedOn w:val="Note"/>
    <w:rsid w:val="000309F9"/>
    <w:pPr>
      <w:tabs>
        <w:tab w:val="clear" w:pos="680"/>
      </w:tabs>
      <w:spacing w:before="60" w:after="60"/>
    </w:pPr>
  </w:style>
  <w:style w:type="paragraph" w:customStyle="1" w:styleId="SubHeading2">
    <w:name w:val="SubHeading2"/>
    <w:basedOn w:val="HeadingBase"/>
    <w:rsid w:val="000309F9"/>
    <w:pPr>
      <w:spacing w:before="240" w:after="60"/>
    </w:pPr>
    <w:rPr>
      <w:sz w:val="20"/>
    </w:rPr>
  </w:style>
  <w:style w:type="paragraph" w:customStyle="1" w:styleId="SubHeading1">
    <w:name w:val="SubHeading1"/>
    <w:basedOn w:val="HeadingBase"/>
    <w:rsid w:val="000309F9"/>
    <w:pPr>
      <w:spacing w:before="240" w:after="60"/>
    </w:pPr>
    <w:rPr>
      <w:color w:val="918585"/>
      <w:sz w:val="22"/>
    </w:rPr>
  </w:style>
  <w:style w:type="paragraph" w:customStyle="1" w:styleId="SideHeading">
    <w:name w:val="Side Heading"/>
    <w:basedOn w:val="HeadingBase"/>
    <w:rsid w:val="000309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09F9"/>
    <w:pPr>
      <w:numPr>
        <w:numId w:val="10"/>
      </w:numPr>
    </w:pPr>
  </w:style>
  <w:style w:type="paragraph" w:styleId="PlainText">
    <w:name w:val="Plain Text"/>
    <w:basedOn w:val="Normal"/>
    <w:link w:val="PlainTextChar"/>
    <w:rsid w:val="000309F9"/>
    <w:rPr>
      <w:sz w:val="20"/>
    </w:rPr>
  </w:style>
  <w:style w:type="character" w:customStyle="1" w:styleId="PlainTextChar">
    <w:name w:val="Plain Text Char"/>
    <w:basedOn w:val="DefaultParagraphFont"/>
    <w:link w:val="PlainText"/>
    <w:rsid w:val="000309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09F9"/>
    <w:rPr>
      <w:b/>
      <w:smallCaps/>
    </w:rPr>
  </w:style>
  <w:style w:type="paragraph" w:customStyle="1" w:styleId="TableListNumber">
    <w:name w:val="Table List Number"/>
    <w:basedOn w:val="ListNumber"/>
    <w:rsid w:val="000309F9"/>
    <w:pPr>
      <w:numPr>
        <w:numId w:val="0"/>
      </w:numPr>
    </w:pPr>
  </w:style>
  <w:style w:type="paragraph" w:styleId="TOC4">
    <w:name w:val="toc 4"/>
    <w:basedOn w:val="TOCBase"/>
    <w:next w:val="Normal"/>
    <w:semiHidden/>
    <w:rsid w:val="000309F9"/>
    <w:pPr>
      <w:tabs>
        <w:tab w:val="right" w:leader="dot" w:pos="9071"/>
      </w:tabs>
      <w:ind w:left="1701"/>
    </w:pPr>
  </w:style>
  <w:style w:type="paragraph" w:customStyle="1" w:styleId="ListAlpha">
    <w:name w:val="List Alpha"/>
    <w:basedOn w:val="List"/>
    <w:rsid w:val="000309F9"/>
    <w:pPr>
      <w:numPr>
        <w:numId w:val="7"/>
      </w:numPr>
    </w:pPr>
  </w:style>
  <w:style w:type="paragraph" w:customStyle="1" w:styleId="ListAlpha2">
    <w:name w:val="List Alpha 2"/>
    <w:basedOn w:val="List2"/>
    <w:rsid w:val="000309F9"/>
    <w:pPr>
      <w:numPr>
        <w:numId w:val="6"/>
      </w:numPr>
    </w:pPr>
  </w:style>
  <w:style w:type="paragraph" w:styleId="List2">
    <w:name w:val="List 2"/>
    <w:basedOn w:val="BodyText"/>
    <w:rsid w:val="000309F9"/>
    <w:pPr>
      <w:tabs>
        <w:tab w:val="left" w:pos="680"/>
      </w:tabs>
      <w:spacing w:before="60" w:after="60"/>
      <w:ind w:left="680" w:hanging="340"/>
    </w:pPr>
  </w:style>
  <w:style w:type="paragraph" w:styleId="List3">
    <w:name w:val="List 3"/>
    <w:basedOn w:val="BodyText"/>
    <w:rsid w:val="000309F9"/>
    <w:pPr>
      <w:tabs>
        <w:tab w:val="left" w:pos="1021"/>
      </w:tabs>
      <w:spacing w:before="60" w:after="60"/>
      <w:ind w:left="1020" w:hanging="340"/>
    </w:pPr>
  </w:style>
  <w:style w:type="paragraph" w:styleId="List4">
    <w:name w:val="List 4"/>
    <w:basedOn w:val="BodyText"/>
    <w:rsid w:val="000309F9"/>
    <w:pPr>
      <w:tabs>
        <w:tab w:val="left" w:pos="1361"/>
      </w:tabs>
      <w:spacing w:before="60" w:after="60"/>
      <w:ind w:left="1361" w:hanging="340"/>
    </w:pPr>
  </w:style>
  <w:style w:type="paragraph" w:styleId="List5">
    <w:name w:val="List 5"/>
    <w:basedOn w:val="BodyText"/>
    <w:rsid w:val="000309F9"/>
    <w:pPr>
      <w:tabs>
        <w:tab w:val="left" w:pos="1701"/>
      </w:tabs>
      <w:spacing w:before="60" w:after="60"/>
      <w:ind w:left="1701" w:hanging="340"/>
    </w:pPr>
  </w:style>
  <w:style w:type="paragraph" w:styleId="ListBullet3">
    <w:name w:val="List Bullet 3"/>
    <w:basedOn w:val="List3"/>
    <w:rsid w:val="000309F9"/>
    <w:pPr>
      <w:numPr>
        <w:numId w:val="13"/>
      </w:numPr>
      <w:tabs>
        <w:tab w:val="clear" w:pos="1021"/>
      </w:tabs>
      <w:ind w:left="1037" w:hanging="357"/>
    </w:pPr>
  </w:style>
  <w:style w:type="paragraph" w:styleId="ListBullet4">
    <w:name w:val="List Bullet 4"/>
    <w:basedOn w:val="List4"/>
    <w:rsid w:val="000309F9"/>
    <w:pPr>
      <w:numPr>
        <w:numId w:val="1"/>
      </w:numPr>
    </w:pPr>
  </w:style>
  <w:style w:type="paragraph" w:styleId="ListBullet5">
    <w:name w:val="List Bullet 5"/>
    <w:basedOn w:val="List5"/>
    <w:rsid w:val="000309F9"/>
    <w:pPr>
      <w:numPr>
        <w:numId w:val="2"/>
      </w:numPr>
    </w:pPr>
  </w:style>
  <w:style w:type="paragraph" w:styleId="ListContinue2">
    <w:name w:val="List Continue 2"/>
    <w:basedOn w:val="List2"/>
    <w:rsid w:val="000309F9"/>
    <w:pPr>
      <w:ind w:firstLine="0"/>
    </w:pPr>
  </w:style>
  <w:style w:type="paragraph" w:styleId="ListContinue3">
    <w:name w:val="List Continue 3"/>
    <w:basedOn w:val="List3"/>
    <w:rsid w:val="000309F9"/>
    <w:pPr>
      <w:ind w:left="1021" w:firstLine="0"/>
    </w:pPr>
  </w:style>
  <w:style w:type="paragraph" w:styleId="ListContinue4">
    <w:name w:val="List Continue 4"/>
    <w:basedOn w:val="List4"/>
    <w:rsid w:val="000309F9"/>
    <w:pPr>
      <w:ind w:firstLine="0"/>
    </w:pPr>
  </w:style>
  <w:style w:type="paragraph" w:styleId="ListContinue5">
    <w:name w:val="List Continue 5"/>
    <w:basedOn w:val="List5"/>
    <w:rsid w:val="000309F9"/>
    <w:pPr>
      <w:ind w:firstLine="0"/>
    </w:pPr>
  </w:style>
  <w:style w:type="paragraph" w:styleId="ListNumber3">
    <w:name w:val="List Number 3"/>
    <w:basedOn w:val="List3"/>
    <w:rsid w:val="000309F9"/>
    <w:pPr>
      <w:numPr>
        <w:numId w:val="3"/>
      </w:numPr>
    </w:pPr>
  </w:style>
  <w:style w:type="paragraph" w:styleId="ListNumber4">
    <w:name w:val="List Number 4"/>
    <w:basedOn w:val="List4"/>
    <w:rsid w:val="000309F9"/>
    <w:pPr>
      <w:numPr>
        <w:numId w:val="4"/>
      </w:numPr>
    </w:pPr>
  </w:style>
  <w:style w:type="paragraph" w:styleId="ListNumber5">
    <w:name w:val="List Number 5"/>
    <w:basedOn w:val="List5"/>
    <w:rsid w:val="000309F9"/>
    <w:pPr>
      <w:numPr>
        <w:numId w:val="5"/>
      </w:numPr>
    </w:pPr>
  </w:style>
  <w:style w:type="paragraph" w:styleId="BlockText">
    <w:name w:val="Block Text"/>
    <w:basedOn w:val="Normal"/>
    <w:rsid w:val="000309F9"/>
    <w:pPr>
      <w:spacing w:after="120"/>
      <w:ind w:left="1440" w:right="1440"/>
    </w:pPr>
  </w:style>
  <w:style w:type="character" w:customStyle="1" w:styleId="Subscript">
    <w:name w:val="Subscript"/>
    <w:basedOn w:val="DefaultParagraphFont"/>
    <w:rsid w:val="000309F9"/>
    <w:rPr>
      <w:sz w:val="16"/>
      <w:vertAlign w:val="subscript"/>
    </w:rPr>
  </w:style>
  <w:style w:type="character" w:customStyle="1" w:styleId="Superscript">
    <w:name w:val="Superscript"/>
    <w:basedOn w:val="DefaultParagraphFont"/>
    <w:rsid w:val="000309F9"/>
    <w:rPr>
      <w:sz w:val="16"/>
      <w:vertAlign w:val="superscript"/>
    </w:rPr>
  </w:style>
  <w:style w:type="character" w:customStyle="1" w:styleId="Symbols">
    <w:name w:val="Symbols"/>
    <w:basedOn w:val="DefaultParagraphFont"/>
    <w:rsid w:val="000309F9"/>
    <w:rPr>
      <w:rFonts w:ascii="Symbol" w:hAnsi="Symbol"/>
    </w:rPr>
  </w:style>
  <w:style w:type="character" w:customStyle="1" w:styleId="MenuOptions">
    <w:name w:val="Menu Options"/>
    <w:basedOn w:val="DefaultParagraphFont"/>
    <w:rsid w:val="000309F9"/>
    <w:rPr>
      <w:rFonts w:ascii="Arial Narrow" w:hAnsi="Arial Narrow"/>
      <w:smallCaps/>
    </w:rPr>
  </w:style>
  <w:style w:type="character" w:customStyle="1" w:styleId="Buttons">
    <w:name w:val="Buttons"/>
    <w:basedOn w:val="DefaultParagraphFont"/>
    <w:rsid w:val="000309F9"/>
    <w:rPr>
      <w:b/>
    </w:rPr>
  </w:style>
  <w:style w:type="character" w:customStyle="1" w:styleId="Underlined">
    <w:name w:val="Underlined"/>
    <w:basedOn w:val="DefaultParagraphFont"/>
    <w:rsid w:val="000309F9"/>
    <w:rPr>
      <w:u w:val="single"/>
    </w:rPr>
  </w:style>
  <w:style w:type="paragraph" w:customStyle="1" w:styleId="TableBodyTextRight">
    <w:name w:val="Table Body Text Right"/>
    <w:basedOn w:val="TableBodyText"/>
    <w:rsid w:val="000309F9"/>
    <w:pPr>
      <w:widowControl w:val="0"/>
      <w:autoSpaceDE w:val="0"/>
      <w:autoSpaceDN w:val="0"/>
      <w:adjustRightInd w:val="0"/>
      <w:jc w:val="right"/>
    </w:pPr>
    <w:rPr>
      <w:rFonts w:cs="Arial"/>
      <w:szCs w:val="18"/>
    </w:rPr>
  </w:style>
  <w:style w:type="paragraph" w:customStyle="1" w:styleId="CopyrightText">
    <w:name w:val="Copyright Text"/>
    <w:basedOn w:val="BodyText"/>
    <w:rsid w:val="000309F9"/>
    <w:rPr>
      <w:sz w:val="18"/>
    </w:rPr>
  </w:style>
  <w:style w:type="paragraph" w:customStyle="1" w:styleId="BodySmallRight">
    <w:name w:val="Body Small Right"/>
    <w:basedOn w:val="BodyTextRight"/>
    <w:rsid w:val="000309F9"/>
    <w:rPr>
      <w:sz w:val="18"/>
      <w:szCs w:val="18"/>
    </w:rPr>
  </w:style>
  <w:style w:type="paragraph" w:customStyle="1" w:styleId="MarginEdition">
    <w:name w:val="Margin Edition"/>
    <w:basedOn w:val="MarginNote"/>
    <w:rsid w:val="000309F9"/>
    <w:pPr>
      <w:spacing w:before="0" w:after="0"/>
    </w:pPr>
    <w:rPr>
      <w:rFonts w:ascii="Times New Roman" w:hAnsi="Times New Roman"/>
      <w:color w:val="999999"/>
    </w:rPr>
  </w:style>
  <w:style w:type="paragraph" w:customStyle="1" w:styleId="Spacer">
    <w:name w:val="Spacer"/>
    <w:basedOn w:val="Normal"/>
    <w:rsid w:val="000309F9"/>
    <w:rPr>
      <w:sz w:val="2"/>
      <w:szCs w:val="2"/>
    </w:rPr>
  </w:style>
  <w:style w:type="character" w:customStyle="1" w:styleId="Small">
    <w:name w:val="Small"/>
    <w:basedOn w:val="DefaultParagraphFont"/>
    <w:rsid w:val="000309F9"/>
    <w:rPr>
      <w:sz w:val="16"/>
    </w:rPr>
  </w:style>
  <w:style w:type="paragraph" w:customStyle="1" w:styleId="WideTable">
    <w:name w:val="Wide Table"/>
    <w:basedOn w:val="Normal"/>
    <w:rsid w:val="000309F9"/>
    <w:pPr>
      <w:ind w:left="-1418"/>
    </w:pPr>
    <w:rPr>
      <w:sz w:val="2"/>
      <w:szCs w:val="2"/>
    </w:rPr>
  </w:style>
  <w:style w:type="character" w:styleId="PageNumber">
    <w:name w:val="page number"/>
    <w:basedOn w:val="DefaultParagraphFont"/>
    <w:rsid w:val="000309F9"/>
  </w:style>
  <w:style w:type="paragraph" w:styleId="Quote">
    <w:name w:val="Quote"/>
    <w:basedOn w:val="Heading1"/>
    <w:link w:val="QuoteChar"/>
    <w:qFormat/>
    <w:rsid w:val="000309F9"/>
    <w:rPr>
      <w:b w:val="0"/>
      <w:sz w:val="72"/>
      <w:szCs w:val="72"/>
      <w:lang w:val="en-NZ"/>
    </w:rPr>
  </w:style>
  <w:style w:type="character" w:customStyle="1" w:styleId="QuoteChar">
    <w:name w:val="Quote Char"/>
    <w:basedOn w:val="DefaultParagraphFont"/>
    <w:link w:val="Quote"/>
    <w:rsid w:val="000309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09F9"/>
    <w:pPr>
      <w:pageBreakBefore/>
    </w:pPr>
  </w:style>
  <w:style w:type="paragraph" w:customStyle="1" w:styleId="Border">
    <w:name w:val="Border"/>
    <w:basedOn w:val="Normal"/>
    <w:qFormat/>
    <w:rsid w:val="000309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09F9"/>
    <w:rPr>
      <w:b/>
      <w:bCs/>
      <w:i/>
      <w:iCs/>
      <w:color w:val="auto"/>
    </w:rPr>
  </w:style>
  <w:style w:type="paragraph" w:styleId="IntenseQuote">
    <w:name w:val="Intense Quote"/>
    <w:basedOn w:val="Normal"/>
    <w:next w:val="Normal"/>
    <w:link w:val="IntenseQuoteChar"/>
    <w:uiPriority w:val="30"/>
    <w:qFormat/>
    <w:rsid w:val="000309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09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09F9"/>
    <w:rPr>
      <w:smallCaps/>
      <w:color w:val="auto"/>
      <w:u w:val="single"/>
    </w:rPr>
  </w:style>
  <w:style w:type="character" w:styleId="IntenseReference">
    <w:name w:val="Intense Reference"/>
    <w:basedOn w:val="DefaultParagraphFont"/>
    <w:uiPriority w:val="32"/>
    <w:qFormat/>
    <w:rsid w:val="000309F9"/>
    <w:rPr>
      <w:b/>
      <w:bCs/>
      <w:smallCaps/>
      <w:color w:val="auto"/>
      <w:spacing w:val="5"/>
      <w:u w:val="single"/>
    </w:rPr>
  </w:style>
  <w:style w:type="paragraph" w:customStyle="1" w:styleId="2ColumnHeading">
    <w:name w:val="2Column Heading"/>
    <w:basedOn w:val="BodyText"/>
    <w:qFormat/>
    <w:rsid w:val="000309F9"/>
    <w:pPr>
      <w:spacing w:after="60"/>
      <w:ind w:left="-2268"/>
    </w:pPr>
    <w:rPr>
      <w:b/>
    </w:rPr>
  </w:style>
  <w:style w:type="paragraph" w:customStyle="1" w:styleId="Heading1TOC">
    <w:name w:val="Heading1 TOC"/>
    <w:basedOn w:val="Normal"/>
    <w:qFormat/>
    <w:rsid w:val="000309F9"/>
    <w:pPr>
      <w:spacing w:before="240" w:after="120"/>
    </w:pPr>
    <w:rPr>
      <w:rFonts w:ascii="Times New Roman" w:hAnsi="Times New Roman"/>
      <w:b/>
      <w:sz w:val="32"/>
    </w:rPr>
  </w:style>
  <w:style w:type="paragraph" w:customStyle="1" w:styleId="Heading2TOC">
    <w:name w:val="Heading2 TOC"/>
    <w:basedOn w:val="Normal"/>
    <w:qFormat/>
    <w:rsid w:val="000309F9"/>
    <w:pPr>
      <w:spacing w:before="240" w:after="60"/>
    </w:pPr>
    <w:rPr>
      <w:rFonts w:ascii="Times New Roman" w:hAnsi="Times New Roman"/>
      <w:b/>
      <w:sz w:val="28"/>
    </w:rPr>
  </w:style>
  <w:style w:type="character" w:customStyle="1" w:styleId="Underline">
    <w:name w:val="Underline"/>
    <w:basedOn w:val="DefaultParagraphFont"/>
    <w:qFormat/>
    <w:rsid w:val="000309F9"/>
    <w:rPr>
      <w:u w:val="single"/>
    </w:rPr>
  </w:style>
  <w:style w:type="character" w:customStyle="1" w:styleId="BoldandItalics">
    <w:name w:val="Bold and Italics"/>
    <w:qFormat/>
    <w:rsid w:val="000309F9"/>
    <w:rPr>
      <w:b/>
      <w:i/>
      <w:u w:val="none"/>
    </w:rPr>
  </w:style>
  <w:style w:type="paragraph" w:styleId="BalloonText">
    <w:name w:val="Balloon Text"/>
    <w:basedOn w:val="Normal"/>
    <w:link w:val="BalloonTextChar"/>
    <w:rsid w:val="000309F9"/>
    <w:rPr>
      <w:rFonts w:ascii="Tahoma" w:hAnsi="Tahoma" w:cs="Tahoma"/>
      <w:sz w:val="16"/>
      <w:szCs w:val="16"/>
    </w:rPr>
  </w:style>
  <w:style w:type="character" w:customStyle="1" w:styleId="BalloonTextChar">
    <w:name w:val="Balloon Text Char"/>
    <w:basedOn w:val="DefaultParagraphFont"/>
    <w:link w:val="BalloonText"/>
    <w:rsid w:val="000309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09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09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974</Words>
  <Characters>5876</Characters>
  <Application>Microsoft Office Word</Application>
  <DocSecurity>0</DocSecurity>
  <Lines>207</Lines>
  <Paragraphs>111</Paragraphs>
  <ScaleCrop>false</ScaleCrop>
  <Company>Author-it Software Corporation Ltd.</Company>
  <LinksUpToDate>false</LinksUpToDate>
  <CharactersWithSpaces>6767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BSBATSIW515B Secure funding</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2012-05-26T03:49:00Z</dcterms:created>
  <dcterms:modified xsi:type="dcterms:W3CDTF">2012-05-26T03:49:00Z</dcterms:modified>
</cp:coreProperties>
</file>