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995" w:rsidP="00584995">
      <w:pPr>
        <w:pStyle w:val="Title"/>
      </w:pPr>
      <w:r>
        <w:fldChar w:fldCharType="begin"/>
      </w:r>
      <w:r>
        <w:instrText xml:space="preserve"> TITLE   \* MERGEFORMAT </w:instrText>
      </w:r>
      <w:r>
        <w:fldChar w:fldCharType="separate"/>
      </w:r>
      <w:r>
        <w:t>BSBATSIW417B Select and utilise technology</w:t>
      </w:r>
      <w:r>
        <w:fldChar w:fldCharType="end"/>
      </w:r>
    </w:p>
    <w:p w:rsidR="00584995" w:rsidP="00584995">
      <w:pPr>
        <w:pStyle w:val="Version"/>
        <w:sectPr w:rsidSect="00B00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9ED" w:rsidP="00B009ED">
      <w:pPr>
        <w:pStyle w:val="SuperHeading"/>
      </w:pPr>
      <w:r w:rsidRPr="00B009ED">
        <w:t>BSBATSIW417B Select and utilise technology</w:t>
      </w:r>
    </w:p>
    <w:p w:rsidR="00000000" w:rsidRPr="00B009ED" w:rsidP="00B009ED">
      <w:pPr>
        <w:pStyle w:val="Heading1"/>
      </w:pPr>
      <w:bookmarkStart w:id="1" w:name="O_312607"/>
      <w:bookmarkEnd w:id="1"/>
      <w:r w:rsidRPr="00B009ED">
        <w:t>Modification History</w:t>
      </w:r>
    </w:p>
    <w:p w:rsidR="00000000" w:rsidRPr="00B009ED" w:rsidP="00B009ED">
      <w:pPr>
        <w:pStyle w:val="Heading1"/>
      </w:pPr>
      <w:bookmarkStart w:id="2" w:name="O_312606"/>
      <w:bookmarkEnd w:id="2"/>
      <w:r w:rsidRPr="00B009ED">
        <w:t>Unit Descriptor</w:t>
      </w:r>
    </w:p>
    <w:p w:rsidR="00000000" w:rsidRPr="00B009ED" w:rsidP="00B009ED">
      <w:pPr>
        <w:pStyle w:val="BodyText"/>
      </w:pPr>
      <w:r w:rsidRPr="00B009ED">
        <w:t>This unit covers assessing, utilising and evaluating new technologies within the organisation for the benefit of the organisation and the co</w:t>
      </w:r>
      <w:r w:rsidRPr="00B009ED">
        <w:t>mmunity.</w:t>
      </w:r>
    </w:p>
    <w:p w:rsidR="00000000" w:rsidRPr="00B009ED" w:rsidP="00B009ED">
      <w:pPr>
        <w:pStyle w:val="BodyText"/>
      </w:pPr>
      <w:r w:rsidRPr="00B009ED">
        <w:t>No licensing, legislative, regulatory or certification requirements apply to this unit at the time of endorsement.</w:t>
      </w:r>
    </w:p>
    <w:p w:rsidR="00000000" w:rsidRPr="00B009ED" w:rsidP="00B009ED">
      <w:pPr>
        <w:pStyle w:val="BodyText"/>
      </w:pPr>
      <w:r w:rsidRPr="00B009ED">
        <w:t>This unit covers assessing, utilising and evaluating new technologies within the organisation for the benefit of the organisation an</w:t>
      </w:r>
      <w:r w:rsidRPr="00B009ED">
        <w:t>d the community.</w:t>
      </w:r>
    </w:p>
    <w:p w:rsidR="00000000" w:rsidRPr="00B009ED" w:rsidP="00B009ED">
      <w:pPr>
        <w:pStyle w:val="BodyText"/>
      </w:pPr>
      <w:r w:rsidRPr="00B009ED">
        <w:t>No licensing, legislative, regulatory or certification requirements apply to this unit at the time of endorsement.</w:t>
      </w:r>
    </w:p>
    <w:p w:rsidR="00000000" w:rsidRPr="00B009ED" w:rsidP="00B009ED">
      <w:pPr>
        <w:pStyle w:val="AllowPageBreak"/>
      </w:pPr>
    </w:p>
    <w:p w:rsidR="00000000" w:rsidRPr="00B009ED" w:rsidP="00B009ED">
      <w:pPr>
        <w:pStyle w:val="Heading1"/>
      </w:pPr>
      <w:bookmarkStart w:id="3" w:name="O_312605"/>
      <w:bookmarkEnd w:id="3"/>
      <w:r w:rsidRPr="00B009ED">
        <w:t>Application of the Unit</w:t>
      </w:r>
    </w:p>
    <w:p w:rsidR="00000000" w:rsidRPr="00B009ED" w:rsidP="00B009ED">
      <w:pPr>
        <w:pStyle w:val="BodyText"/>
      </w:pPr>
      <w:r w:rsidRPr="00B009ED">
        <w:t>This unit applies to individuals with a broad knowledge of the business or core fun</w:t>
      </w:r>
      <w:r w:rsidRPr="00B009ED">
        <w:t>ctions of organisations who contribute their skills and knowledge to monitoring and guiding the activities of organisations in the Indigenous community.</w:t>
      </w:r>
    </w:p>
    <w:p w:rsidR="00000000" w:rsidRPr="00B009ED" w:rsidP="00B009ED">
      <w:pPr>
        <w:pStyle w:val="BodyText"/>
      </w:pPr>
      <w:r w:rsidRPr="00B009ED">
        <w:t>This unit applies to individuals with a broad knowledge of the business or core functions of organisati</w:t>
      </w:r>
      <w:r w:rsidRPr="00B009ED">
        <w:t>ons who contribute their skills and knowledge to monitoring and guiding the activities of organisations in the Indigenous community.</w:t>
      </w:r>
    </w:p>
    <w:p w:rsidR="00000000" w:rsidRPr="00B009ED" w:rsidP="00B009ED">
      <w:pPr>
        <w:pStyle w:val="AllowPageBreak"/>
      </w:pPr>
    </w:p>
    <w:p w:rsidR="00000000" w:rsidRPr="00B009ED" w:rsidP="00B009ED">
      <w:pPr>
        <w:pStyle w:val="Heading1"/>
      </w:pPr>
      <w:bookmarkStart w:id="4" w:name="O_312604"/>
      <w:bookmarkEnd w:id="4"/>
      <w:r w:rsidRPr="00B009ED">
        <w:t>Licensing/Regulatory Information</w:t>
      </w:r>
    </w:p>
    <w:p w:rsidR="00000000" w:rsidRPr="00B009ED" w:rsidP="00B009ED">
      <w:pPr>
        <w:pStyle w:val="BodyText"/>
      </w:pPr>
      <w:r w:rsidRPr="00B009ED">
        <w:t>Refer to Unit Descriptor</w:t>
      </w:r>
    </w:p>
    <w:p w:rsidR="00000000" w:rsidRPr="00B009ED" w:rsidP="00B009ED">
      <w:pPr>
        <w:pStyle w:val="AllowPageBreak"/>
      </w:pPr>
    </w:p>
    <w:p w:rsidR="00000000" w:rsidRPr="00B009ED" w:rsidP="00B009ED">
      <w:pPr>
        <w:pStyle w:val="Heading1"/>
      </w:pPr>
      <w:bookmarkStart w:id="5" w:name="O_312603"/>
      <w:bookmarkEnd w:id="5"/>
      <w:r w:rsidRPr="00B009ED">
        <w:t>Pre-Requisites</w:t>
      </w:r>
    </w:p>
    <w:p w:rsidR="00000000" w:rsidRPr="00B009ED" w:rsidP="00B009ED">
      <w:pPr>
        <w:pStyle w:val="Heading1"/>
      </w:pPr>
      <w:bookmarkStart w:id="6" w:name="O_312596"/>
      <w:bookmarkEnd w:id="6"/>
      <w:r w:rsidRPr="00B009ED">
        <w:t>Employability Skills Information</w:t>
      </w:r>
    </w:p>
    <w:p w:rsidR="00000000" w:rsidRPr="00B009ED" w:rsidP="00B009ED">
      <w:pPr>
        <w:pStyle w:val="BodyText"/>
      </w:pPr>
      <w:r w:rsidRPr="00B009ED">
        <w:t>This unit contains employability skills.</w:t>
      </w:r>
    </w:p>
    <w:p w:rsidR="00000000" w:rsidRPr="00B009ED" w:rsidP="00B009ED">
      <w:pPr>
        <w:pStyle w:val="BodyText"/>
      </w:pPr>
      <w:r w:rsidRPr="00B009ED">
        <w:t>This unit contains employability skills.</w:t>
      </w:r>
    </w:p>
    <w:p w:rsidR="00000000" w:rsidRPr="00B009ED" w:rsidP="00B009ED">
      <w:pPr>
        <w:pStyle w:val="AllowPageBreak"/>
      </w:pPr>
    </w:p>
    <w:p w:rsidR="00000000" w:rsidRPr="00B009ED" w:rsidP="00B009ED">
      <w:pPr>
        <w:pStyle w:val="Heading1"/>
      </w:pPr>
      <w:bookmarkStart w:id="7" w:name="O_312602"/>
      <w:bookmarkEnd w:id="7"/>
      <w:r w:rsidRPr="00B009ED">
        <w:t>Elements and Performance Criteria Pre-Content</w:t>
      </w:r>
    </w:p>
    <w:p w:rsidR="00000000" w:rsidRPr="00B009ED" w:rsidP="00B009ED">
      <w:pPr>
        <w:pStyle w:val="BodyText"/>
      </w:pPr>
      <w:r w:rsidRPr="00B009ED">
        <w:t>Elements describe the essential outcomes of a unit of competency.</w:t>
      </w:r>
    </w:p>
    <w:p w:rsidR="00000000" w:rsidRPr="00B009ED" w:rsidP="00B009ED">
      <w:pPr>
        <w:pStyle w:val="BodyText"/>
      </w:pPr>
      <w:r w:rsidRPr="00B009ED">
        <w:t xml:space="preserve">Performance </w:t>
      </w:r>
      <w:r w:rsidRPr="00B009ED">
        <w:t>criteria describe the performance needed to demonstrate achievement of the element. Where bold italicised text is used, further information is detailed in the required skills and knowledge section and the range statement. Assessment of performance is to be</w:t>
      </w:r>
      <w:r w:rsidRPr="00B009ED">
        <w:t xml:space="preserve"> consistent with the evidence guide.</w:t>
      </w:r>
    </w:p>
    <w:p w:rsidR="00000000" w:rsidRPr="00B009ED" w:rsidP="00B009ED">
      <w:pPr>
        <w:pStyle w:val="BodyText"/>
      </w:pPr>
      <w:r w:rsidRPr="00B009ED">
        <w:t>Elements describe the essential outcomes of a unit of competency.</w:t>
      </w:r>
    </w:p>
    <w:p w:rsidR="00000000" w:rsidRPr="00B009ED" w:rsidP="00B009ED">
      <w:pPr>
        <w:pStyle w:val="BodyText"/>
      </w:pPr>
      <w:r w:rsidRPr="00B009ED">
        <w:t>Performance criteria describe the performance needed to demonstrate achievement of the element. Where bold italicised text is used, further information i</w:t>
      </w:r>
      <w:r w:rsidRPr="00B009ED">
        <w:t>s detailed in the required skills and knowledge section and the range statement. Assessment of performance is to be consistent with the evidence guide.</w:t>
      </w:r>
    </w:p>
    <w:p w:rsidR="00000000" w:rsidRPr="00B009ED" w:rsidP="00B009ED">
      <w:pPr>
        <w:pStyle w:val="AllowPageBreak"/>
      </w:pPr>
    </w:p>
    <w:p w:rsidR="00000000" w:rsidRPr="00B009ED" w:rsidP="00B009ED">
      <w:pPr>
        <w:pStyle w:val="Heading1"/>
      </w:pPr>
      <w:bookmarkStart w:id="8" w:name="O_312608"/>
      <w:bookmarkEnd w:id="8"/>
      <w:r w:rsidRPr="00B009E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8499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Elements and Performance Criteria</w:t>
            </w:r>
          </w:p>
        </w:tc>
      </w:tr>
      <w:tr w:rsidTr="0058499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Performance Criteria</w:t>
            </w:r>
          </w:p>
        </w:tc>
      </w:tr>
      <w:tr w:rsidTr="005849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1</w:t>
            </w:r>
          </w:p>
        </w:tc>
        <w:tc>
          <w:tcPr>
            <w:tcW w:w="30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Assess technology needs</w:t>
            </w: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1.1</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Identify and document organisational tasks that could be helped by </w:t>
            </w:r>
            <w:r w:rsidRPr="00B009ED">
              <w:rPr>
                <w:rStyle w:val="SpecialBold"/>
              </w:rPr>
              <w:t xml:space="preserve">technology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1.2</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Seek independent technical advice as necessary</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1.3</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Make a cost / benefit analysis</w:t>
            </w:r>
          </w:p>
        </w:tc>
      </w:tr>
      <w:tr w:rsidTr="005849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2</w:t>
            </w:r>
          </w:p>
        </w:tc>
        <w:tc>
          <w:tcPr>
            <w:tcW w:w="30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Acquire technology</w:t>
            </w: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2.1</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Investigate and document ways of acquiring or </w:t>
            </w:r>
            <w:r w:rsidRPr="00B009ED">
              <w:rPr>
                <w:rStyle w:val="SpecialBold"/>
              </w:rPr>
              <w:t xml:space="preserve">accessing technology </w:t>
            </w:r>
            <w:r w:rsidRPr="00B009ED">
              <w:t xml:space="preserve">other than by funding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2.2</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Investigate and document costs of acquiring technology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2.3</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Investigate and document sources of funding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2.4</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Obtain funds required for technology and associated costs</w:t>
            </w:r>
          </w:p>
        </w:tc>
      </w:tr>
      <w:tr w:rsidTr="005849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3</w:t>
            </w:r>
          </w:p>
        </w:tc>
        <w:tc>
          <w:tcPr>
            <w:tcW w:w="30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Ensure staff are prepared for new technology</w:t>
            </w:r>
          </w:p>
        </w:tc>
        <w:tc>
          <w:tcPr>
            <w:tcW w:w="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3.1</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 xml:space="preserve">Evaluate </w:t>
            </w:r>
            <w:r w:rsidRPr="00B009ED">
              <w:t xml:space="preserve">the need for technology training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3.2</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Nominate trainers or mentors to train staff</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3.3</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Provide training to staff who will use the technology</w:t>
            </w:r>
          </w:p>
        </w:tc>
      </w:tr>
      <w:tr w:rsidTr="005849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4</w:t>
            </w:r>
          </w:p>
        </w:tc>
        <w:tc>
          <w:tcPr>
            <w:tcW w:w="3000" w:type="dxa"/>
            <w:vMerge w:val="restart"/>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Use and evaluate technology</w:t>
            </w: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4.1</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Utilise the technology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4.2</w:t>
            </w:r>
          </w:p>
        </w:tc>
        <w:tc>
          <w:tcPr>
            <w:tcW w:w="51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Evaluate the effective use of technology  </w:t>
            </w:r>
          </w:p>
        </w:tc>
      </w:tr>
      <w:tr w:rsidTr="005849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4.3</w:t>
            </w:r>
          </w:p>
        </w:tc>
        <w:tc>
          <w:tcPr>
            <w:tcW w:w="51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Implement actions</w:t>
            </w:r>
          </w:p>
        </w:tc>
      </w:tr>
    </w:tbl>
    <w:p w:rsidR="00000000" w:rsidRPr="00B009ED" w:rsidP="00B009ED">
      <w:pPr>
        <w:pStyle w:val="BodyText"/>
      </w:pPr>
    </w:p>
    <w:p w:rsidR="00000000" w:rsidRPr="00B009ED" w:rsidP="00B009ED">
      <w:pPr>
        <w:pStyle w:val="AllowPageBreak"/>
      </w:pPr>
    </w:p>
    <w:p w:rsidR="00000000" w:rsidRPr="00B009ED" w:rsidP="00B009ED">
      <w:pPr>
        <w:pStyle w:val="Heading1"/>
      </w:pPr>
      <w:bookmarkStart w:id="9" w:name="O_312601"/>
      <w:bookmarkEnd w:id="9"/>
      <w:r w:rsidRPr="00B009ED">
        <w:t>Required Skills and Knowledge</w:t>
      </w:r>
    </w:p>
    <w:tbl>
      <w:tblPr>
        <w:tblW w:w="0" w:type="auto"/>
        <w:tblLayout w:type="fixed"/>
        <w:tblCellMar>
          <w:left w:w="62" w:type="dxa"/>
          <w:right w:w="62" w:type="dxa"/>
        </w:tblCellMar>
        <w:tblLook w:val="0000"/>
      </w:tblPr>
      <w:tblGrid>
        <w:gridCol w:w="9000"/>
      </w:tblGrid>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p>
        </w:tc>
      </w:tr>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This section describes the skills and knowledge required for this unit. </w:t>
            </w:r>
          </w:p>
        </w:tc>
      </w:tr>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Required skills</w:t>
            </w:r>
          </w:p>
        </w:tc>
      </w:tr>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Planning training</w:t>
            </w:r>
          </w:p>
          <w:p w:rsidR="00000000" w:rsidRPr="00B009ED" w:rsidP="00B009ED">
            <w:pPr>
              <w:pStyle w:val="BodyText"/>
            </w:pPr>
            <w:r w:rsidRPr="00B009ED">
              <w:t>Mentoring</w:t>
            </w:r>
          </w:p>
          <w:p w:rsidR="00000000" w:rsidP="00B009ED">
            <w:pPr>
              <w:pStyle w:val="BodyText"/>
              <w:rPr>
                <w:lang w:val="en-NZ"/>
              </w:rPr>
            </w:pPr>
            <w:r w:rsidRPr="00B009ED">
              <w:t>Evaluation and decision-making</w:t>
            </w:r>
          </w:p>
        </w:tc>
      </w:tr>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Required knowledge</w:t>
            </w:r>
          </w:p>
        </w:tc>
      </w:tr>
      <w:tr w:rsidTr="0058499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 xml:space="preserve">Cultural context - Boards are upholders of traditional and cultural values. Relevant </w:t>
            </w:r>
            <w:r w:rsidRPr="00B009ED">
              <w:t>aspects of culture may include: cultural protocols, language (both Traditional and Aboriginal English), Aboriginal learning styles, cultural business, family and community responsibilities and local history</w:t>
            </w:r>
          </w:p>
          <w:p w:rsidR="00000000" w:rsidRPr="00B009ED" w:rsidP="00B009ED">
            <w:pPr>
              <w:pStyle w:val="BodyText"/>
            </w:pPr>
            <w:r w:rsidRPr="00B009ED">
              <w:t>Community control - community participation and c</w:t>
            </w:r>
            <w:r w:rsidRPr="00B009ED">
              <w:t>ontrol in decision-making are central to organisations and the role of Boards is to support the community in these processes</w:t>
            </w:r>
          </w:p>
          <w:p w:rsidR="00000000" w:rsidRPr="00B009ED" w:rsidP="00B009ED">
            <w:pPr>
              <w:pStyle w:val="BodyText"/>
            </w:pPr>
            <w:r w:rsidRPr="00B009ED">
              <w:t>Location and resources - organisations operate in diverse locations where cultural, social, economic and political conditions may v</w:t>
            </w:r>
            <w:r w:rsidRPr="00B009ED">
              <w:t>ary widely. Also, acute resource shortages may also determine the options available</w:t>
            </w:r>
          </w:p>
          <w:p w:rsidR="00000000" w:rsidRPr="00B009ED" w:rsidP="00B009ED">
            <w:pPr>
              <w:pStyle w:val="BodyText"/>
            </w:pPr>
            <w:r w:rsidRPr="00B009ED">
              <w:t>Legal requirements - organisations operate under provisions of federal, state or territory legislation as legal entities and funding recipients which influence decision-mak</w:t>
            </w:r>
            <w:r w:rsidRPr="00B009ED">
              <w:t>ing</w:t>
            </w:r>
          </w:p>
          <w:p w:rsidR="00000000" w:rsidRPr="00B009ED" w:rsidP="00B009ED">
            <w:pPr>
              <w:pStyle w:val="BodyText"/>
            </w:pPr>
            <w:r w:rsidRPr="00B009ED">
              <w:t>Technology options</w:t>
            </w:r>
          </w:p>
          <w:p w:rsidR="00000000" w:rsidRPr="00B009ED" w:rsidP="00B009ED">
            <w:pPr>
              <w:pStyle w:val="BodyText"/>
            </w:pPr>
            <w:r w:rsidRPr="00B009ED">
              <w:t>Funding sources</w:t>
            </w:r>
          </w:p>
        </w:tc>
      </w:tr>
    </w:tbl>
    <w:p w:rsidR="00000000" w:rsidRPr="00B009ED" w:rsidP="00B009ED">
      <w:pPr>
        <w:pStyle w:val="BodyText"/>
      </w:pPr>
    </w:p>
    <w:p w:rsidR="00000000" w:rsidRPr="00B009ED" w:rsidP="00B009ED">
      <w:pPr>
        <w:pStyle w:val="AllowPageBreak"/>
      </w:pPr>
    </w:p>
    <w:p w:rsidR="00000000" w:rsidRPr="00B009ED" w:rsidP="00B009ED">
      <w:pPr>
        <w:pStyle w:val="Heading1"/>
      </w:pPr>
      <w:bookmarkStart w:id="10" w:name="O_312600"/>
      <w:bookmarkEnd w:id="10"/>
      <w:r w:rsidRPr="00B009ED">
        <w:t>Evidence Guide</w:t>
      </w:r>
    </w:p>
    <w:tbl>
      <w:tblPr>
        <w:tblW w:w="0" w:type="auto"/>
        <w:tblLayout w:type="fixed"/>
        <w:tblCellMar>
          <w:left w:w="62" w:type="dxa"/>
          <w:right w:w="62" w:type="dxa"/>
        </w:tblCellMar>
        <w:tblLook w:val="0000"/>
      </w:tblPr>
      <w:tblGrid>
        <w:gridCol w:w="4500"/>
        <w:gridCol w:w="4500"/>
      </w:tblGrid>
      <w:tr w:rsidTr="0058499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09ED">
            <w:pPr>
              <w:pStyle w:val="BodyText"/>
              <w:rPr>
                <w:lang w:val="en-NZ"/>
              </w:rPr>
            </w:pPr>
          </w:p>
        </w:tc>
      </w:tr>
      <w:tr w:rsidTr="0058499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The evidence guide provides advice on assessment and must be read in conjunction with the performance criteria, required skills and knowledge, </w:t>
            </w:r>
            <w:r w:rsidRPr="00B009ED">
              <w:t xml:space="preserve">range statement and the Assessment Guidelines for the Training Package. </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 xml:space="preserve">Evidence of the following is essential:    </w:t>
            </w:r>
          </w:p>
          <w:p w:rsidR="00000000" w:rsidRPr="00B009ED" w:rsidP="00B009ED">
            <w:pPr>
              <w:pStyle w:val="BodyText"/>
            </w:pPr>
            <w:r w:rsidRPr="00B009ED">
              <w:t>Integrated demonstr</w:t>
            </w:r>
            <w:r w:rsidRPr="00B009ED">
              <w:t>ation of all elements of competency and their performance criteria; and</w:t>
            </w:r>
          </w:p>
          <w:p w:rsidR="00000000" w:rsidP="00B009ED">
            <w:pPr>
              <w:pStyle w:val="BodyText"/>
              <w:rPr>
                <w:lang w:val="en-NZ"/>
              </w:rPr>
            </w:pPr>
            <w:r w:rsidRPr="00B009ED">
              <w:t>Technology is used effectively for the benefit of the organisation and the community</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 xml:space="preserve">Assessment must ensure:    </w:t>
            </w:r>
          </w:p>
          <w:p w:rsidR="00000000" w:rsidRPr="00B009ED" w:rsidP="00B009ED">
            <w:pPr>
              <w:pStyle w:val="BodyText"/>
            </w:pPr>
            <w:r w:rsidRPr="00B009ED">
              <w:t>This unit of competency should be assessed through the performance of Board duties, but in the event that there is no opportunity to observe such a performance a simulated environment can be used but such simulation must replicate Board conditions in terms</w:t>
            </w:r>
            <w:r w:rsidRPr="00B009ED">
              <w:t xml:space="preserve"> of: performing the task; managing a number of different tasks; coping with irregularities and breakdowns in routine; dealing with the responsibilities and expectations of the Board, including working with others; and transferring competency to other situa</w:t>
            </w:r>
            <w:r w:rsidRPr="00B009ED">
              <w:t>tions</w:t>
            </w:r>
          </w:p>
          <w:p w:rsidR="00000000" w:rsidP="00B009ED">
            <w:pPr>
              <w:pStyle w:val="BodyText"/>
              <w:rPr>
                <w:lang w:val="en-NZ"/>
              </w:rPr>
            </w:pPr>
            <w:r w:rsidRPr="00B009ED">
              <w:t>Knowledge and performance to be assessed over time to confirm consistency in performance</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 xml:space="preserve">The following assessment method is appropriate for this unit:     </w:t>
            </w:r>
          </w:p>
          <w:p w:rsidR="00000000" w:rsidP="00B009ED">
            <w:pPr>
              <w:pStyle w:val="BodyText"/>
              <w:rPr>
                <w:lang w:val="en-NZ"/>
              </w:rPr>
            </w:pPr>
            <w:r w:rsidRPr="00B009ED">
              <w:t xml:space="preserve">Performance of Board duties, or through an accurate simulation of Board </w:t>
            </w:r>
            <w:r w:rsidRPr="00B009ED">
              <w:t>duties</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p>
        </w:tc>
      </w:tr>
    </w:tbl>
    <w:p w:rsidR="00000000" w:rsidRPr="00B009ED" w:rsidP="00B009ED">
      <w:pPr>
        <w:pStyle w:val="BodyText"/>
      </w:pPr>
    </w:p>
    <w:p w:rsidR="00000000" w:rsidRPr="00B009ED" w:rsidP="00B009ED">
      <w:pPr>
        <w:pStyle w:val="AllowPageBreak"/>
      </w:pPr>
    </w:p>
    <w:p w:rsidR="00000000" w:rsidRPr="00B009ED" w:rsidP="00B009ED">
      <w:pPr>
        <w:pStyle w:val="Heading1"/>
      </w:pPr>
      <w:bookmarkStart w:id="11" w:name="O_312599"/>
      <w:bookmarkEnd w:id="11"/>
      <w:r w:rsidRPr="00B009ED">
        <w:t>Range Statement</w:t>
      </w:r>
    </w:p>
    <w:tbl>
      <w:tblPr>
        <w:tblW w:w="0" w:type="auto"/>
        <w:tblLayout w:type="fixed"/>
        <w:tblCellMar>
          <w:left w:w="62" w:type="dxa"/>
          <w:right w:w="62" w:type="dxa"/>
        </w:tblCellMar>
        <w:tblLook w:val="0000"/>
      </w:tblPr>
      <w:tblGrid>
        <w:gridCol w:w="4500"/>
        <w:gridCol w:w="4500"/>
      </w:tblGrid>
      <w:tr w:rsidTr="0058499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09ED">
            <w:pPr>
              <w:pStyle w:val="BodyText"/>
              <w:rPr>
                <w:lang w:val="en-NZ"/>
              </w:rPr>
            </w:pPr>
          </w:p>
        </w:tc>
      </w:tr>
      <w:tr w:rsidTr="0058499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t xml:space="preserve">The range statement relates to the unit of competency as a whole. It allows for different work environments and situations that may affect </w:t>
            </w:r>
            <w:r w:rsidRPr="00B009ED">
              <w:t>performance. Bold italicised wording, if used in the performance criteria, is detailed below. Essential operating conditions that may be present with training and assessment (depending on the work situation, needs of the candidate, accessibility of the ite</w:t>
            </w:r>
            <w:r w:rsidRPr="00B009ED">
              <w:t xml:space="preserve">m, and local industry and regional contexts) may also be included. </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Technology</w:t>
            </w:r>
            <w:r w:rsidRPr="00B009E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information technology</w:t>
            </w:r>
          </w:p>
          <w:p w:rsidR="00000000" w:rsidRPr="00B009ED" w:rsidP="00B009ED">
            <w:pPr>
              <w:pStyle w:val="BodyText"/>
            </w:pPr>
            <w:r w:rsidRPr="00B009ED">
              <w:t>computer software packages</w:t>
            </w:r>
          </w:p>
          <w:p w:rsidR="00000000" w:rsidP="00B009ED">
            <w:pPr>
              <w:pStyle w:val="BodyText"/>
              <w:rPr>
                <w:lang w:val="en-NZ"/>
              </w:rPr>
            </w:pPr>
            <w:r w:rsidRPr="00B009ED">
              <w:t>new generation plant and equipment</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Options to access technology</w:t>
            </w:r>
            <w:r w:rsidRPr="00B009E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borrow</w:t>
            </w:r>
          </w:p>
          <w:p w:rsidR="00000000" w:rsidRPr="00B009ED" w:rsidP="00B009ED">
            <w:pPr>
              <w:pStyle w:val="BodyText"/>
            </w:pPr>
            <w:r w:rsidRPr="00B009ED">
              <w:t>lease or hire</w:t>
            </w:r>
          </w:p>
          <w:p w:rsidR="00000000" w:rsidP="00B009ED">
            <w:pPr>
              <w:pStyle w:val="BodyText"/>
              <w:rPr>
                <w:lang w:val="en-NZ"/>
              </w:rPr>
            </w:pPr>
            <w:r w:rsidRPr="00B009ED">
              <w:t>purchase</w:t>
            </w:r>
          </w:p>
        </w:tc>
      </w:tr>
      <w:tr w:rsidTr="0058499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09ED">
            <w:pPr>
              <w:pStyle w:val="BodyText"/>
              <w:rPr>
                <w:lang w:val="en-NZ"/>
              </w:rPr>
            </w:pPr>
            <w:r w:rsidRPr="00B009ED">
              <w:rPr>
                <w:rStyle w:val="SpecialBold"/>
              </w:rPr>
              <w:t>E</w:t>
            </w:r>
            <w:r w:rsidRPr="00B009ED">
              <w:rPr>
                <w:rStyle w:val="SpecialBold"/>
              </w:rPr>
              <w:t>valuation</w:t>
            </w:r>
            <w:r w:rsidRPr="00B009E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09ED" w:rsidP="00B009ED">
            <w:pPr>
              <w:pStyle w:val="BodyText"/>
            </w:pPr>
            <w:r w:rsidRPr="00B009ED">
              <w:t>suitability</w:t>
            </w:r>
          </w:p>
          <w:p w:rsidR="00000000" w:rsidRPr="00B009ED" w:rsidP="00B009ED">
            <w:pPr>
              <w:pStyle w:val="BodyText"/>
            </w:pPr>
            <w:r w:rsidRPr="00B009ED">
              <w:t>effectiveness</w:t>
            </w:r>
          </w:p>
          <w:p w:rsidR="00000000" w:rsidRPr="00B009ED" w:rsidP="00B009ED">
            <w:pPr>
              <w:pStyle w:val="BodyText"/>
            </w:pPr>
            <w:r w:rsidRPr="00B009ED">
              <w:t>reliability</w:t>
            </w:r>
          </w:p>
          <w:p w:rsidR="00000000" w:rsidRPr="00B009ED" w:rsidP="00B009ED">
            <w:pPr>
              <w:pStyle w:val="BodyText"/>
            </w:pPr>
            <w:r w:rsidRPr="00B009ED">
              <w:t>human impacts</w:t>
            </w:r>
          </w:p>
        </w:tc>
      </w:tr>
    </w:tbl>
    <w:p w:rsidR="00000000" w:rsidRPr="00B009ED" w:rsidP="00B009ED">
      <w:pPr>
        <w:pStyle w:val="BodyText"/>
      </w:pPr>
    </w:p>
    <w:p w:rsidR="00000000" w:rsidRPr="00B009ED" w:rsidP="00B009ED">
      <w:pPr>
        <w:pStyle w:val="AllowPageBreak"/>
      </w:pPr>
    </w:p>
    <w:p w:rsidR="00000000" w:rsidRPr="00B009ED" w:rsidP="00B009ED">
      <w:pPr>
        <w:pStyle w:val="Heading1"/>
      </w:pPr>
      <w:bookmarkStart w:id="12" w:name="O_312598"/>
      <w:bookmarkEnd w:id="12"/>
      <w:r w:rsidRPr="00B009ED">
        <w:t>Unit Sector(s)</w:t>
      </w:r>
    </w:p>
    <w:p w:rsidR="00000000" w:rsidRPr="00B009ED" w:rsidP="00B009ED">
      <w:pPr>
        <w:pStyle w:val="BodyText"/>
      </w:pPr>
      <w:r w:rsidRPr="00B009ED">
        <w:t>empty</w:t>
      </w:r>
    </w:p>
    <w:p w:rsidR="00000000" w:rsidRPr="00B009ED" w:rsidP="00B009ED">
      <w:pPr>
        <w:pStyle w:val="BodyText"/>
      </w:pPr>
      <w:r w:rsidRPr="00B009ED">
        <w:t>empt</w:t>
      </w:r>
    </w:p>
    <w:p w:rsidR="00000000" w:rsidRPr="00B009ED" w:rsidP="00B009ED">
      <w:pPr>
        <w:pStyle w:val="AllowPageBreak"/>
      </w:pPr>
    </w:p>
    <w:p w:rsidR="00000000" w:rsidRPr="00B009ED" w:rsidP="00B009ED">
      <w:pPr>
        <w:pStyle w:val="Heading1"/>
      </w:pPr>
      <w:bookmarkStart w:id="13" w:name="O_312597"/>
      <w:bookmarkEnd w:id="13"/>
      <w:r w:rsidRPr="00B009ED">
        <w:t>Competency field</w:t>
      </w:r>
    </w:p>
    <w:p w:rsidR="00000000" w:rsidRPr="00B009ED" w:rsidP="00B009ED">
      <w:pPr>
        <w:pStyle w:val="BodyText"/>
      </w:pPr>
      <w:r w:rsidRPr="00B009ED">
        <w:t>Regulation, Licensing and Risk - ATSI Governance</w:t>
      </w:r>
    </w:p>
    <w:p w:rsidR="00000000" w:rsidRPr="00B009ED" w:rsidP="00B009ED">
      <w:pPr>
        <w:pStyle w:val="BodyText"/>
      </w:pPr>
      <w:r w:rsidRPr="00B009ED">
        <w:t>Regulation, Licensing and Risk - ATSI Governance</w:t>
      </w:r>
    </w:p>
    <w:p w:rsidR="00000000" w:rsidRPr="00B009ED" w:rsidP="00B009ED"/>
    <w:sectPr w:rsidSect="00B00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995" w:rsidP="00584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95" w:rsidP="00B00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4995" w:rsidP="00B00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4995" w:rsidP="00B00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995" w:rsidP="005849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95" w:rsidP="00B009ED">
    <w:pPr>
      <w:pStyle w:val="Header"/>
      <w:framePr w:wrap="around"/>
    </w:pPr>
    <w:r>
      <w:fldChar w:fldCharType="begin"/>
    </w:r>
    <w:r>
      <w:instrText xml:space="preserve"> TITLE   \* MERGEFORMAT </w:instrText>
    </w:r>
    <w:r>
      <w:fldChar w:fldCharType="separate"/>
    </w:r>
    <w:r>
      <w:t>BSBATSIW417B Select and utilise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4995" w:rsidP="00B009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9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09ED"/>
    <w:pPr>
      <w:spacing w:before="360" w:after="60"/>
      <w:outlineLvl w:val="0"/>
    </w:pPr>
    <w:rPr>
      <w:sz w:val="32"/>
    </w:rPr>
  </w:style>
  <w:style w:type="paragraph" w:styleId="Heading2">
    <w:name w:val="heading 2"/>
    <w:basedOn w:val="HeadingBase"/>
    <w:next w:val="BodyText"/>
    <w:link w:val="Heading2Char"/>
    <w:qFormat/>
    <w:rsid w:val="00B009ED"/>
    <w:pPr>
      <w:keepLines/>
      <w:spacing w:before="240" w:after="120"/>
      <w:outlineLvl w:val="1"/>
    </w:pPr>
    <w:rPr>
      <w:sz w:val="28"/>
      <w:szCs w:val="40"/>
    </w:rPr>
  </w:style>
  <w:style w:type="paragraph" w:styleId="Heading3">
    <w:name w:val="heading 3"/>
    <w:basedOn w:val="HeadingBase"/>
    <w:next w:val="BodyText"/>
    <w:link w:val="Heading3Char"/>
    <w:qFormat/>
    <w:rsid w:val="00B009ED"/>
    <w:pPr>
      <w:spacing w:before="180" w:after="120"/>
      <w:outlineLvl w:val="2"/>
    </w:pPr>
    <w:rPr>
      <w:spacing w:val="-10"/>
      <w:kern w:val="32"/>
    </w:rPr>
  </w:style>
  <w:style w:type="paragraph" w:styleId="Heading4">
    <w:name w:val="heading 4"/>
    <w:basedOn w:val="HeadingBase"/>
    <w:next w:val="BodyText"/>
    <w:link w:val="Heading4Char"/>
    <w:qFormat/>
    <w:rsid w:val="00B009ED"/>
    <w:pPr>
      <w:spacing w:before="160" w:after="120"/>
      <w:outlineLvl w:val="3"/>
    </w:pPr>
    <w:rPr>
      <w:sz w:val="22"/>
    </w:rPr>
  </w:style>
  <w:style w:type="paragraph" w:styleId="Heading5">
    <w:name w:val="heading 5"/>
    <w:basedOn w:val="HeadingBase"/>
    <w:next w:val="Normal"/>
    <w:link w:val="Heading5Char"/>
    <w:qFormat/>
    <w:rsid w:val="00B009ED"/>
    <w:pPr>
      <w:spacing w:before="80"/>
      <w:outlineLvl w:val="4"/>
    </w:pPr>
    <w:rPr>
      <w:color w:val="918585"/>
      <w:sz w:val="20"/>
    </w:rPr>
  </w:style>
  <w:style w:type="paragraph" w:styleId="Heading6">
    <w:name w:val="heading 6"/>
    <w:basedOn w:val="HeadingBase"/>
    <w:next w:val="Normal"/>
    <w:link w:val="Heading6Char"/>
    <w:qFormat/>
    <w:rsid w:val="00B009ED"/>
    <w:pPr>
      <w:spacing w:before="60"/>
      <w:outlineLvl w:val="5"/>
    </w:pPr>
    <w:rPr>
      <w:color w:val="918585"/>
      <w:sz w:val="20"/>
    </w:rPr>
  </w:style>
  <w:style w:type="paragraph" w:styleId="Heading7">
    <w:name w:val="heading 7"/>
    <w:basedOn w:val="Normal"/>
    <w:next w:val="Normal"/>
    <w:link w:val="Heading7Char"/>
    <w:qFormat/>
    <w:rsid w:val="00B009ED"/>
    <w:pPr>
      <w:ind w:left="720"/>
      <w:outlineLvl w:val="6"/>
    </w:pPr>
    <w:rPr>
      <w:i/>
    </w:rPr>
  </w:style>
  <w:style w:type="paragraph" w:styleId="Heading8">
    <w:name w:val="heading 8"/>
    <w:basedOn w:val="Normal"/>
    <w:next w:val="Normal"/>
    <w:link w:val="Heading8Char"/>
    <w:qFormat/>
    <w:rsid w:val="00B009ED"/>
    <w:pPr>
      <w:ind w:left="720"/>
      <w:outlineLvl w:val="7"/>
    </w:pPr>
    <w:rPr>
      <w:i/>
    </w:rPr>
  </w:style>
  <w:style w:type="paragraph" w:styleId="Heading9">
    <w:name w:val="heading 9"/>
    <w:basedOn w:val="Normal"/>
    <w:next w:val="Normal"/>
    <w:link w:val="Heading9Char"/>
    <w:qFormat/>
    <w:rsid w:val="00B009ED"/>
    <w:pPr>
      <w:ind w:left="720"/>
      <w:outlineLvl w:val="8"/>
    </w:pPr>
    <w:rPr>
      <w:i/>
    </w:rPr>
  </w:style>
  <w:style w:type="character" w:default="1" w:styleId="DefaultParagraphFont">
    <w:name w:val="Default Paragraph Font"/>
    <w:uiPriority w:val="1"/>
    <w:unhideWhenUsed/>
    <w:rsid w:val="00B00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9ED"/>
  </w:style>
  <w:style w:type="character" w:customStyle="1" w:styleId="Heading1Char">
    <w:name w:val="Heading 1 Char"/>
    <w:basedOn w:val="DefaultParagraphFont"/>
    <w:link w:val="Heading1"/>
    <w:rsid w:val="00B009ED"/>
    <w:rPr>
      <w:rFonts w:ascii="Times New Roman" w:eastAsia="Times New Roman" w:hAnsi="Times New Roman" w:cs="Times New Roman"/>
      <w:b/>
      <w:sz w:val="32"/>
      <w:szCs w:val="20"/>
      <w:lang w:eastAsia="en-US"/>
    </w:rPr>
  </w:style>
  <w:style w:type="paragraph" w:styleId="BodyText">
    <w:name w:val="Body Text"/>
    <w:basedOn w:val="Normal"/>
    <w:link w:val="BodyTextChar"/>
    <w:rsid w:val="00B009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9ED"/>
    <w:rPr>
      <w:rFonts w:ascii="Times New Roman" w:eastAsia="Times New Roman" w:hAnsi="Times New Roman" w:cs="Times New Roman"/>
      <w:sz w:val="24"/>
      <w:lang w:val="en-US" w:eastAsia="en-US"/>
    </w:rPr>
  </w:style>
  <w:style w:type="paragraph" w:styleId="Footer">
    <w:name w:val="footer"/>
    <w:basedOn w:val="Normal"/>
    <w:link w:val="FooterChar"/>
    <w:rsid w:val="00B00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9E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009ED"/>
    <w:rPr>
      <w:b/>
      <w:spacing w:val="0"/>
    </w:rPr>
  </w:style>
  <w:style w:type="paragraph" w:styleId="Header">
    <w:name w:val="header"/>
    <w:basedOn w:val="Normal"/>
    <w:link w:val="HeaderChar"/>
    <w:rsid w:val="00B00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9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09ED"/>
    <w:pPr>
      <w:spacing w:before="240" w:after="120"/>
      <w:outlineLvl w:val="0"/>
    </w:pPr>
    <w:rPr>
      <w:rFonts w:ascii="Times New Roman" w:hAnsi="Times New Roman"/>
      <w:b/>
      <w:sz w:val="28"/>
    </w:rPr>
  </w:style>
  <w:style w:type="paragraph" w:customStyle="1" w:styleId="AllowPageBreak">
    <w:name w:val="AllowPageBreak"/>
    <w:rsid w:val="00B00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9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09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09ED"/>
    <w:rPr>
      <w:rFonts w:ascii="Courier New" w:eastAsia="Times New Roman" w:hAnsi="Courier New" w:cs="Times New Roman"/>
      <w:i/>
      <w:szCs w:val="20"/>
      <w:lang w:val="en-US" w:eastAsia="en-US"/>
    </w:rPr>
  </w:style>
  <w:style w:type="paragraph" w:customStyle="1" w:styleId="HeadingBase">
    <w:name w:val="Heading Base"/>
    <w:rsid w:val="00B00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9ED"/>
    <w:pPr>
      <w:tabs>
        <w:tab w:val="right" w:leader="dot" w:pos="9072"/>
      </w:tabs>
      <w:ind w:left="567"/>
    </w:pPr>
    <w:rPr>
      <w:szCs w:val="22"/>
    </w:rPr>
  </w:style>
  <w:style w:type="paragraph" w:customStyle="1" w:styleId="TOCBase">
    <w:name w:val="TOC Base"/>
    <w:rsid w:val="00B00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9ED"/>
    <w:pPr>
      <w:tabs>
        <w:tab w:val="right" w:leader="dot" w:pos="9072"/>
      </w:tabs>
      <w:spacing w:before="40" w:after="40"/>
      <w:ind w:left="284"/>
    </w:pPr>
    <w:rPr>
      <w:rFonts w:ascii="Times New Roman" w:hAnsi="Times New Roman"/>
    </w:rPr>
  </w:style>
  <w:style w:type="paragraph" w:styleId="TOC1">
    <w:name w:val="toc 1"/>
    <w:basedOn w:val="TOCBase"/>
    <w:next w:val="Normal"/>
    <w:rsid w:val="00B00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9ED"/>
    <w:pPr>
      <w:spacing w:before="5040"/>
      <w:jc w:val="center"/>
    </w:pPr>
    <w:rPr>
      <w:sz w:val="48"/>
      <w:szCs w:val="72"/>
      <w:lang w:val="en-US"/>
    </w:rPr>
  </w:style>
  <w:style w:type="character" w:customStyle="1" w:styleId="TitleChar">
    <w:name w:val="Title Char"/>
    <w:basedOn w:val="DefaultParagraphFont"/>
    <w:link w:val="Title"/>
    <w:rsid w:val="00B00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9ED"/>
    <w:pPr>
      <w:tabs>
        <w:tab w:val="left" w:pos="3600"/>
        <w:tab w:val="left" w:pos="3958"/>
      </w:tabs>
    </w:pPr>
  </w:style>
  <w:style w:type="paragraph" w:styleId="List">
    <w:name w:val="List"/>
    <w:basedOn w:val="BodyText"/>
    <w:next w:val="BodyText"/>
    <w:rsid w:val="00B009ED"/>
    <w:pPr>
      <w:tabs>
        <w:tab w:val="left" w:pos="340"/>
      </w:tabs>
      <w:spacing w:before="60" w:after="60"/>
      <w:ind w:left="340" w:hanging="340"/>
    </w:pPr>
  </w:style>
  <w:style w:type="paragraph" w:styleId="ListBullet">
    <w:name w:val="List Bullet"/>
    <w:basedOn w:val="List"/>
    <w:rsid w:val="00B009ED"/>
    <w:pPr>
      <w:numPr>
        <w:numId w:val="11"/>
      </w:numPr>
      <w:tabs>
        <w:tab w:val="clear" w:pos="340"/>
      </w:tabs>
      <w:spacing w:before="40" w:after="40"/>
    </w:pPr>
  </w:style>
  <w:style w:type="paragraph" w:customStyle="1" w:styleId="Note">
    <w:name w:val="Note"/>
    <w:basedOn w:val="BodyText"/>
    <w:rsid w:val="00B00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9ED"/>
    <w:pPr>
      <w:framePr w:wrap="auto" w:hAnchor="text" w:y="6049"/>
    </w:pPr>
    <w:rPr>
      <w:color w:val="000000"/>
      <w:sz w:val="40"/>
    </w:rPr>
  </w:style>
  <w:style w:type="paragraph" w:customStyle="1" w:styleId="TOCTitle">
    <w:name w:val="TOCTitle"/>
    <w:basedOn w:val="Heading1"/>
    <w:rsid w:val="00B009ED"/>
    <w:pPr>
      <w:spacing w:after="240"/>
      <w:jc w:val="center"/>
      <w:outlineLvl w:val="9"/>
    </w:pPr>
    <w:rPr>
      <w:caps/>
    </w:rPr>
  </w:style>
  <w:style w:type="paragraph" w:customStyle="1" w:styleId="Version">
    <w:name w:val="Version"/>
    <w:rsid w:val="00B00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9ED"/>
    <w:pPr>
      <w:numPr>
        <w:numId w:val="12"/>
      </w:numPr>
      <w:tabs>
        <w:tab w:val="clear" w:pos="680"/>
      </w:tabs>
    </w:pPr>
  </w:style>
  <w:style w:type="paragraph" w:styleId="Index1">
    <w:name w:val="index 1"/>
    <w:basedOn w:val="Normal"/>
    <w:next w:val="Normal"/>
    <w:semiHidden/>
    <w:rsid w:val="00B009ED"/>
    <w:pPr>
      <w:keepNext w:val="0"/>
      <w:tabs>
        <w:tab w:val="right" w:pos="4176"/>
      </w:tabs>
      <w:ind w:left="198" w:hanging="198"/>
    </w:pPr>
    <w:rPr>
      <w:rFonts w:ascii="Garamond" w:hAnsi="Garamond"/>
    </w:rPr>
  </w:style>
  <w:style w:type="paragraph" w:styleId="IndexHeading">
    <w:name w:val="index heading"/>
    <w:basedOn w:val="Normal"/>
    <w:next w:val="Index1"/>
    <w:semiHidden/>
    <w:rsid w:val="00B009ED"/>
    <w:pPr>
      <w:spacing w:before="120" w:after="120"/>
    </w:pPr>
    <w:rPr>
      <w:rFonts w:ascii="Arial" w:hAnsi="Arial"/>
      <w:b/>
      <w:color w:val="918585"/>
      <w:sz w:val="24"/>
    </w:rPr>
  </w:style>
  <w:style w:type="paragraph" w:customStyle="1" w:styleId="Chapter">
    <w:name w:val="Chapter"/>
    <w:basedOn w:val="Normal"/>
    <w:rsid w:val="00B009ED"/>
    <w:pPr>
      <w:spacing w:before="240"/>
    </w:pPr>
    <w:rPr>
      <w:rFonts w:ascii="Times New Roman" w:hAnsi="Times New Roman"/>
      <w:smallCaps/>
      <w:spacing w:val="80"/>
      <w:sz w:val="28"/>
    </w:rPr>
  </w:style>
  <w:style w:type="paragraph" w:customStyle="1" w:styleId="InChapter">
    <w:name w:val="InChapter"/>
    <w:basedOn w:val="Heading3"/>
    <w:rsid w:val="00B009ED"/>
    <w:pPr>
      <w:spacing w:after="240"/>
      <w:outlineLvl w:val="9"/>
    </w:pPr>
    <w:rPr>
      <w:noProof/>
    </w:rPr>
  </w:style>
  <w:style w:type="paragraph" w:styleId="Index2">
    <w:name w:val="index 2"/>
    <w:basedOn w:val="Normal"/>
    <w:next w:val="Normal"/>
    <w:semiHidden/>
    <w:rsid w:val="00B009ED"/>
    <w:pPr>
      <w:tabs>
        <w:tab w:val="right" w:pos="4176"/>
      </w:tabs>
      <w:ind w:left="568" w:hanging="284"/>
    </w:pPr>
    <w:rPr>
      <w:rFonts w:ascii="Garamond" w:hAnsi="Garamond"/>
    </w:rPr>
  </w:style>
  <w:style w:type="paragraph" w:customStyle="1" w:styleId="Byline">
    <w:name w:val="Byline"/>
    <w:rsid w:val="00B00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9ED"/>
    <w:pPr>
      <w:tabs>
        <w:tab w:val="clear" w:pos="3600"/>
        <w:tab w:val="clear" w:pos="3958"/>
      </w:tabs>
      <w:jc w:val="right"/>
    </w:pPr>
  </w:style>
  <w:style w:type="character" w:styleId="Emphasis">
    <w:name w:val="Emphasis"/>
    <w:basedOn w:val="DefaultParagraphFont"/>
    <w:qFormat/>
    <w:rsid w:val="00B009ED"/>
    <w:rPr>
      <w:i/>
    </w:rPr>
  </w:style>
  <w:style w:type="paragraph" w:styleId="Caption">
    <w:name w:val="caption"/>
    <w:basedOn w:val="BodyText"/>
    <w:next w:val="Normal"/>
    <w:qFormat/>
    <w:rsid w:val="00B009ED"/>
    <w:pPr>
      <w:framePr w:w="2268" w:hSpace="181" w:vSpace="181" w:wrap="around" w:vAnchor="text" w:hAnchor="page" w:x="1135" w:y="285" w:anchorLock="1"/>
    </w:pPr>
    <w:rPr>
      <w:i/>
    </w:rPr>
  </w:style>
  <w:style w:type="paragraph" w:customStyle="1" w:styleId="MiniTOCTitle">
    <w:name w:val="MiniTOCTitle"/>
    <w:basedOn w:val="Heading4"/>
    <w:rsid w:val="00B009ED"/>
    <w:pPr>
      <w:spacing w:before="240"/>
      <w:outlineLvl w:val="9"/>
    </w:pPr>
    <w:rPr>
      <w:noProof/>
      <w:sz w:val="24"/>
    </w:rPr>
  </w:style>
  <w:style w:type="paragraph" w:customStyle="1" w:styleId="MiniTOCItem">
    <w:name w:val="MiniTOCItem"/>
    <w:basedOn w:val="ListBullet"/>
    <w:rsid w:val="00B009ED"/>
    <w:pPr>
      <w:numPr>
        <w:numId w:val="0"/>
      </w:numPr>
      <w:tabs>
        <w:tab w:val="right" w:leader="dot" w:pos="6521"/>
      </w:tabs>
      <w:spacing w:before="0" w:after="0"/>
    </w:pPr>
  </w:style>
  <w:style w:type="paragraph" w:customStyle="1" w:styleId="TOFTitle">
    <w:name w:val="TOFTitle"/>
    <w:basedOn w:val="TOCTitle"/>
    <w:rsid w:val="00B009ED"/>
  </w:style>
  <w:style w:type="paragraph" w:styleId="TableofFigures">
    <w:name w:val="table of figures"/>
    <w:basedOn w:val="Normal"/>
    <w:next w:val="Normal"/>
    <w:semiHidden/>
    <w:rsid w:val="00B009ED"/>
    <w:pPr>
      <w:tabs>
        <w:tab w:val="right" w:leader="dot" w:pos="9072"/>
      </w:tabs>
      <w:ind w:left="970" w:hanging="403"/>
    </w:pPr>
    <w:rPr>
      <w:rFonts w:ascii="Times New Roman" w:hAnsi="Times New Roman"/>
      <w:b/>
    </w:rPr>
  </w:style>
  <w:style w:type="paragraph" w:styleId="ListNumber">
    <w:name w:val="List Number"/>
    <w:basedOn w:val="List"/>
    <w:rsid w:val="00B009ED"/>
    <w:pPr>
      <w:numPr>
        <w:numId w:val="9"/>
      </w:numPr>
    </w:pPr>
  </w:style>
  <w:style w:type="character" w:customStyle="1" w:styleId="WingdingSymbols">
    <w:name w:val="Wingding Symbols"/>
    <w:rsid w:val="00B009ED"/>
    <w:rPr>
      <w:rFonts w:ascii="Wingdings" w:hAnsi="Wingdings"/>
    </w:rPr>
  </w:style>
  <w:style w:type="paragraph" w:customStyle="1" w:styleId="TableHeading">
    <w:name w:val="Table Heading"/>
    <w:basedOn w:val="HeadingBase"/>
    <w:rsid w:val="00B009ED"/>
    <w:pPr>
      <w:keepLines/>
      <w:pBdr>
        <w:bottom w:val="single" w:sz="6" w:space="1" w:color="918585"/>
      </w:pBdr>
      <w:spacing w:before="240"/>
    </w:pPr>
  </w:style>
  <w:style w:type="character" w:customStyle="1" w:styleId="HotSpot">
    <w:name w:val="HotSpot"/>
    <w:rsid w:val="00B009ED"/>
    <w:rPr>
      <w:color w:val="0033CC"/>
      <w:u w:val="none"/>
    </w:rPr>
  </w:style>
  <w:style w:type="paragraph" w:customStyle="1" w:styleId="BodyTextRight">
    <w:name w:val="Body Text Right"/>
    <w:basedOn w:val="BodyText"/>
    <w:rsid w:val="00B009ED"/>
    <w:pPr>
      <w:spacing w:before="0" w:after="0"/>
      <w:jc w:val="right"/>
    </w:pPr>
  </w:style>
  <w:style w:type="paragraph" w:styleId="Index3">
    <w:name w:val="index 3"/>
    <w:basedOn w:val="ListNumber2"/>
    <w:next w:val="Normal"/>
    <w:semiHidden/>
    <w:rsid w:val="00B009ED"/>
    <w:pPr>
      <w:numPr>
        <w:numId w:val="0"/>
      </w:numPr>
      <w:tabs>
        <w:tab w:val="right" w:leader="dot" w:pos="4176"/>
      </w:tabs>
    </w:pPr>
  </w:style>
  <w:style w:type="paragraph" w:styleId="ListNumber2">
    <w:name w:val="List Number 2"/>
    <w:basedOn w:val="List2"/>
    <w:rsid w:val="00B009ED"/>
    <w:pPr>
      <w:numPr>
        <w:numId w:val="8"/>
      </w:numPr>
      <w:tabs>
        <w:tab w:val="clear" w:pos="1060"/>
      </w:tabs>
    </w:pPr>
  </w:style>
  <w:style w:type="paragraph" w:customStyle="1" w:styleId="MarginNote">
    <w:name w:val="Margin Note"/>
    <w:basedOn w:val="BodyText"/>
    <w:rsid w:val="00B00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9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09ED"/>
    <w:rPr>
      <w:sz w:val="32"/>
    </w:rPr>
  </w:style>
  <w:style w:type="paragraph" w:customStyle="1" w:styleId="HeadingProcedure">
    <w:name w:val="Heading Procedure"/>
    <w:basedOn w:val="HeadingBase"/>
    <w:next w:val="Normal"/>
    <w:rsid w:val="00B009ED"/>
    <w:pPr>
      <w:tabs>
        <w:tab w:val="left" w:pos="0"/>
      </w:tabs>
      <w:spacing w:before="120" w:after="60"/>
    </w:pPr>
    <w:rPr>
      <w:i/>
      <w:color w:val="918585"/>
      <w:sz w:val="22"/>
    </w:rPr>
  </w:style>
  <w:style w:type="paragraph" w:customStyle="1" w:styleId="TableBodyText">
    <w:name w:val="Table Body Text"/>
    <w:basedOn w:val="BodyText"/>
    <w:rsid w:val="00B009ED"/>
    <w:pPr>
      <w:spacing w:before="60" w:after="60"/>
    </w:pPr>
  </w:style>
  <w:style w:type="paragraph" w:styleId="ListContinue">
    <w:name w:val="List Continue"/>
    <w:basedOn w:val="List"/>
    <w:rsid w:val="00B009ED"/>
    <w:pPr>
      <w:ind w:firstLine="0"/>
    </w:pPr>
  </w:style>
  <w:style w:type="paragraph" w:customStyle="1" w:styleId="ListNote">
    <w:name w:val="List Note"/>
    <w:basedOn w:val="List"/>
    <w:rsid w:val="00B009ED"/>
    <w:pPr>
      <w:pBdr>
        <w:top w:val="single" w:sz="6" w:space="2" w:color="918585"/>
        <w:bottom w:val="single" w:sz="6" w:space="2" w:color="918585"/>
      </w:pBdr>
      <w:tabs>
        <w:tab w:val="left" w:pos="1021"/>
      </w:tabs>
      <w:ind w:firstLine="0"/>
    </w:pPr>
  </w:style>
  <w:style w:type="paragraph" w:customStyle="1" w:styleId="Warning">
    <w:name w:val="Warning"/>
    <w:basedOn w:val="BodyText"/>
    <w:rsid w:val="00B009ED"/>
    <w:pPr>
      <w:shd w:val="clear" w:color="auto" w:fill="D9D9D9"/>
      <w:tabs>
        <w:tab w:val="left" w:pos="992"/>
      </w:tabs>
      <w:ind w:left="119" w:right="119"/>
    </w:pPr>
    <w:rPr>
      <w:sz w:val="20"/>
    </w:rPr>
  </w:style>
  <w:style w:type="paragraph" w:customStyle="1" w:styleId="MarginIcons">
    <w:name w:val="Margin Icons"/>
    <w:basedOn w:val="BodyText"/>
    <w:rsid w:val="00B00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9ED"/>
    <w:rPr>
      <w:rFonts w:ascii="Courier New" w:hAnsi="Courier New"/>
    </w:rPr>
  </w:style>
  <w:style w:type="paragraph" w:customStyle="1" w:styleId="NoteBullet">
    <w:name w:val="Note Bullet"/>
    <w:basedOn w:val="Note"/>
    <w:rsid w:val="00B009ED"/>
    <w:pPr>
      <w:tabs>
        <w:tab w:val="clear" w:pos="680"/>
      </w:tabs>
      <w:spacing w:before="60" w:after="60"/>
    </w:pPr>
  </w:style>
  <w:style w:type="paragraph" w:customStyle="1" w:styleId="SubHeading2">
    <w:name w:val="SubHeading2"/>
    <w:basedOn w:val="HeadingBase"/>
    <w:rsid w:val="00B009ED"/>
    <w:pPr>
      <w:spacing w:before="240" w:after="60"/>
    </w:pPr>
    <w:rPr>
      <w:sz w:val="20"/>
    </w:rPr>
  </w:style>
  <w:style w:type="paragraph" w:customStyle="1" w:styleId="SubHeading1">
    <w:name w:val="SubHeading1"/>
    <w:basedOn w:val="HeadingBase"/>
    <w:rsid w:val="00B009ED"/>
    <w:pPr>
      <w:spacing w:before="240" w:after="60"/>
    </w:pPr>
    <w:rPr>
      <w:color w:val="918585"/>
      <w:sz w:val="22"/>
    </w:rPr>
  </w:style>
  <w:style w:type="paragraph" w:customStyle="1" w:styleId="SideHeading">
    <w:name w:val="Side Heading"/>
    <w:basedOn w:val="HeadingBase"/>
    <w:rsid w:val="00B00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9ED"/>
    <w:pPr>
      <w:numPr>
        <w:numId w:val="10"/>
      </w:numPr>
    </w:pPr>
  </w:style>
  <w:style w:type="paragraph" w:styleId="PlainText">
    <w:name w:val="Plain Text"/>
    <w:basedOn w:val="Normal"/>
    <w:link w:val="PlainTextChar"/>
    <w:rsid w:val="00B009ED"/>
    <w:rPr>
      <w:sz w:val="20"/>
    </w:rPr>
  </w:style>
  <w:style w:type="character" w:customStyle="1" w:styleId="PlainTextChar">
    <w:name w:val="Plain Text Char"/>
    <w:basedOn w:val="DefaultParagraphFont"/>
    <w:link w:val="PlainText"/>
    <w:rsid w:val="00B009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09ED"/>
    <w:rPr>
      <w:b/>
      <w:smallCaps/>
    </w:rPr>
  </w:style>
  <w:style w:type="paragraph" w:customStyle="1" w:styleId="TableListNumber">
    <w:name w:val="Table List Number"/>
    <w:basedOn w:val="ListNumber"/>
    <w:rsid w:val="00B009ED"/>
    <w:pPr>
      <w:numPr>
        <w:numId w:val="0"/>
      </w:numPr>
    </w:pPr>
  </w:style>
  <w:style w:type="paragraph" w:styleId="TOC4">
    <w:name w:val="toc 4"/>
    <w:basedOn w:val="TOCBase"/>
    <w:next w:val="Normal"/>
    <w:semiHidden/>
    <w:rsid w:val="00B009ED"/>
    <w:pPr>
      <w:tabs>
        <w:tab w:val="right" w:leader="dot" w:pos="9071"/>
      </w:tabs>
      <w:ind w:left="1701"/>
    </w:pPr>
  </w:style>
  <w:style w:type="paragraph" w:customStyle="1" w:styleId="ListAlpha">
    <w:name w:val="List Alpha"/>
    <w:basedOn w:val="List"/>
    <w:rsid w:val="00B009ED"/>
    <w:pPr>
      <w:numPr>
        <w:numId w:val="7"/>
      </w:numPr>
    </w:pPr>
  </w:style>
  <w:style w:type="paragraph" w:customStyle="1" w:styleId="ListAlpha2">
    <w:name w:val="List Alpha 2"/>
    <w:basedOn w:val="List2"/>
    <w:rsid w:val="00B009ED"/>
    <w:pPr>
      <w:numPr>
        <w:numId w:val="6"/>
      </w:numPr>
    </w:pPr>
  </w:style>
  <w:style w:type="paragraph" w:styleId="List2">
    <w:name w:val="List 2"/>
    <w:basedOn w:val="BodyText"/>
    <w:rsid w:val="00B009ED"/>
    <w:pPr>
      <w:tabs>
        <w:tab w:val="left" w:pos="680"/>
      </w:tabs>
      <w:spacing w:before="60" w:after="60"/>
      <w:ind w:left="680" w:hanging="340"/>
    </w:pPr>
  </w:style>
  <w:style w:type="paragraph" w:styleId="List3">
    <w:name w:val="List 3"/>
    <w:basedOn w:val="BodyText"/>
    <w:rsid w:val="00B009ED"/>
    <w:pPr>
      <w:tabs>
        <w:tab w:val="left" w:pos="1021"/>
      </w:tabs>
      <w:spacing w:before="60" w:after="60"/>
      <w:ind w:left="1020" w:hanging="340"/>
    </w:pPr>
  </w:style>
  <w:style w:type="paragraph" w:styleId="List4">
    <w:name w:val="List 4"/>
    <w:basedOn w:val="BodyText"/>
    <w:rsid w:val="00B009ED"/>
    <w:pPr>
      <w:tabs>
        <w:tab w:val="left" w:pos="1361"/>
      </w:tabs>
      <w:spacing w:before="60" w:after="60"/>
      <w:ind w:left="1361" w:hanging="340"/>
    </w:pPr>
  </w:style>
  <w:style w:type="paragraph" w:styleId="List5">
    <w:name w:val="List 5"/>
    <w:basedOn w:val="BodyText"/>
    <w:rsid w:val="00B009ED"/>
    <w:pPr>
      <w:tabs>
        <w:tab w:val="left" w:pos="1701"/>
      </w:tabs>
      <w:spacing w:before="60" w:after="60"/>
      <w:ind w:left="1701" w:hanging="340"/>
    </w:pPr>
  </w:style>
  <w:style w:type="paragraph" w:styleId="ListBullet3">
    <w:name w:val="List Bullet 3"/>
    <w:basedOn w:val="List3"/>
    <w:rsid w:val="00B009ED"/>
    <w:pPr>
      <w:numPr>
        <w:numId w:val="13"/>
      </w:numPr>
      <w:tabs>
        <w:tab w:val="clear" w:pos="1021"/>
      </w:tabs>
      <w:ind w:left="1037" w:hanging="357"/>
    </w:pPr>
  </w:style>
  <w:style w:type="paragraph" w:styleId="ListBullet4">
    <w:name w:val="List Bullet 4"/>
    <w:basedOn w:val="List4"/>
    <w:rsid w:val="00B009ED"/>
    <w:pPr>
      <w:numPr>
        <w:numId w:val="1"/>
      </w:numPr>
    </w:pPr>
  </w:style>
  <w:style w:type="paragraph" w:styleId="ListBullet5">
    <w:name w:val="List Bullet 5"/>
    <w:basedOn w:val="List5"/>
    <w:rsid w:val="00B009ED"/>
    <w:pPr>
      <w:numPr>
        <w:numId w:val="2"/>
      </w:numPr>
    </w:pPr>
  </w:style>
  <w:style w:type="paragraph" w:styleId="ListContinue2">
    <w:name w:val="List Continue 2"/>
    <w:basedOn w:val="List2"/>
    <w:rsid w:val="00B009ED"/>
    <w:pPr>
      <w:ind w:firstLine="0"/>
    </w:pPr>
  </w:style>
  <w:style w:type="paragraph" w:styleId="ListContinue3">
    <w:name w:val="List Continue 3"/>
    <w:basedOn w:val="List3"/>
    <w:rsid w:val="00B009ED"/>
    <w:pPr>
      <w:ind w:left="1021" w:firstLine="0"/>
    </w:pPr>
  </w:style>
  <w:style w:type="paragraph" w:styleId="ListContinue4">
    <w:name w:val="List Continue 4"/>
    <w:basedOn w:val="List4"/>
    <w:rsid w:val="00B009ED"/>
    <w:pPr>
      <w:ind w:firstLine="0"/>
    </w:pPr>
  </w:style>
  <w:style w:type="paragraph" w:styleId="ListContinue5">
    <w:name w:val="List Continue 5"/>
    <w:basedOn w:val="List5"/>
    <w:rsid w:val="00B009ED"/>
    <w:pPr>
      <w:ind w:firstLine="0"/>
    </w:pPr>
  </w:style>
  <w:style w:type="paragraph" w:styleId="ListNumber3">
    <w:name w:val="List Number 3"/>
    <w:basedOn w:val="List3"/>
    <w:rsid w:val="00B009ED"/>
    <w:pPr>
      <w:numPr>
        <w:numId w:val="3"/>
      </w:numPr>
    </w:pPr>
  </w:style>
  <w:style w:type="paragraph" w:styleId="ListNumber4">
    <w:name w:val="List Number 4"/>
    <w:basedOn w:val="List4"/>
    <w:rsid w:val="00B009ED"/>
    <w:pPr>
      <w:numPr>
        <w:numId w:val="4"/>
      </w:numPr>
    </w:pPr>
  </w:style>
  <w:style w:type="paragraph" w:styleId="ListNumber5">
    <w:name w:val="List Number 5"/>
    <w:basedOn w:val="List5"/>
    <w:rsid w:val="00B009ED"/>
    <w:pPr>
      <w:numPr>
        <w:numId w:val="5"/>
      </w:numPr>
    </w:pPr>
  </w:style>
  <w:style w:type="paragraph" w:styleId="BlockText">
    <w:name w:val="Block Text"/>
    <w:basedOn w:val="Normal"/>
    <w:rsid w:val="00B009ED"/>
    <w:pPr>
      <w:spacing w:after="120"/>
      <w:ind w:left="1440" w:right="1440"/>
    </w:pPr>
  </w:style>
  <w:style w:type="character" w:customStyle="1" w:styleId="Subscript">
    <w:name w:val="Subscript"/>
    <w:basedOn w:val="DefaultParagraphFont"/>
    <w:rsid w:val="00B009ED"/>
    <w:rPr>
      <w:sz w:val="16"/>
      <w:vertAlign w:val="subscript"/>
    </w:rPr>
  </w:style>
  <w:style w:type="character" w:customStyle="1" w:styleId="Superscript">
    <w:name w:val="Superscript"/>
    <w:basedOn w:val="DefaultParagraphFont"/>
    <w:rsid w:val="00B009ED"/>
    <w:rPr>
      <w:sz w:val="16"/>
      <w:vertAlign w:val="superscript"/>
    </w:rPr>
  </w:style>
  <w:style w:type="character" w:customStyle="1" w:styleId="Symbols">
    <w:name w:val="Symbols"/>
    <w:basedOn w:val="DefaultParagraphFont"/>
    <w:rsid w:val="00B009ED"/>
    <w:rPr>
      <w:rFonts w:ascii="Symbol" w:hAnsi="Symbol"/>
    </w:rPr>
  </w:style>
  <w:style w:type="character" w:customStyle="1" w:styleId="MenuOptions">
    <w:name w:val="Menu Options"/>
    <w:basedOn w:val="DefaultParagraphFont"/>
    <w:rsid w:val="00B009ED"/>
    <w:rPr>
      <w:rFonts w:ascii="Arial Narrow" w:hAnsi="Arial Narrow"/>
      <w:smallCaps/>
    </w:rPr>
  </w:style>
  <w:style w:type="character" w:customStyle="1" w:styleId="Buttons">
    <w:name w:val="Buttons"/>
    <w:basedOn w:val="DefaultParagraphFont"/>
    <w:rsid w:val="00B009ED"/>
    <w:rPr>
      <w:b/>
    </w:rPr>
  </w:style>
  <w:style w:type="character" w:customStyle="1" w:styleId="Underlined">
    <w:name w:val="Underlined"/>
    <w:basedOn w:val="DefaultParagraphFont"/>
    <w:rsid w:val="00B009ED"/>
    <w:rPr>
      <w:u w:val="single"/>
    </w:rPr>
  </w:style>
  <w:style w:type="paragraph" w:customStyle="1" w:styleId="TableBodyTextRight">
    <w:name w:val="Table Body Text Right"/>
    <w:basedOn w:val="TableBodyText"/>
    <w:rsid w:val="00B009ED"/>
    <w:pPr>
      <w:widowControl w:val="0"/>
      <w:autoSpaceDE w:val="0"/>
      <w:autoSpaceDN w:val="0"/>
      <w:adjustRightInd w:val="0"/>
      <w:jc w:val="right"/>
    </w:pPr>
    <w:rPr>
      <w:rFonts w:cs="Arial"/>
      <w:szCs w:val="18"/>
    </w:rPr>
  </w:style>
  <w:style w:type="paragraph" w:customStyle="1" w:styleId="CopyrightText">
    <w:name w:val="Copyright Text"/>
    <w:basedOn w:val="BodyText"/>
    <w:rsid w:val="00B009ED"/>
    <w:rPr>
      <w:sz w:val="18"/>
    </w:rPr>
  </w:style>
  <w:style w:type="paragraph" w:customStyle="1" w:styleId="BodySmallRight">
    <w:name w:val="Body Small Right"/>
    <w:basedOn w:val="BodyTextRight"/>
    <w:rsid w:val="00B009ED"/>
    <w:rPr>
      <w:sz w:val="18"/>
      <w:szCs w:val="18"/>
    </w:rPr>
  </w:style>
  <w:style w:type="paragraph" w:customStyle="1" w:styleId="MarginEdition">
    <w:name w:val="Margin Edition"/>
    <w:basedOn w:val="MarginNote"/>
    <w:rsid w:val="00B009ED"/>
    <w:pPr>
      <w:spacing w:before="0" w:after="0"/>
    </w:pPr>
    <w:rPr>
      <w:rFonts w:ascii="Times New Roman" w:hAnsi="Times New Roman"/>
      <w:color w:val="999999"/>
    </w:rPr>
  </w:style>
  <w:style w:type="paragraph" w:customStyle="1" w:styleId="Spacer">
    <w:name w:val="Spacer"/>
    <w:basedOn w:val="Normal"/>
    <w:rsid w:val="00B009ED"/>
    <w:rPr>
      <w:sz w:val="2"/>
      <w:szCs w:val="2"/>
    </w:rPr>
  </w:style>
  <w:style w:type="character" w:customStyle="1" w:styleId="Small">
    <w:name w:val="Small"/>
    <w:basedOn w:val="DefaultParagraphFont"/>
    <w:rsid w:val="00B009ED"/>
    <w:rPr>
      <w:sz w:val="16"/>
    </w:rPr>
  </w:style>
  <w:style w:type="paragraph" w:customStyle="1" w:styleId="WideTable">
    <w:name w:val="Wide Table"/>
    <w:basedOn w:val="Normal"/>
    <w:rsid w:val="00B009ED"/>
    <w:pPr>
      <w:ind w:left="-1418"/>
    </w:pPr>
    <w:rPr>
      <w:sz w:val="2"/>
      <w:szCs w:val="2"/>
    </w:rPr>
  </w:style>
  <w:style w:type="character" w:styleId="PageNumber">
    <w:name w:val="page number"/>
    <w:basedOn w:val="DefaultParagraphFont"/>
    <w:rsid w:val="00B009ED"/>
  </w:style>
  <w:style w:type="paragraph" w:styleId="Quote">
    <w:name w:val="Quote"/>
    <w:basedOn w:val="Heading1"/>
    <w:link w:val="QuoteChar"/>
    <w:qFormat/>
    <w:rsid w:val="00B009ED"/>
    <w:rPr>
      <w:b w:val="0"/>
      <w:sz w:val="72"/>
      <w:szCs w:val="72"/>
      <w:lang w:val="en-NZ"/>
    </w:rPr>
  </w:style>
  <w:style w:type="character" w:customStyle="1" w:styleId="QuoteChar">
    <w:name w:val="Quote Char"/>
    <w:basedOn w:val="DefaultParagraphFont"/>
    <w:link w:val="Quote"/>
    <w:rsid w:val="00B00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9ED"/>
    <w:pPr>
      <w:pageBreakBefore/>
    </w:pPr>
  </w:style>
  <w:style w:type="paragraph" w:customStyle="1" w:styleId="Border">
    <w:name w:val="Border"/>
    <w:basedOn w:val="Normal"/>
    <w:qFormat/>
    <w:rsid w:val="00B00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9ED"/>
    <w:rPr>
      <w:b/>
      <w:bCs/>
      <w:i/>
      <w:iCs/>
      <w:color w:val="auto"/>
    </w:rPr>
  </w:style>
  <w:style w:type="paragraph" w:styleId="IntenseQuote">
    <w:name w:val="Intense Quote"/>
    <w:basedOn w:val="Normal"/>
    <w:next w:val="Normal"/>
    <w:link w:val="IntenseQuoteChar"/>
    <w:uiPriority w:val="30"/>
    <w:qFormat/>
    <w:rsid w:val="00B00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9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09ED"/>
    <w:rPr>
      <w:smallCaps/>
      <w:color w:val="auto"/>
      <w:u w:val="single"/>
    </w:rPr>
  </w:style>
  <w:style w:type="character" w:styleId="IntenseReference">
    <w:name w:val="Intense Reference"/>
    <w:basedOn w:val="DefaultParagraphFont"/>
    <w:uiPriority w:val="32"/>
    <w:qFormat/>
    <w:rsid w:val="00B009ED"/>
    <w:rPr>
      <w:b/>
      <w:bCs/>
      <w:smallCaps/>
      <w:color w:val="auto"/>
      <w:spacing w:val="5"/>
      <w:u w:val="single"/>
    </w:rPr>
  </w:style>
  <w:style w:type="paragraph" w:customStyle="1" w:styleId="2ColumnHeading">
    <w:name w:val="2Column Heading"/>
    <w:basedOn w:val="BodyText"/>
    <w:qFormat/>
    <w:rsid w:val="00B009ED"/>
    <w:pPr>
      <w:spacing w:after="60"/>
      <w:ind w:left="-2268"/>
    </w:pPr>
    <w:rPr>
      <w:b/>
    </w:rPr>
  </w:style>
  <w:style w:type="paragraph" w:customStyle="1" w:styleId="Heading1TOC">
    <w:name w:val="Heading1 TOC"/>
    <w:basedOn w:val="Normal"/>
    <w:qFormat/>
    <w:rsid w:val="00B009ED"/>
    <w:pPr>
      <w:spacing w:before="240" w:after="120"/>
    </w:pPr>
    <w:rPr>
      <w:rFonts w:ascii="Times New Roman" w:hAnsi="Times New Roman"/>
      <w:b/>
      <w:sz w:val="32"/>
    </w:rPr>
  </w:style>
  <w:style w:type="paragraph" w:customStyle="1" w:styleId="Heading2TOC">
    <w:name w:val="Heading2 TOC"/>
    <w:basedOn w:val="Normal"/>
    <w:qFormat/>
    <w:rsid w:val="00B009ED"/>
    <w:pPr>
      <w:spacing w:before="240" w:after="60"/>
    </w:pPr>
    <w:rPr>
      <w:rFonts w:ascii="Times New Roman" w:hAnsi="Times New Roman"/>
      <w:b/>
      <w:sz w:val="28"/>
    </w:rPr>
  </w:style>
  <w:style w:type="character" w:customStyle="1" w:styleId="Underline">
    <w:name w:val="Underline"/>
    <w:basedOn w:val="DefaultParagraphFont"/>
    <w:qFormat/>
    <w:rsid w:val="00B009ED"/>
    <w:rPr>
      <w:u w:val="single"/>
    </w:rPr>
  </w:style>
  <w:style w:type="character" w:customStyle="1" w:styleId="BoldandItalics">
    <w:name w:val="Bold and Italics"/>
    <w:qFormat/>
    <w:rsid w:val="00B009ED"/>
    <w:rPr>
      <w:b/>
      <w:i/>
      <w:u w:val="none"/>
    </w:rPr>
  </w:style>
  <w:style w:type="paragraph" w:styleId="BalloonText">
    <w:name w:val="Balloon Text"/>
    <w:basedOn w:val="Normal"/>
    <w:link w:val="BalloonTextChar"/>
    <w:rsid w:val="00B009ED"/>
    <w:rPr>
      <w:rFonts w:ascii="Tahoma" w:hAnsi="Tahoma" w:cs="Tahoma"/>
      <w:sz w:val="16"/>
      <w:szCs w:val="16"/>
    </w:rPr>
  </w:style>
  <w:style w:type="character" w:customStyle="1" w:styleId="BalloonTextChar">
    <w:name w:val="Balloon Text Char"/>
    <w:basedOn w:val="DefaultParagraphFont"/>
    <w:link w:val="BalloonText"/>
    <w:rsid w:val="00B009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09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9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907</Words>
  <Characters>5528</Characters>
  <Application>Microsoft Office Word</Application>
  <DocSecurity>0</DocSecurity>
  <Lines>204</Lines>
  <Paragraphs>110</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BSBATSIW417B Select and utilise technology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2012-05-26T03:47:00Z</dcterms:created>
  <dcterms:modified xsi:type="dcterms:W3CDTF">2012-05-26T03:47:00Z</dcterms:modified>
</cp:coreProperties>
</file>