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3BB" w:rsidP="006423BB">
      <w:pPr>
        <w:pStyle w:val="Title"/>
      </w:pPr>
      <w:r>
        <w:fldChar w:fldCharType="begin"/>
      </w:r>
      <w:r>
        <w:instrText xml:space="preserve"> TITLE   \* MERGEFORMAT </w:instrText>
      </w:r>
      <w:r>
        <w:fldChar w:fldCharType="separate"/>
      </w:r>
      <w:r>
        <w:t>BSBATSIM406B Manage assets</w:t>
      </w:r>
      <w:r>
        <w:fldChar w:fldCharType="end"/>
      </w:r>
    </w:p>
    <w:p w:rsidR="006423BB" w:rsidP="006423BB">
      <w:pPr>
        <w:pStyle w:val="Version"/>
        <w:sectPr w:rsidSect="00515A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A65" w:rsidP="00515A65">
      <w:pPr>
        <w:pStyle w:val="SuperHeading"/>
      </w:pPr>
      <w:r w:rsidRPr="00515A65">
        <w:t>BSBATSIM406B Manage assets</w:t>
      </w:r>
    </w:p>
    <w:p w:rsidR="00000000" w:rsidRPr="00515A65" w:rsidP="00515A65">
      <w:pPr>
        <w:pStyle w:val="Heading1"/>
      </w:pPr>
      <w:bookmarkStart w:id="1" w:name="O_312797"/>
      <w:bookmarkEnd w:id="1"/>
      <w:r w:rsidRPr="00515A65">
        <w:t>Modification History</w:t>
      </w:r>
    </w:p>
    <w:p w:rsidR="00000000" w:rsidRPr="00515A65" w:rsidP="00515A65">
      <w:pPr>
        <w:pStyle w:val="Heading1"/>
      </w:pPr>
      <w:bookmarkStart w:id="2" w:name="O_312802"/>
      <w:bookmarkEnd w:id="2"/>
      <w:r w:rsidRPr="00515A65">
        <w:t>Unit Descriptor</w:t>
      </w:r>
    </w:p>
    <w:p w:rsidR="00000000" w:rsidRPr="00515A65" w:rsidP="00515A65">
      <w:pPr>
        <w:pStyle w:val="BodyText"/>
      </w:pPr>
      <w:r w:rsidRPr="00515A65">
        <w:t>This unit covers the management of and accountability for the organisations assets.</w:t>
      </w:r>
    </w:p>
    <w:p w:rsidR="00000000" w:rsidRPr="00515A65" w:rsidP="00515A65">
      <w:pPr>
        <w:pStyle w:val="BodyText"/>
      </w:pPr>
      <w:r w:rsidRPr="00515A65">
        <w:t>Some aspects of governance activities may be subject to legislation, rules,</w:t>
      </w:r>
      <w:r w:rsidRPr="00515A65">
        <w:t xml:space="preserve"> regulations and/or codes of practice relevant to different job roles and jurisdictions.</w:t>
      </w:r>
    </w:p>
    <w:p w:rsidR="00000000" w:rsidRPr="00515A65" w:rsidP="00515A65">
      <w:pPr>
        <w:pStyle w:val="BodyText"/>
      </w:pPr>
      <w:r w:rsidRPr="00515A65">
        <w:t>This unit covers the management of and accountability for the organisations assets.</w:t>
      </w:r>
    </w:p>
    <w:p w:rsidR="00000000" w:rsidRPr="00515A65" w:rsidP="00515A65">
      <w:pPr>
        <w:pStyle w:val="BodyText"/>
      </w:pPr>
      <w:r w:rsidRPr="00515A65">
        <w:t>Some aspects of governance activities may be subject to legislation, rules, regulat</w:t>
      </w:r>
      <w:r w:rsidRPr="00515A65">
        <w:t>ions and/or codes of practice relevant to different job roles and jurisdictions.</w:t>
      </w:r>
    </w:p>
    <w:p w:rsidR="00000000" w:rsidRPr="00515A65" w:rsidP="00515A65">
      <w:pPr>
        <w:pStyle w:val="AllowPageBreak"/>
      </w:pPr>
    </w:p>
    <w:p w:rsidR="00000000" w:rsidRPr="00515A65" w:rsidP="00515A65">
      <w:pPr>
        <w:pStyle w:val="Heading1"/>
      </w:pPr>
      <w:bookmarkStart w:id="3" w:name="O_312801"/>
      <w:bookmarkEnd w:id="3"/>
      <w:r w:rsidRPr="00515A65">
        <w:t>Application of the Unit</w:t>
      </w:r>
    </w:p>
    <w:p w:rsidR="00000000" w:rsidRPr="00515A65" w:rsidP="00515A65">
      <w:pPr>
        <w:pStyle w:val="BodyText"/>
      </w:pPr>
      <w:r w:rsidRPr="00515A65">
        <w:t>This unit applies to individuals with a broad knowledge of the business or core functions of organisations who contribute their skills</w:t>
      </w:r>
      <w:r w:rsidRPr="00515A65">
        <w:t xml:space="preserve"> and knowledge to monitoring and guiding the activities of organisations in the Indigenous community.</w:t>
      </w:r>
    </w:p>
    <w:p w:rsidR="00000000" w:rsidRPr="00515A65" w:rsidP="00515A65">
      <w:pPr>
        <w:pStyle w:val="BodyText"/>
      </w:pPr>
      <w:r w:rsidRPr="00515A65">
        <w:t>This unit applies to individuals with a broad knowledge of the business or core functions of organisations who contribute their skills and knowledge to mo</w:t>
      </w:r>
      <w:r w:rsidRPr="00515A65">
        <w:t>nitoring and guiding the activities of organisations in the Indigenous community.</w:t>
      </w:r>
    </w:p>
    <w:p w:rsidR="00000000" w:rsidRPr="00515A65" w:rsidP="00515A65">
      <w:pPr>
        <w:pStyle w:val="AllowPageBreak"/>
      </w:pPr>
    </w:p>
    <w:p w:rsidR="00000000" w:rsidRPr="00515A65" w:rsidP="00515A65">
      <w:pPr>
        <w:pStyle w:val="Heading1"/>
      </w:pPr>
      <w:bookmarkStart w:id="4" w:name="O_312800"/>
      <w:bookmarkEnd w:id="4"/>
      <w:r w:rsidRPr="00515A65">
        <w:t>Licensing/Regulatory Information</w:t>
      </w:r>
    </w:p>
    <w:p w:rsidR="00000000" w:rsidRPr="00515A65" w:rsidP="00515A65">
      <w:pPr>
        <w:pStyle w:val="Heading1"/>
      </w:pPr>
      <w:bookmarkStart w:id="5" w:name="O_312799"/>
      <w:bookmarkEnd w:id="5"/>
      <w:r w:rsidRPr="00515A65">
        <w:t>Pre-Requisites</w:t>
      </w:r>
    </w:p>
    <w:p w:rsidR="00000000" w:rsidRPr="00515A65" w:rsidP="00515A65">
      <w:pPr>
        <w:pStyle w:val="Heading1"/>
      </w:pPr>
      <w:bookmarkStart w:id="6" w:name="O_312791"/>
      <w:bookmarkEnd w:id="6"/>
      <w:r w:rsidRPr="00515A65">
        <w:t>Employability Skills Information</w:t>
      </w:r>
    </w:p>
    <w:p w:rsidR="00000000" w:rsidRPr="00515A65" w:rsidP="00515A65">
      <w:pPr>
        <w:pStyle w:val="BodyText"/>
      </w:pPr>
      <w:r w:rsidRPr="00515A65">
        <w:t>This unit contains employability skills.</w:t>
      </w:r>
    </w:p>
    <w:p w:rsidR="00000000" w:rsidRPr="00515A65" w:rsidP="00515A65">
      <w:pPr>
        <w:pStyle w:val="BodyText"/>
      </w:pPr>
      <w:r w:rsidRPr="00515A65">
        <w:t>This unit contains employability skills.</w:t>
      </w:r>
    </w:p>
    <w:p w:rsidR="00000000" w:rsidRPr="00515A65" w:rsidP="00515A65">
      <w:pPr>
        <w:pStyle w:val="AllowPageBreak"/>
      </w:pPr>
    </w:p>
    <w:p w:rsidR="00000000" w:rsidRPr="00515A65" w:rsidP="00515A65">
      <w:pPr>
        <w:pStyle w:val="Heading1"/>
      </w:pPr>
      <w:bookmarkStart w:id="7" w:name="O_312798"/>
      <w:bookmarkEnd w:id="7"/>
      <w:r w:rsidRPr="00515A65">
        <w:t>Elements and Performance Criteria Pre-Content</w:t>
      </w:r>
    </w:p>
    <w:p w:rsidR="00000000" w:rsidRPr="00515A65" w:rsidP="00515A65">
      <w:pPr>
        <w:pStyle w:val="BodyText"/>
      </w:pPr>
      <w:r w:rsidRPr="00515A65">
        <w:t>Elements describe the essential outcomes of a unit of competency.</w:t>
      </w:r>
    </w:p>
    <w:p w:rsidR="00000000" w:rsidRPr="00515A65" w:rsidP="00515A65">
      <w:pPr>
        <w:pStyle w:val="BodyText"/>
      </w:pPr>
      <w:r w:rsidRPr="00515A65">
        <w:t>Performance criteria describe the performance needed to demonstrate achievement of the</w:t>
      </w:r>
      <w:r w:rsidRPr="00515A65">
        <w:t xml:space="preserve"> element. Where bold italicised text is used, further information is detailed in the required skills and knowledge section and the range statement. Assessment of performance is to be consistent with the evidence guide.</w:t>
      </w:r>
    </w:p>
    <w:p w:rsidR="00000000" w:rsidRPr="00515A65" w:rsidP="00515A65">
      <w:pPr>
        <w:pStyle w:val="BodyText"/>
      </w:pPr>
      <w:r w:rsidRPr="00515A65">
        <w:t>Elements describe the essential outco</w:t>
      </w:r>
      <w:r w:rsidRPr="00515A65">
        <w:t>mes of a unit of competency.</w:t>
      </w:r>
    </w:p>
    <w:p w:rsidR="00000000" w:rsidRPr="00515A65" w:rsidP="00515A65">
      <w:pPr>
        <w:pStyle w:val="BodyText"/>
      </w:pPr>
      <w:r w:rsidRPr="00515A65">
        <w:t>Performance criteria describe the performance needed to demonstrate achievement of the element. Where bold italicised text is used, further information is detailed in the required skills and knowledge section and the range stat</w:t>
      </w:r>
      <w:r w:rsidRPr="00515A65">
        <w:t>ement. Assessment of performance is to be consistent with the evidence guide.</w:t>
      </w:r>
    </w:p>
    <w:p w:rsidR="00000000" w:rsidRPr="00515A65" w:rsidP="00515A65">
      <w:pPr>
        <w:pStyle w:val="AllowPageBreak"/>
      </w:pPr>
    </w:p>
    <w:p w:rsidR="00000000" w:rsidRPr="00515A65" w:rsidP="00515A65">
      <w:pPr>
        <w:pStyle w:val="Heading1"/>
      </w:pPr>
      <w:bookmarkStart w:id="8" w:name="O_312803"/>
      <w:bookmarkEnd w:id="8"/>
      <w:r w:rsidRPr="00515A6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423B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Elements and Performance Criteria</w:t>
            </w:r>
          </w:p>
        </w:tc>
      </w:tr>
      <w:tr w:rsidTr="006423B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Performance Criteria</w:t>
            </w:r>
          </w:p>
        </w:tc>
      </w:tr>
      <w:tr w:rsidTr="006423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1</w:t>
            </w:r>
          </w:p>
        </w:tc>
        <w:tc>
          <w:tcPr>
            <w:tcW w:w="30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Recognise Board responsibilities for assets</w:t>
            </w: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1.1</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Advise directors of their statutory responsibilities with respect to assets</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1.2</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Explain the consequences for not complying with statutory responsibilities</w:t>
            </w:r>
          </w:p>
        </w:tc>
      </w:tr>
      <w:tr w:rsidTr="006423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2</w:t>
            </w:r>
          </w:p>
        </w:tc>
        <w:tc>
          <w:tcPr>
            <w:tcW w:w="30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Ensure assets records are established</w:t>
            </w: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2.1</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Establish a </w:t>
            </w:r>
            <w:r w:rsidRPr="00515A65">
              <w:rPr>
                <w:rStyle w:val="SpecialBold"/>
              </w:rPr>
              <w:t xml:space="preserve">register </w:t>
            </w:r>
            <w:r w:rsidRPr="00515A65">
              <w:t xml:space="preserve">or registers for the organisation's </w:t>
            </w:r>
            <w:r w:rsidRPr="00515A65">
              <w:rPr>
                <w:rStyle w:val="SpecialBold"/>
              </w:rPr>
              <w:t>movable assets</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2.2</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Identify and document a job responsibility for the register </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2.3</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Assure the security of assets records</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2.4</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Record and secure </w:t>
            </w:r>
            <w:r w:rsidRPr="00515A65">
              <w:rPr>
                <w:rStyle w:val="SpecialBold"/>
              </w:rPr>
              <w:t>asset documents</w:t>
            </w:r>
          </w:p>
        </w:tc>
      </w:tr>
      <w:tr w:rsidTr="006423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3</w:t>
            </w:r>
          </w:p>
        </w:tc>
        <w:tc>
          <w:tcPr>
            <w:tcW w:w="30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Develop and implement policies and pro</w:t>
            </w:r>
            <w:r w:rsidRPr="00515A65">
              <w:t>cedures for the use of assets</w:t>
            </w: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3.1</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Develop, approve and document policies and </w:t>
            </w:r>
            <w:r w:rsidRPr="00515A65">
              <w:rPr>
                <w:rStyle w:val="SpecialBold"/>
              </w:rPr>
              <w:t xml:space="preserve">administrative procedures </w:t>
            </w:r>
            <w:r w:rsidRPr="00515A65">
              <w:t>for managing assets</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3.2</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Implement policies and procedures  </w:t>
            </w:r>
          </w:p>
        </w:tc>
      </w:tr>
      <w:tr w:rsidTr="006423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4</w:t>
            </w:r>
          </w:p>
        </w:tc>
        <w:tc>
          <w:tcPr>
            <w:tcW w:w="30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Ensure that assets and records are maintained</w:t>
            </w: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4.1</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Receive information with respect to assets and update records</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4.2</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Undertake repairs as appropriate</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4.3</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Document and report damage, loss or theft of assets </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4.4</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Agree and document follow up action  </w:t>
            </w:r>
          </w:p>
        </w:tc>
      </w:tr>
      <w:tr w:rsidTr="006423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5</w:t>
            </w:r>
          </w:p>
        </w:tc>
        <w:tc>
          <w:tcPr>
            <w:tcW w:w="30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Ensure insurance cover</w:t>
            </w: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5.1</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Arrange and maintain insurance following acquisition</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5.2</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Sign claims as appropriate for damage, loss or theft</w:t>
            </w:r>
          </w:p>
        </w:tc>
      </w:tr>
      <w:tr w:rsidTr="006423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6</w:t>
            </w:r>
          </w:p>
        </w:tc>
        <w:tc>
          <w:tcPr>
            <w:tcW w:w="30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Oversee an annual internal audit of assets</w:t>
            </w: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6.1</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Check annually items recorded in the </w:t>
            </w:r>
            <w:r w:rsidRPr="00515A65">
              <w:rPr>
                <w:rStyle w:val="SpecialBold"/>
              </w:rPr>
              <w:t>asset register</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6.2</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Up-date asset register with current information</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6.3</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Review and document reports</w:t>
            </w:r>
          </w:p>
        </w:tc>
      </w:tr>
      <w:tr w:rsidTr="006423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7</w:t>
            </w:r>
          </w:p>
        </w:tc>
        <w:tc>
          <w:tcPr>
            <w:tcW w:w="3000" w:type="dxa"/>
            <w:vMerge w:val="restart"/>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Oversee acquisition and disposal of assets</w:t>
            </w: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7.1</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Approve acquisitions and the disposal of assets in line with existing plans and budgets</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7.2</w:t>
            </w:r>
          </w:p>
        </w:tc>
        <w:tc>
          <w:tcPr>
            <w:tcW w:w="51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Meet funding body requirements regarding asset acquisition and disposal </w:t>
            </w:r>
          </w:p>
        </w:tc>
      </w:tr>
      <w:tr w:rsidTr="006423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7.3</w:t>
            </w:r>
          </w:p>
        </w:tc>
        <w:tc>
          <w:tcPr>
            <w:tcW w:w="51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Follow organisational procedures</w:t>
            </w:r>
          </w:p>
        </w:tc>
      </w:tr>
    </w:tbl>
    <w:p w:rsidR="00000000" w:rsidRPr="00515A65" w:rsidP="00515A65">
      <w:pPr>
        <w:pStyle w:val="BodyText"/>
      </w:pPr>
    </w:p>
    <w:p w:rsidR="00000000" w:rsidRPr="00515A65" w:rsidP="00515A65">
      <w:pPr>
        <w:pStyle w:val="AllowPageBreak"/>
      </w:pPr>
    </w:p>
    <w:p w:rsidR="00000000" w:rsidRPr="00515A65" w:rsidP="00515A65">
      <w:pPr>
        <w:pStyle w:val="Heading1"/>
      </w:pPr>
      <w:bookmarkStart w:id="9" w:name="O_312796"/>
      <w:bookmarkEnd w:id="9"/>
      <w:r w:rsidRPr="00515A65">
        <w:t>Required Skills and Knowledge</w:t>
      </w:r>
    </w:p>
    <w:tbl>
      <w:tblPr>
        <w:tblW w:w="0" w:type="auto"/>
        <w:tblLayout w:type="fixed"/>
        <w:tblCellMar>
          <w:left w:w="62" w:type="dxa"/>
          <w:right w:w="62" w:type="dxa"/>
        </w:tblCellMar>
        <w:tblLook w:val="0000"/>
      </w:tblPr>
      <w:tblGrid>
        <w:gridCol w:w="9000"/>
      </w:tblGrid>
      <w:tr w:rsidTr="006423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p>
        </w:tc>
      </w:tr>
      <w:tr w:rsidTr="006423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This section describes the skills and knowledge required for this unit. </w:t>
            </w:r>
          </w:p>
        </w:tc>
      </w:tr>
      <w:tr w:rsidTr="006423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Required skills</w:t>
            </w:r>
          </w:p>
        </w:tc>
      </w:tr>
      <w:tr w:rsidTr="006423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Written and oral communication</w:t>
            </w:r>
          </w:p>
          <w:p w:rsidR="00000000" w:rsidRPr="00515A65" w:rsidP="00515A65">
            <w:pPr>
              <w:pStyle w:val="BodyText"/>
            </w:pPr>
            <w:r w:rsidRPr="00515A65">
              <w:t>Record keeping and documentation</w:t>
            </w:r>
          </w:p>
          <w:p w:rsidR="00000000" w:rsidRPr="00515A65" w:rsidP="00515A65">
            <w:pPr>
              <w:pStyle w:val="BodyText"/>
            </w:pPr>
            <w:r w:rsidRPr="00515A65">
              <w:t>Evaluation and decision-making</w:t>
            </w:r>
          </w:p>
          <w:p w:rsidR="00000000" w:rsidP="00515A65">
            <w:pPr>
              <w:pStyle w:val="BodyText"/>
              <w:rPr>
                <w:lang w:val="en-NZ"/>
              </w:rPr>
            </w:pPr>
            <w:r w:rsidRPr="00515A65">
              <w:t>Following procedures</w:t>
            </w:r>
          </w:p>
        </w:tc>
      </w:tr>
      <w:tr w:rsidTr="006423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Required knowledge</w:t>
            </w:r>
          </w:p>
        </w:tc>
      </w:tr>
      <w:tr w:rsidTr="006423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Cultural context - Boards are upholders of traditional and cultural values. Relevant aspects of culture may include: cu</w:t>
            </w:r>
            <w:r w:rsidRPr="00515A65">
              <w:t>ltural protocols, language (both Traditional and Aboriginal English), Aboriginal learning styles, cultural business, family and community responsibilities and local history</w:t>
            </w:r>
          </w:p>
          <w:p w:rsidR="00000000" w:rsidRPr="00515A65" w:rsidP="00515A65">
            <w:pPr>
              <w:pStyle w:val="BodyText"/>
            </w:pPr>
            <w:r w:rsidRPr="00515A65">
              <w:t>Community control - community participation and control in decision-making are cent</w:t>
            </w:r>
            <w:r w:rsidRPr="00515A65">
              <w:t>ral to organisations and the role of Boards is to support the community in these processes</w:t>
            </w:r>
          </w:p>
          <w:p w:rsidR="00000000" w:rsidRPr="00515A65" w:rsidP="00515A65">
            <w:pPr>
              <w:pStyle w:val="BodyText"/>
            </w:pPr>
            <w:r w:rsidRPr="00515A65">
              <w:t>Location and resources - organisations operate in diverse locations where cultural, social, economic and political conditions may vary widely. Also, acute resource s</w:t>
            </w:r>
            <w:r w:rsidRPr="00515A65">
              <w:t>hortages may also determine the options available</w:t>
            </w:r>
          </w:p>
          <w:p w:rsidR="00000000" w:rsidRPr="00515A65" w:rsidP="00515A65">
            <w:pPr>
              <w:pStyle w:val="BodyText"/>
            </w:pPr>
            <w:r w:rsidRPr="00515A65">
              <w:t>Legal requirements - organisations operate under provisions of federal, state or territory legislation as legal entities and funding recipients which influence decision-making</w:t>
            </w:r>
          </w:p>
          <w:p w:rsidR="00000000" w:rsidRPr="00515A65" w:rsidP="00515A65">
            <w:pPr>
              <w:pStyle w:val="BodyText"/>
            </w:pPr>
            <w:r w:rsidRPr="00515A65">
              <w:t>Organisation procedures and pr</w:t>
            </w:r>
            <w:r w:rsidRPr="00515A65">
              <w:t>ocesses</w:t>
            </w:r>
          </w:p>
          <w:p w:rsidR="00000000" w:rsidRPr="00515A65" w:rsidP="00515A65">
            <w:pPr>
              <w:pStyle w:val="BodyText"/>
            </w:pPr>
            <w:r w:rsidRPr="00515A65">
              <w:t>Purchasing procedures</w:t>
            </w:r>
          </w:p>
          <w:p w:rsidR="00000000" w:rsidRPr="00515A65" w:rsidP="00515A65">
            <w:pPr>
              <w:pStyle w:val="BodyText"/>
            </w:pPr>
            <w:r w:rsidRPr="00515A65">
              <w:t>Disposal procedures</w:t>
            </w:r>
          </w:p>
        </w:tc>
      </w:tr>
    </w:tbl>
    <w:p w:rsidR="00000000" w:rsidRPr="00515A65" w:rsidP="00515A65">
      <w:pPr>
        <w:pStyle w:val="BodyText"/>
      </w:pPr>
    </w:p>
    <w:p w:rsidR="00000000" w:rsidRPr="00515A65" w:rsidP="00515A65">
      <w:pPr>
        <w:pStyle w:val="AllowPageBreak"/>
      </w:pPr>
    </w:p>
    <w:p w:rsidR="00000000" w:rsidRPr="00515A65" w:rsidP="00515A65">
      <w:pPr>
        <w:pStyle w:val="Heading1"/>
      </w:pPr>
      <w:bookmarkStart w:id="10" w:name="O_312795"/>
      <w:bookmarkEnd w:id="10"/>
      <w:r w:rsidRPr="00515A65">
        <w:t>Evidence Guide</w:t>
      </w:r>
    </w:p>
    <w:tbl>
      <w:tblPr>
        <w:tblW w:w="0" w:type="auto"/>
        <w:tblLayout w:type="fixed"/>
        <w:tblCellMar>
          <w:left w:w="62" w:type="dxa"/>
          <w:right w:w="62" w:type="dxa"/>
        </w:tblCellMar>
        <w:tblLook w:val="0000"/>
      </w:tblPr>
      <w:tblGrid>
        <w:gridCol w:w="4500"/>
        <w:gridCol w:w="4500"/>
      </w:tblGrid>
      <w:tr w:rsidTr="006423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5A65">
            <w:pPr>
              <w:pStyle w:val="BodyText"/>
              <w:rPr>
                <w:lang w:val="en-NZ"/>
              </w:rPr>
            </w:pPr>
          </w:p>
        </w:tc>
      </w:tr>
      <w:tr w:rsidTr="006423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The evidence guide provides advice on assessment and must be read in conjunction with the performance criteria, required skills and knowledge, </w:t>
            </w:r>
            <w:r w:rsidRPr="00515A65">
              <w:t xml:space="preserve">range statement and the Assessment Guidelines for the Training Package. </w:t>
            </w: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 xml:space="preserve">Evidence of the following is essential:    </w:t>
            </w:r>
          </w:p>
          <w:p w:rsidR="00000000" w:rsidRPr="00515A65" w:rsidP="00515A65">
            <w:pPr>
              <w:pStyle w:val="BodyText"/>
            </w:pPr>
            <w:r w:rsidRPr="00515A65">
              <w:t>Integrated demonstr</w:t>
            </w:r>
            <w:r w:rsidRPr="00515A65">
              <w:t>ation of all elements of competency and their performance criteria, and</w:t>
            </w:r>
          </w:p>
          <w:p w:rsidR="00000000" w:rsidP="00515A65">
            <w:pPr>
              <w:pStyle w:val="BodyText"/>
              <w:rPr>
                <w:lang w:val="en-NZ"/>
              </w:rPr>
            </w:pPr>
            <w:r w:rsidRPr="00515A65">
              <w:t>Assets are managed effectively for the use of the organisation</w:t>
            </w: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 xml:space="preserve">Assessment must ensure:    </w:t>
            </w:r>
          </w:p>
          <w:p w:rsidR="00000000" w:rsidRPr="00515A65" w:rsidP="00515A65">
            <w:pPr>
              <w:pStyle w:val="BodyText"/>
            </w:pPr>
            <w:r w:rsidRPr="00515A65">
              <w:t xml:space="preserve">This unit of competency should be assessed </w:t>
            </w:r>
            <w:r w:rsidRPr="00515A65">
              <w:t>through the performance of Board duties, but in the event that there is no opportunity to observe such a performance a simulated environment can be used but such simulation must replicate Board conditions in terms of: performing the task; managing a number</w:t>
            </w:r>
            <w:r w:rsidRPr="00515A65">
              <w:t xml:space="preserve"> of different tasks; coping with irregularities and breakdowns in routine; dealing with the responsibilities and expectations of the Board, including working with others; and transferring competency to other situations</w:t>
            </w:r>
          </w:p>
          <w:p w:rsidR="00000000" w:rsidP="00515A65">
            <w:pPr>
              <w:pStyle w:val="BodyText"/>
              <w:rPr>
                <w:lang w:val="en-NZ"/>
              </w:rPr>
            </w:pPr>
            <w:r w:rsidRPr="00515A65">
              <w:t>Knowledge and performance to be asses</w:t>
            </w:r>
            <w:r w:rsidRPr="00515A65">
              <w:t>sed over time to confirm consistency in performance</w:t>
            </w: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 xml:space="preserve">The following assessment method is appropriate for this unit:     </w:t>
            </w:r>
          </w:p>
          <w:p w:rsidR="00000000" w:rsidP="00515A65">
            <w:pPr>
              <w:pStyle w:val="BodyText"/>
              <w:rPr>
                <w:lang w:val="en-NZ"/>
              </w:rPr>
            </w:pPr>
            <w:r w:rsidRPr="00515A65">
              <w:t>Performance of Board duties, or through an accurate simulation of Board duties</w:t>
            </w: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515A65" w:rsidP="00515A65">
            <w:pPr>
              <w:pStyle w:val="BodyText"/>
            </w:pPr>
          </w:p>
        </w:tc>
      </w:tr>
    </w:tbl>
    <w:p w:rsidR="00000000" w:rsidRPr="00515A65" w:rsidP="00515A65">
      <w:pPr>
        <w:pStyle w:val="BodyText"/>
      </w:pPr>
    </w:p>
    <w:p w:rsidR="00000000" w:rsidRPr="00515A65" w:rsidP="00515A65">
      <w:pPr>
        <w:pStyle w:val="AllowPageBreak"/>
      </w:pPr>
    </w:p>
    <w:p w:rsidR="00000000" w:rsidRPr="00515A65" w:rsidP="00515A65">
      <w:pPr>
        <w:pStyle w:val="Heading1"/>
      </w:pPr>
      <w:bookmarkStart w:id="11" w:name="O_312794"/>
      <w:bookmarkEnd w:id="11"/>
      <w:r w:rsidRPr="00515A65">
        <w:t>Range Statement</w:t>
      </w:r>
    </w:p>
    <w:tbl>
      <w:tblPr>
        <w:tblW w:w="0" w:type="auto"/>
        <w:tblLayout w:type="fixed"/>
        <w:tblCellMar>
          <w:left w:w="62" w:type="dxa"/>
          <w:right w:w="62" w:type="dxa"/>
        </w:tblCellMar>
        <w:tblLook w:val="0000"/>
      </w:tblPr>
      <w:tblGrid>
        <w:gridCol w:w="4500"/>
        <w:gridCol w:w="4500"/>
      </w:tblGrid>
      <w:tr w:rsidTr="006423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5A65">
            <w:pPr>
              <w:pStyle w:val="BodyText"/>
              <w:rPr>
                <w:lang w:val="en-NZ"/>
              </w:rPr>
            </w:pPr>
          </w:p>
        </w:tc>
      </w:tr>
      <w:tr w:rsidTr="006423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The range statement relates to the unit of competency as a whole. It allows for different work environments and situations that may affect performance. Bold italicised wording, if used in the performance criteria, is</w:t>
            </w:r>
            <w:r w:rsidRPr="00515A65">
              <w:t xml:space="preserve"> detailed below. Essential operating conditions that may be present with training and assessment (depending on the work situation, needs of the candidate, accessibility of the item, and local industry and regional contexts) may also be included. </w:t>
            </w: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Movable</w:t>
            </w:r>
            <w:r w:rsidRPr="00515A65">
              <w:rPr>
                <w:rStyle w:val="SpecialBold"/>
              </w:rPr>
              <w:t xml:space="preserve"> assets</w:t>
            </w:r>
            <w:r w:rsidRPr="00515A6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vehicles</w:t>
            </w:r>
          </w:p>
          <w:p w:rsidR="00000000" w:rsidRPr="00515A65" w:rsidP="00515A65">
            <w:pPr>
              <w:pStyle w:val="BodyText"/>
            </w:pPr>
            <w:r w:rsidRPr="00515A65">
              <w:t>plant and equipment</w:t>
            </w:r>
          </w:p>
          <w:p w:rsidR="00000000" w:rsidP="00515A65">
            <w:pPr>
              <w:pStyle w:val="BodyText"/>
              <w:rPr>
                <w:lang w:val="en-NZ"/>
              </w:rPr>
            </w:pPr>
            <w:r w:rsidRPr="00515A65">
              <w:t>office furniture</w:t>
            </w: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A register of assets</w:t>
            </w:r>
            <w:r w:rsidRPr="00515A6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manual records</w:t>
            </w:r>
          </w:p>
          <w:p w:rsidR="00000000" w:rsidP="00515A65">
            <w:pPr>
              <w:pStyle w:val="BodyText"/>
              <w:rPr>
                <w:lang w:val="en-NZ"/>
              </w:rPr>
            </w:pPr>
            <w:r w:rsidRPr="00515A65">
              <w:t>computer based records</w:t>
            </w: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Assets documents</w:t>
            </w:r>
            <w:r w:rsidRPr="00515A6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titles and certificates</w:t>
            </w:r>
          </w:p>
          <w:p w:rsidR="00000000" w:rsidRPr="00515A65" w:rsidP="00515A65">
            <w:pPr>
              <w:pStyle w:val="BodyText"/>
            </w:pPr>
            <w:r w:rsidRPr="00515A65">
              <w:t>invoice/ receipts</w:t>
            </w:r>
          </w:p>
          <w:p w:rsidR="00000000" w:rsidRPr="00515A65" w:rsidP="00515A65">
            <w:pPr>
              <w:pStyle w:val="BodyText"/>
            </w:pPr>
            <w:r w:rsidRPr="00515A65">
              <w:t>guarantees</w:t>
            </w:r>
          </w:p>
          <w:p w:rsidR="00000000" w:rsidRPr="00515A65" w:rsidP="00515A65">
            <w:pPr>
              <w:pStyle w:val="BodyText"/>
            </w:pPr>
            <w:r w:rsidRPr="00515A65">
              <w:t>insurance</w:t>
            </w:r>
          </w:p>
          <w:p w:rsidR="00000000" w:rsidP="00515A65">
            <w:pPr>
              <w:pStyle w:val="BodyText"/>
              <w:rPr>
                <w:lang w:val="en-NZ"/>
              </w:rPr>
            </w:pPr>
            <w:r w:rsidRPr="00515A65">
              <w:t>maintenance records</w:t>
            </w: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rPr>
                <w:rStyle w:val="SpecialBold"/>
              </w:rPr>
              <w:t>Administrative procedures</w:t>
            </w:r>
            <w:r w:rsidRPr="00515A6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invoices and receipts</w:t>
            </w:r>
          </w:p>
          <w:p w:rsidR="00000000" w:rsidRPr="00515A65" w:rsidP="00515A65">
            <w:pPr>
              <w:pStyle w:val="BodyText"/>
            </w:pPr>
            <w:r w:rsidRPr="00515A65">
              <w:t>labelling</w:t>
            </w:r>
          </w:p>
          <w:p w:rsidR="00000000" w:rsidRPr="00515A65" w:rsidP="00515A65">
            <w:pPr>
              <w:pStyle w:val="BodyText"/>
            </w:pPr>
            <w:r w:rsidRPr="00515A65">
              <w:t>insurance</w:t>
            </w:r>
          </w:p>
          <w:p w:rsidR="00000000" w:rsidRPr="00515A65" w:rsidP="00515A65">
            <w:pPr>
              <w:pStyle w:val="BodyText"/>
            </w:pPr>
            <w:r w:rsidRPr="00515A65">
              <w:t>use and control</w:t>
            </w:r>
          </w:p>
          <w:p w:rsidR="00000000" w:rsidRPr="00515A65" w:rsidP="00515A65">
            <w:pPr>
              <w:pStyle w:val="BodyText"/>
            </w:pPr>
            <w:r w:rsidRPr="00515A65">
              <w:t>internal audit</w:t>
            </w:r>
          </w:p>
          <w:p w:rsidR="00000000" w:rsidP="00515A65">
            <w:pPr>
              <w:pStyle w:val="BodyText"/>
              <w:rPr>
                <w:lang w:val="en-NZ"/>
              </w:rPr>
            </w:pPr>
            <w:r w:rsidRPr="00515A65">
              <w:t>disposal</w:t>
            </w:r>
          </w:p>
        </w:tc>
      </w:tr>
      <w:tr w:rsidTr="006423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5A65">
            <w:pPr>
              <w:pStyle w:val="BodyText"/>
              <w:rPr>
                <w:lang w:val="en-NZ"/>
              </w:rPr>
            </w:pPr>
            <w:r w:rsidRPr="00515A65">
              <w:t xml:space="preserve">The </w:t>
            </w:r>
            <w:r w:rsidRPr="00515A65">
              <w:rPr>
                <w:rStyle w:val="SpecialBold"/>
              </w:rPr>
              <w:t>asset register</w:t>
            </w:r>
            <w:r w:rsidRPr="00515A6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15A65" w:rsidP="00515A65">
            <w:pPr>
              <w:pStyle w:val="BodyText"/>
            </w:pPr>
            <w:r w:rsidRPr="00515A65">
              <w:t>identifying number</w:t>
            </w:r>
          </w:p>
          <w:p w:rsidR="00000000" w:rsidRPr="00515A65" w:rsidP="00515A65">
            <w:pPr>
              <w:pStyle w:val="BodyText"/>
            </w:pPr>
            <w:r w:rsidRPr="00515A65">
              <w:t>date of purchase</w:t>
            </w:r>
          </w:p>
          <w:p w:rsidR="00000000" w:rsidRPr="00515A65" w:rsidP="00515A65">
            <w:pPr>
              <w:pStyle w:val="BodyText"/>
            </w:pPr>
            <w:r w:rsidRPr="00515A65">
              <w:t>location</w:t>
            </w:r>
          </w:p>
          <w:p w:rsidR="00000000" w:rsidRPr="00515A65" w:rsidP="00515A65">
            <w:pPr>
              <w:pStyle w:val="BodyText"/>
            </w:pPr>
            <w:r w:rsidRPr="00515A65">
              <w:t>value</w:t>
            </w:r>
          </w:p>
          <w:p w:rsidR="00000000" w:rsidRPr="00515A65" w:rsidP="00515A65">
            <w:pPr>
              <w:pStyle w:val="BodyText"/>
            </w:pPr>
            <w:r w:rsidRPr="00515A65">
              <w:t>major repairs</w:t>
            </w:r>
          </w:p>
          <w:p w:rsidR="00000000" w:rsidRPr="00515A65" w:rsidP="00515A65">
            <w:pPr>
              <w:pStyle w:val="BodyText"/>
            </w:pPr>
            <w:r w:rsidRPr="00515A65">
              <w:t>additions</w:t>
            </w:r>
          </w:p>
          <w:p w:rsidR="00000000" w:rsidRPr="00515A65" w:rsidP="00515A65">
            <w:pPr>
              <w:pStyle w:val="BodyText"/>
            </w:pPr>
            <w:r w:rsidRPr="00515A65">
              <w:t>obsolescence</w:t>
            </w:r>
          </w:p>
          <w:p w:rsidR="00000000" w:rsidRPr="00515A65" w:rsidP="00515A65">
            <w:pPr>
              <w:pStyle w:val="BodyText"/>
            </w:pPr>
            <w:r w:rsidRPr="00515A65">
              <w:t>loss / theft</w:t>
            </w:r>
          </w:p>
          <w:p w:rsidR="00000000" w:rsidRPr="00515A65" w:rsidP="00515A65">
            <w:pPr>
              <w:pStyle w:val="BodyText"/>
            </w:pPr>
            <w:r w:rsidRPr="00515A65">
              <w:t>insurance claims</w:t>
            </w:r>
          </w:p>
        </w:tc>
      </w:tr>
    </w:tbl>
    <w:p w:rsidR="00000000" w:rsidRPr="00515A65" w:rsidP="00515A65">
      <w:pPr>
        <w:pStyle w:val="BodyText"/>
      </w:pPr>
    </w:p>
    <w:p w:rsidR="00000000" w:rsidRPr="00515A65" w:rsidP="00515A65">
      <w:pPr>
        <w:pStyle w:val="AllowPageBreak"/>
      </w:pPr>
    </w:p>
    <w:p w:rsidR="00000000" w:rsidRPr="00515A65" w:rsidP="00515A65">
      <w:pPr>
        <w:pStyle w:val="Heading1"/>
      </w:pPr>
      <w:bookmarkStart w:id="12" w:name="O_312793"/>
      <w:bookmarkEnd w:id="12"/>
      <w:r w:rsidRPr="00515A65">
        <w:t>Unit Sector(s)</w:t>
      </w:r>
    </w:p>
    <w:p w:rsidR="00000000" w:rsidRPr="00515A65" w:rsidP="00515A65">
      <w:pPr>
        <w:pStyle w:val="BodyText"/>
      </w:pPr>
      <w:r w:rsidRPr="00515A65">
        <w:t>empty</w:t>
      </w:r>
    </w:p>
    <w:p w:rsidR="00000000" w:rsidRPr="00515A65" w:rsidP="00515A65">
      <w:pPr>
        <w:pStyle w:val="BodyText"/>
      </w:pPr>
      <w:r w:rsidRPr="00515A65">
        <w:t>empt</w:t>
      </w:r>
    </w:p>
    <w:p w:rsidR="00000000" w:rsidRPr="00515A65" w:rsidP="00515A65">
      <w:pPr>
        <w:pStyle w:val="AllowPageBreak"/>
      </w:pPr>
    </w:p>
    <w:p w:rsidR="00000000" w:rsidRPr="00515A65" w:rsidP="00515A65">
      <w:pPr>
        <w:pStyle w:val="Heading1"/>
      </w:pPr>
      <w:bookmarkStart w:id="13" w:name="O_312792"/>
      <w:bookmarkEnd w:id="13"/>
      <w:r w:rsidRPr="00515A65">
        <w:t>Competency field</w:t>
      </w:r>
    </w:p>
    <w:p w:rsidR="00000000" w:rsidRPr="00515A65" w:rsidP="00515A65">
      <w:pPr>
        <w:pStyle w:val="BodyText"/>
      </w:pPr>
      <w:r w:rsidRPr="00515A65">
        <w:t>Regulation, Licensing and Risk - ATSI Governance</w:t>
      </w:r>
    </w:p>
    <w:p w:rsidR="00000000" w:rsidRPr="00515A65" w:rsidP="00515A65">
      <w:pPr>
        <w:pStyle w:val="BodyText"/>
      </w:pPr>
      <w:r w:rsidRPr="00515A65">
        <w:t>Regulation, Licensing and Risk - ATSI Governance</w:t>
      </w:r>
    </w:p>
    <w:p w:rsidR="00000000" w:rsidRPr="00515A65" w:rsidP="00515A65"/>
    <w:sectPr w:rsidSect="00515A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3BB" w:rsidP="00642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BB" w:rsidP="00515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423BB" w:rsidP="00515A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23BB" w:rsidP="00515A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3BB" w:rsidP="006423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BB" w:rsidP="00515A65">
    <w:pPr>
      <w:pStyle w:val="Header"/>
      <w:framePr w:wrap="around"/>
    </w:pPr>
    <w:r>
      <w:fldChar w:fldCharType="begin"/>
    </w:r>
    <w:r>
      <w:instrText xml:space="preserve"> TITLE   \* MERGEFORMAT </w:instrText>
    </w:r>
    <w:r>
      <w:fldChar w:fldCharType="separate"/>
    </w:r>
    <w:r>
      <w:t>BSBATSIM406B Manage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23BB" w:rsidP="00515A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A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A65"/>
    <w:pPr>
      <w:spacing w:before="360" w:after="60"/>
      <w:outlineLvl w:val="0"/>
    </w:pPr>
    <w:rPr>
      <w:sz w:val="32"/>
    </w:rPr>
  </w:style>
  <w:style w:type="paragraph" w:styleId="Heading2">
    <w:name w:val="heading 2"/>
    <w:basedOn w:val="HeadingBase"/>
    <w:next w:val="BodyText"/>
    <w:link w:val="Heading2Char"/>
    <w:qFormat/>
    <w:rsid w:val="00515A65"/>
    <w:pPr>
      <w:keepLines/>
      <w:spacing w:before="240" w:after="120"/>
      <w:outlineLvl w:val="1"/>
    </w:pPr>
    <w:rPr>
      <w:sz w:val="28"/>
      <w:szCs w:val="40"/>
    </w:rPr>
  </w:style>
  <w:style w:type="paragraph" w:styleId="Heading3">
    <w:name w:val="heading 3"/>
    <w:basedOn w:val="HeadingBase"/>
    <w:next w:val="BodyText"/>
    <w:link w:val="Heading3Char"/>
    <w:qFormat/>
    <w:rsid w:val="00515A65"/>
    <w:pPr>
      <w:spacing w:before="180" w:after="120"/>
      <w:outlineLvl w:val="2"/>
    </w:pPr>
    <w:rPr>
      <w:spacing w:val="-10"/>
      <w:kern w:val="32"/>
    </w:rPr>
  </w:style>
  <w:style w:type="paragraph" w:styleId="Heading4">
    <w:name w:val="heading 4"/>
    <w:basedOn w:val="HeadingBase"/>
    <w:next w:val="BodyText"/>
    <w:link w:val="Heading4Char"/>
    <w:qFormat/>
    <w:rsid w:val="00515A65"/>
    <w:pPr>
      <w:spacing w:before="160" w:after="120"/>
      <w:outlineLvl w:val="3"/>
    </w:pPr>
    <w:rPr>
      <w:sz w:val="22"/>
    </w:rPr>
  </w:style>
  <w:style w:type="paragraph" w:styleId="Heading5">
    <w:name w:val="heading 5"/>
    <w:basedOn w:val="HeadingBase"/>
    <w:next w:val="Normal"/>
    <w:link w:val="Heading5Char"/>
    <w:qFormat/>
    <w:rsid w:val="00515A65"/>
    <w:pPr>
      <w:spacing w:before="80"/>
      <w:outlineLvl w:val="4"/>
    </w:pPr>
    <w:rPr>
      <w:color w:val="918585"/>
      <w:sz w:val="20"/>
    </w:rPr>
  </w:style>
  <w:style w:type="paragraph" w:styleId="Heading6">
    <w:name w:val="heading 6"/>
    <w:basedOn w:val="HeadingBase"/>
    <w:next w:val="Normal"/>
    <w:link w:val="Heading6Char"/>
    <w:qFormat/>
    <w:rsid w:val="00515A65"/>
    <w:pPr>
      <w:spacing w:before="60"/>
      <w:outlineLvl w:val="5"/>
    </w:pPr>
    <w:rPr>
      <w:color w:val="918585"/>
      <w:sz w:val="20"/>
    </w:rPr>
  </w:style>
  <w:style w:type="paragraph" w:styleId="Heading7">
    <w:name w:val="heading 7"/>
    <w:basedOn w:val="Normal"/>
    <w:next w:val="Normal"/>
    <w:link w:val="Heading7Char"/>
    <w:qFormat/>
    <w:rsid w:val="00515A65"/>
    <w:pPr>
      <w:ind w:left="720"/>
      <w:outlineLvl w:val="6"/>
    </w:pPr>
    <w:rPr>
      <w:i/>
    </w:rPr>
  </w:style>
  <w:style w:type="paragraph" w:styleId="Heading8">
    <w:name w:val="heading 8"/>
    <w:basedOn w:val="Normal"/>
    <w:next w:val="Normal"/>
    <w:link w:val="Heading8Char"/>
    <w:qFormat/>
    <w:rsid w:val="00515A65"/>
    <w:pPr>
      <w:ind w:left="720"/>
      <w:outlineLvl w:val="7"/>
    </w:pPr>
    <w:rPr>
      <w:i/>
    </w:rPr>
  </w:style>
  <w:style w:type="paragraph" w:styleId="Heading9">
    <w:name w:val="heading 9"/>
    <w:basedOn w:val="Normal"/>
    <w:next w:val="Normal"/>
    <w:link w:val="Heading9Char"/>
    <w:qFormat/>
    <w:rsid w:val="00515A65"/>
    <w:pPr>
      <w:ind w:left="720"/>
      <w:outlineLvl w:val="8"/>
    </w:pPr>
    <w:rPr>
      <w:i/>
    </w:rPr>
  </w:style>
  <w:style w:type="character" w:default="1" w:styleId="DefaultParagraphFont">
    <w:name w:val="Default Paragraph Font"/>
    <w:uiPriority w:val="1"/>
    <w:unhideWhenUsed/>
    <w:rsid w:val="00515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A65"/>
  </w:style>
  <w:style w:type="character" w:customStyle="1" w:styleId="Heading1Char">
    <w:name w:val="Heading 1 Char"/>
    <w:link w:val="Heading1"/>
    <w:rsid w:val="00515A65"/>
    <w:rPr>
      <w:rFonts w:ascii="Times New Roman" w:eastAsia="Times New Roman" w:hAnsi="Times New Roman" w:cs="Times New Roman"/>
      <w:b/>
      <w:sz w:val="32"/>
      <w:szCs w:val="20"/>
      <w:lang w:eastAsia="en-US"/>
    </w:rPr>
  </w:style>
  <w:style w:type="paragraph" w:styleId="BodyText">
    <w:name w:val="Body Text"/>
    <w:basedOn w:val="Normal"/>
    <w:link w:val="BodyTextChar"/>
    <w:rsid w:val="00515A65"/>
    <w:pPr>
      <w:spacing w:before="120" w:after="120"/>
      <w:contextualSpacing/>
    </w:pPr>
    <w:rPr>
      <w:rFonts w:ascii="Times New Roman" w:hAnsi="Times New Roman"/>
      <w:sz w:val="24"/>
      <w:szCs w:val="22"/>
    </w:rPr>
  </w:style>
  <w:style w:type="character" w:customStyle="1" w:styleId="BodyTextChar">
    <w:name w:val="Body Text Char"/>
    <w:link w:val="BodyText"/>
    <w:rsid w:val="00515A65"/>
    <w:rPr>
      <w:rFonts w:ascii="Times New Roman" w:eastAsia="Times New Roman" w:hAnsi="Times New Roman" w:cs="Times New Roman"/>
      <w:sz w:val="24"/>
      <w:lang w:val="en-US" w:eastAsia="en-US"/>
    </w:rPr>
  </w:style>
  <w:style w:type="paragraph" w:styleId="Footer">
    <w:name w:val="footer"/>
    <w:basedOn w:val="Normal"/>
    <w:link w:val="FooterChar"/>
    <w:rsid w:val="00515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5A65"/>
    <w:rPr>
      <w:rFonts w:ascii="Times New Roman" w:eastAsia="Times New Roman" w:hAnsi="Times New Roman" w:cs="Times New Roman"/>
      <w:sz w:val="16"/>
      <w:lang w:val="en-US" w:eastAsia="en-US"/>
    </w:rPr>
  </w:style>
  <w:style w:type="character" w:customStyle="1" w:styleId="SpecialBold">
    <w:name w:val="Special Bold"/>
    <w:rsid w:val="00515A65"/>
    <w:rPr>
      <w:b/>
      <w:spacing w:val="0"/>
    </w:rPr>
  </w:style>
  <w:style w:type="paragraph" w:styleId="Header">
    <w:name w:val="header"/>
    <w:basedOn w:val="Normal"/>
    <w:link w:val="HeaderChar"/>
    <w:rsid w:val="00515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5A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5A65"/>
    <w:pPr>
      <w:spacing w:before="240" w:after="120"/>
      <w:outlineLvl w:val="0"/>
    </w:pPr>
    <w:rPr>
      <w:rFonts w:ascii="Times New Roman" w:hAnsi="Times New Roman"/>
      <w:b/>
      <w:sz w:val="28"/>
    </w:rPr>
  </w:style>
  <w:style w:type="paragraph" w:customStyle="1" w:styleId="AllowPageBreak">
    <w:name w:val="AllowPageBreak"/>
    <w:rsid w:val="00515A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15A65"/>
    <w:rPr>
      <w:rFonts w:ascii="Times New Roman" w:eastAsia="Times New Roman" w:hAnsi="Times New Roman" w:cs="Times New Roman"/>
      <w:b/>
      <w:sz w:val="28"/>
      <w:szCs w:val="40"/>
      <w:lang w:eastAsia="en-US"/>
    </w:rPr>
  </w:style>
  <w:style w:type="character" w:customStyle="1" w:styleId="Heading3Char">
    <w:name w:val="Heading 3 Char"/>
    <w:link w:val="Heading3"/>
    <w:rsid w:val="00515A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5A65"/>
    <w:rPr>
      <w:rFonts w:ascii="Times New Roman" w:eastAsia="Times New Roman" w:hAnsi="Times New Roman" w:cs="Times New Roman"/>
      <w:b/>
      <w:szCs w:val="20"/>
      <w:lang w:eastAsia="en-US"/>
    </w:rPr>
  </w:style>
  <w:style w:type="character" w:customStyle="1" w:styleId="Heading5Char">
    <w:name w:val="Heading 5 Char"/>
    <w:link w:val="Heading5"/>
    <w:rsid w:val="00515A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5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A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A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A65"/>
    <w:rPr>
      <w:rFonts w:ascii="Courier New" w:eastAsia="Times New Roman" w:hAnsi="Courier New" w:cs="Times New Roman"/>
      <w:i/>
      <w:szCs w:val="20"/>
      <w:lang w:val="en-US" w:eastAsia="en-US"/>
    </w:rPr>
  </w:style>
  <w:style w:type="paragraph" w:customStyle="1" w:styleId="HeadingBase">
    <w:name w:val="Heading Base"/>
    <w:rsid w:val="00515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A65"/>
    <w:pPr>
      <w:tabs>
        <w:tab w:val="right" w:leader="dot" w:pos="9072"/>
      </w:tabs>
      <w:ind w:left="567"/>
    </w:pPr>
    <w:rPr>
      <w:szCs w:val="22"/>
    </w:rPr>
  </w:style>
  <w:style w:type="paragraph" w:customStyle="1" w:styleId="TOCBase">
    <w:name w:val="TOC Base"/>
    <w:rsid w:val="00515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A65"/>
    <w:pPr>
      <w:tabs>
        <w:tab w:val="right" w:leader="dot" w:pos="9072"/>
      </w:tabs>
      <w:spacing w:before="40" w:after="40"/>
      <w:ind w:left="284"/>
    </w:pPr>
    <w:rPr>
      <w:rFonts w:ascii="Times New Roman" w:hAnsi="Times New Roman"/>
    </w:rPr>
  </w:style>
  <w:style w:type="paragraph" w:styleId="TOC1">
    <w:name w:val="toc 1"/>
    <w:basedOn w:val="TOCBase"/>
    <w:next w:val="Normal"/>
    <w:rsid w:val="00515A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A65"/>
    <w:pPr>
      <w:spacing w:before="5040"/>
      <w:jc w:val="center"/>
    </w:pPr>
    <w:rPr>
      <w:sz w:val="48"/>
      <w:szCs w:val="72"/>
      <w:lang w:val="en-US"/>
    </w:rPr>
  </w:style>
  <w:style w:type="character" w:customStyle="1" w:styleId="TitleChar">
    <w:name w:val="Title Char"/>
    <w:link w:val="Title"/>
    <w:rsid w:val="00515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A65"/>
    <w:pPr>
      <w:tabs>
        <w:tab w:val="left" w:pos="3600"/>
        <w:tab w:val="left" w:pos="3958"/>
      </w:tabs>
    </w:pPr>
  </w:style>
  <w:style w:type="paragraph" w:styleId="List">
    <w:name w:val="List"/>
    <w:basedOn w:val="BodyText"/>
    <w:next w:val="BodyText"/>
    <w:rsid w:val="00515A65"/>
    <w:pPr>
      <w:tabs>
        <w:tab w:val="left" w:pos="340"/>
      </w:tabs>
      <w:spacing w:before="60" w:after="60"/>
      <w:ind w:left="340" w:hanging="340"/>
    </w:pPr>
  </w:style>
  <w:style w:type="paragraph" w:styleId="ListBullet">
    <w:name w:val="List Bullet"/>
    <w:basedOn w:val="List"/>
    <w:rsid w:val="00515A65"/>
    <w:pPr>
      <w:numPr>
        <w:numId w:val="11"/>
      </w:numPr>
      <w:tabs>
        <w:tab w:val="clear" w:pos="340"/>
      </w:tabs>
      <w:spacing w:before="40" w:after="40"/>
    </w:pPr>
  </w:style>
  <w:style w:type="paragraph" w:customStyle="1" w:styleId="Note">
    <w:name w:val="Note"/>
    <w:basedOn w:val="BodyText"/>
    <w:rsid w:val="00515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A65"/>
    <w:pPr>
      <w:framePr w:wrap="auto" w:hAnchor="text" w:y="6049"/>
    </w:pPr>
    <w:rPr>
      <w:color w:val="000000"/>
      <w:sz w:val="40"/>
    </w:rPr>
  </w:style>
  <w:style w:type="paragraph" w:customStyle="1" w:styleId="TOCTitle">
    <w:name w:val="TOCTitle"/>
    <w:basedOn w:val="Heading1"/>
    <w:rsid w:val="00515A65"/>
    <w:pPr>
      <w:spacing w:after="240"/>
      <w:jc w:val="center"/>
      <w:outlineLvl w:val="9"/>
    </w:pPr>
    <w:rPr>
      <w:caps/>
    </w:rPr>
  </w:style>
  <w:style w:type="paragraph" w:customStyle="1" w:styleId="Version">
    <w:name w:val="Version"/>
    <w:rsid w:val="00515A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5A65"/>
    <w:pPr>
      <w:numPr>
        <w:numId w:val="12"/>
      </w:numPr>
      <w:tabs>
        <w:tab w:val="clear" w:pos="680"/>
      </w:tabs>
    </w:pPr>
  </w:style>
  <w:style w:type="paragraph" w:styleId="Index1">
    <w:name w:val="index 1"/>
    <w:basedOn w:val="Normal"/>
    <w:next w:val="Normal"/>
    <w:semiHidden/>
    <w:rsid w:val="00515A65"/>
    <w:pPr>
      <w:keepNext w:val="0"/>
      <w:tabs>
        <w:tab w:val="right" w:pos="4176"/>
      </w:tabs>
      <w:ind w:left="198" w:hanging="198"/>
    </w:pPr>
    <w:rPr>
      <w:rFonts w:ascii="Garamond" w:hAnsi="Garamond"/>
    </w:rPr>
  </w:style>
  <w:style w:type="paragraph" w:styleId="IndexHeading">
    <w:name w:val="index heading"/>
    <w:basedOn w:val="Normal"/>
    <w:next w:val="Index1"/>
    <w:semiHidden/>
    <w:rsid w:val="00515A65"/>
    <w:pPr>
      <w:spacing w:before="120" w:after="120"/>
    </w:pPr>
    <w:rPr>
      <w:rFonts w:ascii="Arial" w:hAnsi="Arial"/>
      <w:b/>
      <w:color w:val="918585"/>
      <w:sz w:val="24"/>
    </w:rPr>
  </w:style>
  <w:style w:type="paragraph" w:customStyle="1" w:styleId="Chapter">
    <w:name w:val="Chapter"/>
    <w:basedOn w:val="Normal"/>
    <w:rsid w:val="00515A65"/>
    <w:pPr>
      <w:spacing w:before="240"/>
    </w:pPr>
    <w:rPr>
      <w:rFonts w:ascii="Times New Roman" w:hAnsi="Times New Roman"/>
      <w:smallCaps/>
      <w:spacing w:val="80"/>
      <w:sz w:val="28"/>
    </w:rPr>
  </w:style>
  <w:style w:type="paragraph" w:customStyle="1" w:styleId="InChapter">
    <w:name w:val="InChapter"/>
    <w:basedOn w:val="Heading3"/>
    <w:rsid w:val="00515A65"/>
    <w:pPr>
      <w:spacing w:after="240"/>
      <w:outlineLvl w:val="9"/>
    </w:pPr>
    <w:rPr>
      <w:noProof/>
    </w:rPr>
  </w:style>
  <w:style w:type="paragraph" w:styleId="Index2">
    <w:name w:val="index 2"/>
    <w:basedOn w:val="Normal"/>
    <w:next w:val="Normal"/>
    <w:semiHidden/>
    <w:rsid w:val="00515A65"/>
    <w:pPr>
      <w:tabs>
        <w:tab w:val="right" w:pos="4176"/>
      </w:tabs>
      <w:ind w:left="568" w:hanging="284"/>
    </w:pPr>
    <w:rPr>
      <w:rFonts w:ascii="Garamond" w:hAnsi="Garamond"/>
    </w:rPr>
  </w:style>
  <w:style w:type="paragraph" w:customStyle="1" w:styleId="Byline">
    <w:name w:val="Byline"/>
    <w:rsid w:val="00515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A65"/>
    <w:pPr>
      <w:tabs>
        <w:tab w:val="clear" w:pos="3600"/>
        <w:tab w:val="clear" w:pos="3958"/>
      </w:tabs>
      <w:jc w:val="right"/>
    </w:pPr>
  </w:style>
  <w:style w:type="character" w:styleId="Emphasis">
    <w:name w:val="Emphasis"/>
    <w:qFormat/>
    <w:rsid w:val="00515A65"/>
    <w:rPr>
      <w:i/>
    </w:rPr>
  </w:style>
  <w:style w:type="paragraph" w:styleId="Caption">
    <w:name w:val="caption"/>
    <w:basedOn w:val="BodyText"/>
    <w:next w:val="Normal"/>
    <w:qFormat/>
    <w:rsid w:val="00515A65"/>
    <w:pPr>
      <w:framePr w:w="2268" w:hSpace="181" w:vSpace="181" w:wrap="around" w:vAnchor="text" w:hAnchor="page" w:x="1135" w:y="285" w:anchorLock="1"/>
    </w:pPr>
    <w:rPr>
      <w:i/>
    </w:rPr>
  </w:style>
  <w:style w:type="paragraph" w:customStyle="1" w:styleId="MiniTOCTitle">
    <w:name w:val="MiniTOCTitle"/>
    <w:basedOn w:val="Heading4"/>
    <w:rsid w:val="00515A65"/>
    <w:pPr>
      <w:spacing w:before="240"/>
      <w:outlineLvl w:val="9"/>
    </w:pPr>
    <w:rPr>
      <w:noProof/>
      <w:sz w:val="24"/>
    </w:rPr>
  </w:style>
  <w:style w:type="paragraph" w:customStyle="1" w:styleId="MiniTOCItem">
    <w:name w:val="MiniTOCItem"/>
    <w:basedOn w:val="ListBullet"/>
    <w:rsid w:val="00515A65"/>
    <w:pPr>
      <w:numPr>
        <w:numId w:val="0"/>
      </w:numPr>
      <w:tabs>
        <w:tab w:val="right" w:leader="dot" w:pos="6521"/>
      </w:tabs>
      <w:spacing w:before="0" w:after="0"/>
    </w:pPr>
  </w:style>
  <w:style w:type="paragraph" w:customStyle="1" w:styleId="TOFTitle">
    <w:name w:val="TOFTitle"/>
    <w:basedOn w:val="TOCTitle"/>
    <w:rsid w:val="00515A65"/>
  </w:style>
  <w:style w:type="paragraph" w:styleId="TableofFigures">
    <w:name w:val="table of figures"/>
    <w:basedOn w:val="Normal"/>
    <w:next w:val="Normal"/>
    <w:semiHidden/>
    <w:rsid w:val="00515A65"/>
    <w:pPr>
      <w:tabs>
        <w:tab w:val="right" w:leader="dot" w:pos="9072"/>
      </w:tabs>
      <w:ind w:left="970" w:hanging="403"/>
    </w:pPr>
    <w:rPr>
      <w:rFonts w:ascii="Times New Roman" w:hAnsi="Times New Roman"/>
      <w:b/>
    </w:rPr>
  </w:style>
  <w:style w:type="paragraph" w:styleId="ListNumber">
    <w:name w:val="List Number"/>
    <w:basedOn w:val="List"/>
    <w:rsid w:val="00515A65"/>
    <w:pPr>
      <w:numPr>
        <w:numId w:val="9"/>
      </w:numPr>
    </w:pPr>
  </w:style>
  <w:style w:type="character" w:customStyle="1" w:styleId="WingdingSymbols">
    <w:name w:val="Wingding Symbols"/>
    <w:rsid w:val="00515A65"/>
    <w:rPr>
      <w:rFonts w:ascii="Wingdings" w:hAnsi="Wingdings"/>
    </w:rPr>
  </w:style>
  <w:style w:type="paragraph" w:customStyle="1" w:styleId="TableHeading">
    <w:name w:val="Table Heading"/>
    <w:basedOn w:val="HeadingBase"/>
    <w:rsid w:val="00515A65"/>
    <w:pPr>
      <w:keepLines/>
      <w:pBdr>
        <w:bottom w:val="single" w:sz="6" w:space="1" w:color="918585"/>
      </w:pBdr>
      <w:spacing w:before="240"/>
    </w:pPr>
  </w:style>
  <w:style w:type="character" w:customStyle="1" w:styleId="HotSpot">
    <w:name w:val="HotSpot"/>
    <w:rsid w:val="00515A65"/>
    <w:rPr>
      <w:color w:val="0033CC"/>
      <w:u w:val="none"/>
    </w:rPr>
  </w:style>
  <w:style w:type="paragraph" w:customStyle="1" w:styleId="BodyTextRight">
    <w:name w:val="Body Text Right"/>
    <w:basedOn w:val="BodyText"/>
    <w:rsid w:val="00515A65"/>
    <w:pPr>
      <w:spacing w:before="0" w:after="0"/>
      <w:jc w:val="right"/>
    </w:pPr>
  </w:style>
  <w:style w:type="paragraph" w:styleId="Index3">
    <w:name w:val="index 3"/>
    <w:basedOn w:val="ListNumber2"/>
    <w:next w:val="Normal"/>
    <w:semiHidden/>
    <w:rsid w:val="00515A65"/>
    <w:pPr>
      <w:numPr>
        <w:numId w:val="0"/>
      </w:numPr>
      <w:tabs>
        <w:tab w:val="right" w:leader="dot" w:pos="4176"/>
      </w:tabs>
    </w:pPr>
  </w:style>
  <w:style w:type="paragraph" w:styleId="ListNumber2">
    <w:name w:val="List Number 2"/>
    <w:basedOn w:val="List2"/>
    <w:rsid w:val="00515A65"/>
    <w:pPr>
      <w:numPr>
        <w:numId w:val="8"/>
      </w:numPr>
      <w:tabs>
        <w:tab w:val="clear" w:pos="1060"/>
      </w:tabs>
    </w:pPr>
  </w:style>
  <w:style w:type="paragraph" w:customStyle="1" w:styleId="MarginNote">
    <w:name w:val="Margin Note"/>
    <w:basedOn w:val="BodyText"/>
    <w:rsid w:val="00515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5A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A65"/>
    <w:rPr>
      <w:sz w:val="32"/>
    </w:rPr>
  </w:style>
  <w:style w:type="paragraph" w:customStyle="1" w:styleId="HeadingProcedure">
    <w:name w:val="Heading Procedure"/>
    <w:basedOn w:val="HeadingBase"/>
    <w:next w:val="Normal"/>
    <w:rsid w:val="00515A65"/>
    <w:pPr>
      <w:tabs>
        <w:tab w:val="left" w:pos="0"/>
      </w:tabs>
      <w:spacing w:before="120" w:after="60"/>
    </w:pPr>
    <w:rPr>
      <w:i/>
      <w:color w:val="918585"/>
      <w:sz w:val="22"/>
    </w:rPr>
  </w:style>
  <w:style w:type="paragraph" w:customStyle="1" w:styleId="TableBodyText">
    <w:name w:val="Table Body Text"/>
    <w:basedOn w:val="BodyText"/>
    <w:rsid w:val="00515A65"/>
    <w:pPr>
      <w:spacing w:before="60" w:after="60"/>
    </w:pPr>
  </w:style>
  <w:style w:type="paragraph" w:styleId="ListContinue">
    <w:name w:val="List Continue"/>
    <w:basedOn w:val="List"/>
    <w:rsid w:val="00515A65"/>
    <w:pPr>
      <w:ind w:firstLine="0"/>
    </w:pPr>
  </w:style>
  <w:style w:type="paragraph" w:customStyle="1" w:styleId="ListNote">
    <w:name w:val="List Note"/>
    <w:basedOn w:val="List"/>
    <w:rsid w:val="00515A65"/>
    <w:pPr>
      <w:pBdr>
        <w:top w:val="single" w:sz="6" w:space="2" w:color="918585"/>
        <w:bottom w:val="single" w:sz="6" w:space="2" w:color="918585"/>
      </w:pBdr>
      <w:tabs>
        <w:tab w:val="left" w:pos="1021"/>
      </w:tabs>
      <w:ind w:firstLine="0"/>
    </w:pPr>
  </w:style>
  <w:style w:type="paragraph" w:customStyle="1" w:styleId="Warning">
    <w:name w:val="Warning"/>
    <w:basedOn w:val="BodyText"/>
    <w:rsid w:val="00515A65"/>
    <w:pPr>
      <w:shd w:val="clear" w:color="auto" w:fill="D9D9D9"/>
      <w:tabs>
        <w:tab w:val="left" w:pos="992"/>
      </w:tabs>
      <w:ind w:left="119" w:right="119"/>
    </w:pPr>
    <w:rPr>
      <w:sz w:val="20"/>
    </w:rPr>
  </w:style>
  <w:style w:type="paragraph" w:customStyle="1" w:styleId="MarginIcons">
    <w:name w:val="Margin Icons"/>
    <w:basedOn w:val="BodyText"/>
    <w:rsid w:val="00515A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5A65"/>
    <w:rPr>
      <w:rFonts w:ascii="Courier New" w:hAnsi="Courier New"/>
    </w:rPr>
  </w:style>
  <w:style w:type="paragraph" w:customStyle="1" w:styleId="NoteBullet">
    <w:name w:val="Note Bullet"/>
    <w:basedOn w:val="Note"/>
    <w:rsid w:val="00515A65"/>
    <w:pPr>
      <w:tabs>
        <w:tab w:val="clear" w:pos="680"/>
      </w:tabs>
      <w:spacing w:before="60" w:after="60"/>
    </w:pPr>
  </w:style>
  <w:style w:type="paragraph" w:customStyle="1" w:styleId="SubHeading2">
    <w:name w:val="SubHeading2"/>
    <w:basedOn w:val="HeadingBase"/>
    <w:rsid w:val="00515A65"/>
    <w:pPr>
      <w:spacing w:before="240" w:after="60"/>
    </w:pPr>
    <w:rPr>
      <w:sz w:val="20"/>
    </w:rPr>
  </w:style>
  <w:style w:type="paragraph" w:customStyle="1" w:styleId="SubHeading1">
    <w:name w:val="SubHeading1"/>
    <w:basedOn w:val="HeadingBase"/>
    <w:rsid w:val="00515A65"/>
    <w:pPr>
      <w:spacing w:before="240" w:after="60"/>
    </w:pPr>
    <w:rPr>
      <w:color w:val="918585"/>
      <w:sz w:val="22"/>
    </w:rPr>
  </w:style>
  <w:style w:type="paragraph" w:customStyle="1" w:styleId="SideHeading">
    <w:name w:val="Side Heading"/>
    <w:basedOn w:val="HeadingBase"/>
    <w:rsid w:val="00515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A65"/>
    <w:pPr>
      <w:numPr>
        <w:numId w:val="10"/>
      </w:numPr>
    </w:pPr>
  </w:style>
  <w:style w:type="paragraph" w:styleId="PlainText">
    <w:name w:val="Plain Text"/>
    <w:basedOn w:val="Normal"/>
    <w:link w:val="PlainTextChar"/>
    <w:rsid w:val="00515A65"/>
    <w:rPr>
      <w:sz w:val="20"/>
    </w:rPr>
  </w:style>
  <w:style w:type="character" w:customStyle="1" w:styleId="PlainTextChar">
    <w:name w:val="Plain Text Char"/>
    <w:basedOn w:val="DefaultParagraphFont"/>
    <w:link w:val="PlainText"/>
    <w:rsid w:val="00515A65"/>
    <w:rPr>
      <w:rFonts w:ascii="Courier New" w:eastAsia="Times New Roman" w:hAnsi="Courier New" w:cs="Times New Roman"/>
      <w:sz w:val="20"/>
      <w:szCs w:val="20"/>
      <w:lang w:val="en-US" w:eastAsia="en-US"/>
    </w:rPr>
  </w:style>
  <w:style w:type="character" w:customStyle="1" w:styleId="MenuOption">
    <w:name w:val="Menu Option"/>
    <w:rsid w:val="00515A65"/>
    <w:rPr>
      <w:b/>
      <w:smallCaps/>
    </w:rPr>
  </w:style>
  <w:style w:type="paragraph" w:customStyle="1" w:styleId="TableListNumber">
    <w:name w:val="Table List Number"/>
    <w:basedOn w:val="ListNumber"/>
    <w:rsid w:val="00515A65"/>
    <w:pPr>
      <w:numPr>
        <w:numId w:val="0"/>
      </w:numPr>
    </w:pPr>
  </w:style>
  <w:style w:type="paragraph" w:styleId="TOC4">
    <w:name w:val="toc 4"/>
    <w:basedOn w:val="TOCBase"/>
    <w:next w:val="Normal"/>
    <w:semiHidden/>
    <w:rsid w:val="00515A65"/>
    <w:pPr>
      <w:tabs>
        <w:tab w:val="right" w:leader="dot" w:pos="9071"/>
      </w:tabs>
      <w:ind w:left="1701"/>
    </w:pPr>
  </w:style>
  <w:style w:type="paragraph" w:customStyle="1" w:styleId="ListAlpha">
    <w:name w:val="List Alpha"/>
    <w:basedOn w:val="List"/>
    <w:rsid w:val="00515A65"/>
    <w:pPr>
      <w:numPr>
        <w:numId w:val="7"/>
      </w:numPr>
    </w:pPr>
  </w:style>
  <w:style w:type="paragraph" w:customStyle="1" w:styleId="ListAlpha2">
    <w:name w:val="List Alpha 2"/>
    <w:basedOn w:val="List2"/>
    <w:rsid w:val="00515A65"/>
    <w:pPr>
      <w:numPr>
        <w:numId w:val="6"/>
      </w:numPr>
    </w:pPr>
  </w:style>
  <w:style w:type="paragraph" w:styleId="List2">
    <w:name w:val="List 2"/>
    <w:basedOn w:val="BodyText"/>
    <w:rsid w:val="00515A65"/>
    <w:pPr>
      <w:tabs>
        <w:tab w:val="left" w:pos="680"/>
      </w:tabs>
      <w:spacing w:before="60" w:after="60"/>
      <w:ind w:left="680" w:hanging="340"/>
    </w:pPr>
  </w:style>
  <w:style w:type="paragraph" w:styleId="List3">
    <w:name w:val="List 3"/>
    <w:basedOn w:val="BodyText"/>
    <w:rsid w:val="00515A65"/>
    <w:pPr>
      <w:tabs>
        <w:tab w:val="left" w:pos="1021"/>
      </w:tabs>
      <w:spacing w:before="60" w:after="60"/>
      <w:ind w:left="1020" w:hanging="340"/>
    </w:pPr>
  </w:style>
  <w:style w:type="paragraph" w:styleId="List4">
    <w:name w:val="List 4"/>
    <w:basedOn w:val="BodyText"/>
    <w:rsid w:val="00515A65"/>
    <w:pPr>
      <w:tabs>
        <w:tab w:val="left" w:pos="1361"/>
      </w:tabs>
      <w:spacing w:before="60" w:after="60"/>
      <w:ind w:left="1361" w:hanging="340"/>
    </w:pPr>
  </w:style>
  <w:style w:type="paragraph" w:styleId="List5">
    <w:name w:val="List 5"/>
    <w:basedOn w:val="BodyText"/>
    <w:rsid w:val="00515A65"/>
    <w:pPr>
      <w:tabs>
        <w:tab w:val="left" w:pos="1701"/>
      </w:tabs>
      <w:spacing w:before="60" w:after="60"/>
      <w:ind w:left="1701" w:hanging="340"/>
    </w:pPr>
  </w:style>
  <w:style w:type="paragraph" w:styleId="ListBullet3">
    <w:name w:val="List Bullet 3"/>
    <w:basedOn w:val="List3"/>
    <w:rsid w:val="00515A65"/>
    <w:pPr>
      <w:numPr>
        <w:numId w:val="13"/>
      </w:numPr>
      <w:tabs>
        <w:tab w:val="clear" w:pos="1021"/>
      </w:tabs>
      <w:ind w:left="1037" w:hanging="357"/>
    </w:pPr>
  </w:style>
  <w:style w:type="paragraph" w:styleId="ListBullet4">
    <w:name w:val="List Bullet 4"/>
    <w:basedOn w:val="List4"/>
    <w:rsid w:val="00515A65"/>
    <w:pPr>
      <w:numPr>
        <w:numId w:val="1"/>
      </w:numPr>
    </w:pPr>
  </w:style>
  <w:style w:type="paragraph" w:styleId="ListBullet5">
    <w:name w:val="List Bullet 5"/>
    <w:basedOn w:val="List5"/>
    <w:rsid w:val="00515A65"/>
    <w:pPr>
      <w:numPr>
        <w:numId w:val="2"/>
      </w:numPr>
    </w:pPr>
  </w:style>
  <w:style w:type="paragraph" w:styleId="ListContinue2">
    <w:name w:val="List Continue 2"/>
    <w:basedOn w:val="List2"/>
    <w:rsid w:val="00515A65"/>
    <w:pPr>
      <w:ind w:firstLine="0"/>
    </w:pPr>
  </w:style>
  <w:style w:type="paragraph" w:styleId="ListContinue3">
    <w:name w:val="List Continue 3"/>
    <w:basedOn w:val="List3"/>
    <w:rsid w:val="00515A65"/>
    <w:pPr>
      <w:ind w:left="1021" w:firstLine="0"/>
    </w:pPr>
  </w:style>
  <w:style w:type="paragraph" w:styleId="ListContinue4">
    <w:name w:val="List Continue 4"/>
    <w:basedOn w:val="List4"/>
    <w:rsid w:val="00515A65"/>
    <w:pPr>
      <w:ind w:firstLine="0"/>
    </w:pPr>
  </w:style>
  <w:style w:type="paragraph" w:styleId="ListContinue5">
    <w:name w:val="List Continue 5"/>
    <w:basedOn w:val="List5"/>
    <w:rsid w:val="00515A65"/>
    <w:pPr>
      <w:ind w:firstLine="0"/>
    </w:pPr>
  </w:style>
  <w:style w:type="paragraph" w:styleId="ListNumber3">
    <w:name w:val="List Number 3"/>
    <w:basedOn w:val="List3"/>
    <w:rsid w:val="00515A65"/>
    <w:pPr>
      <w:numPr>
        <w:numId w:val="3"/>
      </w:numPr>
    </w:pPr>
  </w:style>
  <w:style w:type="paragraph" w:styleId="ListNumber4">
    <w:name w:val="List Number 4"/>
    <w:basedOn w:val="List4"/>
    <w:rsid w:val="00515A65"/>
    <w:pPr>
      <w:numPr>
        <w:numId w:val="4"/>
      </w:numPr>
    </w:pPr>
  </w:style>
  <w:style w:type="paragraph" w:styleId="ListNumber5">
    <w:name w:val="List Number 5"/>
    <w:basedOn w:val="List5"/>
    <w:rsid w:val="00515A65"/>
    <w:pPr>
      <w:numPr>
        <w:numId w:val="5"/>
      </w:numPr>
    </w:pPr>
  </w:style>
  <w:style w:type="paragraph" w:styleId="BlockText">
    <w:name w:val="Block Text"/>
    <w:basedOn w:val="Normal"/>
    <w:rsid w:val="00515A65"/>
    <w:pPr>
      <w:spacing w:after="120"/>
      <w:ind w:left="1440" w:right="1440"/>
    </w:pPr>
  </w:style>
  <w:style w:type="character" w:customStyle="1" w:styleId="Subscript">
    <w:name w:val="Subscript"/>
    <w:rsid w:val="00515A65"/>
    <w:rPr>
      <w:sz w:val="16"/>
      <w:vertAlign w:val="subscript"/>
    </w:rPr>
  </w:style>
  <w:style w:type="character" w:customStyle="1" w:styleId="Superscript">
    <w:name w:val="Superscript"/>
    <w:rsid w:val="00515A65"/>
    <w:rPr>
      <w:sz w:val="16"/>
      <w:vertAlign w:val="superscript"/>
    </w:rPr>
  </w:style>
  <w:style w:type="character" w:customStyle="1" w:styleId="Symbols">
    <w:name w:val="Symbols"/>
    <w:rsid w:val="00515A65"/>
    <w:rPr>
      <w:rFonts w:ascii="Symbol" w:hAnsi="Symbol"/>
    </w:rPr>
  </w:style>
  <w:style w:type="character" w:customStyle="1" w:styleId="MenuOptions">
    <w:name w:val="Menu Options"/>
    <w:rsid w:val="00515A65"/>
    <w:rPr>
      <w:rFonts w:ascii="Arial Narrow" w:hAnsi="Arial Narrow"/>
      <w:smallCaps/>
    </w:rPr>
  </w:style>
  <w:style w:type="character" w:customStyle="1" w:styleId="Buttons">
    <w:name w:val="Buttons"/>
    <w:rsid w:val="00515A65"/>
    <w:rPr>
      <w:b/>
    </w:rPr>
  </w:style>
  <w:style w:type="character" w:customStyle="1" w:styleId="Underlined">
    <w:name w:val="Underlined"/>
    <w:rsid w:val="00515A65"/>
    <w:rPr>
      <w:u w:val="single"/>
    </w:rPr>
  </w:style>
  <w:style w:type="paragraph" w:customStyle="1" w:styleId="TableBodyTextRight">
    <w:name w:val="Table Body Text Right"/>
    <w:basedOn w:val="TableBodyText"/>
    <w:rsid w:val="00515A65"/>
    <w:pPr>
      <w:widowControl w:val="0"/>
      <w:autoSpaceDE w:val="0"/>
      <w:autoSpaceDN w:val="0"/>
      <w:adjustRightInd w:val="0"/>
      <w:jc w:val="right"/>
    </w:pPr>
    <w:rPr>
      <w:rFonts w:cs="Arial"/>
      <w:szCs w:val="18"/>
    </w:rPr>
  </w:style>
  <w:style w:type="paragraph" w:customStyle="1" w:styleId="CopyrightText">
    <w:name w:val="Copyright Text"/>
    <w:basedOn w:val="BodyText"/>
    <w:rsid w:val="00515A65"/>
    <w:rPr>
      <w:sz w:val="18"/>
    </w:rPr>
  </w:style>
  <w:style w:type="paragraph" w:customStyle="1" w:styleId="BodySmallRight">
    <w:name w:val="Body Small Right"/>
    <w:basedOn w:val="BodyTextRight"/>
    <w:rsid w:val="00515A65"/>
    <w:rPr>
      <w:sz w:val="18"/>
      <w:szCs w:val="18"/>
    </w:rPr>
  </w:style>
  <w:style w:type="paragraph" w:customStyle="1" w:styleId="MarginEdition">
    <w:name w:val="Margin Edition"/>
    <w:basedOn w:val="MarginNote"/>
    <w:rsid w:val="00515A65"/>
    <w:pPr>
      <w:spacing w:before="0" w:after="0"/>
    </w:pPr>
    <w:rPr>
      <w:rFonts w:ascii="Times New Roman" w:hAnsi="Times New Roman"/>
      <w:color w:val="999999"/>
    </w:rPr>
  </w:style>
  <w:style w:type="paragraph" w:customStyle="1" w:styleId="Spacer">
    <w:name w:val="Spacer"/>
    <w:basedOn w:val="Normal"/>
    <w:rsid w:val="00515A65"/>
    <w:rPr>
      <w:sz w:val="2"/>
      <w:szCs w:val="2"/>
    </w:rPr>
  </w:style>
  <w:style w:type="character" w:customStyle="1" w:styleId="Small">
    <w:name w:val="Small"/>
    <w:rsid w:val="00515A65"/>
    <w:rPr>
      <w:sz w:val="16"/>
    </w:rPr>
  </w:style>
  <w:style w:type="paragraph" w:customStyle="1" w:styleId="WideTable">
    <w:name w:val="Wide Table"/>
    <w:basedOn w:val="Normal"/>
    <w:rsid w:val="00515A65"/>
    <w:pPr>
      <w:ind w:left="-1418"/>
    </w:pPr>
    <w:rPr>
      <w:sz w:val="2"/>
      <w:szCs w:val="2"/>
    </w:rPr>
  </w:style>
  <w:style w:type="character" w:styleId="PageNumber">
    <w:name w:val="page number"/>
    <w:rsid w:val="00515A65"/>
  </w:style>
  <w:style w:type="paragraph" w:styleId="Quote">
    <w:name w:val="Quote"/>
    <w:basedOn w:val="Heading1"/>
    <w:link w:val="QuoteChar"/>
    <w:qFormat/>
    <w:rsid w:val="00515A65"/>
    <w:rPr>
      <w:b w:val="0"/>
      <w:sz w:val="72"/>
      <w:szCs w:val="72"/>
      <w:lang w:val="en-NZ"/>
    </w:rPr>
  </w:style>
  <w:style w:type="character" w:customStyle="1" w:styleId="QuoteChar">
    <w:name w:val="Quote Char"/>
    <w:link w:val="Quote"/>
    <w:rsid w:val="00515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A65"/>
    <w:pPr>
      <w:pageBreakBefore/>
    </w:pPr>
  </w:style>
  <w:style w:type="paragraph" w:customStyle="1" w:styleId="Border">
    <w:name w:val="Border"/>
    <w:basedOn w:val="Normal"/>
    <w:qFormat/>
    <w:rsid w:val="00515A65"/>
    <w:pPr>
      <w:pBdr>
        <w:top w:val="single" w:sz="18" w:space="1" w:color="auto"/>
      </w:pBdr>
    </w:pPr>
    <w:rPr>
      <w:rFonts w:ascii="Times New Roman" w:hAnsi="Times New Roman"/>
      <w:color w:val="FFFFFF"/>
      <w:sz w:val="2"/>
    </w:rPr>
  </w:style>
  <w:style w:type="character" w:styleId="IntenseEmphasis">
    <w:name w:val="Intense Emphasis"/>
    <w:uiPriority w:val="21"/>
    <w:qFormat/>
    <w:rsid w:val="00515A65"/>
    <w:rPr>
      <w:b/>
      <w:bCs/>
      <w:i/>
      <w:iCs/>
      <w:color w:val="auto"/>
    </w:rPr>
  </w:style>
  <w:style w:type="paragraph" w:styleId="IntenseQuote">
    <w:name w:val="Intense Quote"/>
    <w:basedOn w:val="Normal"/>
    <w:next w:val="Normal"/>
    <w:link w:val="IntenseQuoteChar"/>
    <w:uiPriority w:val="30"/>
    <w:qFormat/>
    <w:rsid w:val="00515A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5A65"/>
    <w:rPr>
      <w:rFonts w:ascii="Courier New" w:eastAsia="Times New Roman" w:hAnsi="Courier New" w:cs="Times New Roman"/>
      <w:b/>
      <w:bCs/>
      <w:i/>
      <w:iCs/>
      <w:szCs w:val="20"/>
      <w:lang w:val="en-US" w:eastAsia="en-US"/>
    </w:rPr>
  </w:style>
  <w:style w:type="character" w:styleId="SubtleReference">
    <w:name w:val="Subtle Reference"/>
    <w:uiPriority w:val="31"/>
    <w:qFormat/>
    <w:rsid w:val="00515A65"/>
    <w:rPr>
      <w:smallCaps/>
      <w:color w:val="auto"/>
      <w:u w:val="single"/>
    </w:rPr>
  </w:style>
  <w:style w:type="character" w:styleId="IntenseReference">
    <w:name w:val="Intense Reference"/>
    <w:uiPriority w:val="32"/>
    <w:qFormat/>
    <w:rsid w:val="00515A65"/>
    <w:rPr>
      <w:b/>
      <w:bCs/>
      <w:smallCaps/>
      <w:color w:val="auto"/>
      <w:spacing w:val="5"/>
      <w:u w:val="single"/>
    </w:rPr>
  </w:style>
  <w:style w:type="paragraph" w:customStyle="1" w:styleId="2ColumnHeading">
    <w:name w:val="2Column Heading"/>
    <w:basedOn w:val="BodyText"/>
    <w:qFormat/>
    <w:rsid w:val="00515A65"/>
    <w:pPr>
      <w:spacing w:after="60"/>
      <w:ind w:left="-2268"/>
    </w:pPr>
    <w:rPr>
      <w:b/>
    </w:rPr>
  </w:style>
  <w:style w:type="paragraph" w:customStyle="1" w:styleId="Heading1TOC">
    <w:name w:val="Heading1 TOC"/>
    <w:basedOn w:val="Normal"/>
    <w:qFormat/>
    <w:rsid w:val="00515A65"/>
    <w:pPr>
      <w:spacing w:before="240" w:after="120"/>
    </w:pPr>
    <w:rPr>
      <w:rFonts w:ascii="Times New Roman" w:hAnsi="Times New Roman"/>
      <w:b/>
      <w:sz w:val="32"/>
    </w:rPr>
  </w:style>
  <w:style w:type="paragraph" w:customStyle="1" w:styleId="Heading2TOC">
    <w:name w:val="Heading2 TOC"/>
    <w:basedOn w:val="Normal"/>
    <w:qFormat/>
    <w:rsid w:val="00515A65"/>
    <w:pPr>
      <w:spacing w:before="240" w:after="60"/>
    </w:pPr>
    <w:rPr>
      <w:rFonts w:ascii="Times New Roman" w:hAnsi="Times New Roman"/>
      <w:b/>
      <w:sz w:val="28"/>
    </w:rPr>
  </w:style>
  <w:style w:type="character" w:customStyle="1" w:styleId="Underline">
    <w:name w:val="Underline"/>
    <w:qFormat/>
    <w:rsid w:val="00515A65"/>
    <w:rPr>
      <w:u w:val="single"/>
    </w:rPr>
  </w:style>
  <w:style w:type="character" w:customStyle="1" w:styleId="BoldandItalics">
    <w:name w:val="Bold and Italics"/>
    <w:qFormat/>
    <w:rsid w:val="00515A65"/>
    <w:rPr>
      <w:b/>
      <w:i/>
      <w:u w:val="none"/>
    </w:rPr>
  </w:style>
  <w:style w:type="paragraph" w:styleId="BalloonText">
    <w:name w:val="Balloon Text"/>
    <w:basedOn w:val="Normal"/>
    <w:link w:val="BalloonTextChar"/>
    <w:rsid w:val="00515A65"/>
    <w:rPr>
      <w:rFonts w:ascii="Tahoma" w:hAnsi="Tahoma" w:cs="Tahoma"/>
      <w:sz w:val="16"/>
      <w:szCs w:val="16"/>
    </w:rPr>
  </w:style>
  <w:style w:type="character" w:customStyle="1" w:styleId="BalloonTextChar">
    <w:name w:val="Balloon Text Char"/>
    <w:link w:val="BalloonText"/>
    <w:rsid w:val="00515A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A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5A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6346</Characters>
  <Application>Microsoft Office Word</Application>
  <DocSecurity>0</DocSecurity>
  <Lines>258</Lines>
  <Paragraphs>148</Paragraphs>
  <ScaleCrop>false</ScaleCrop>
  <Company>Author-it Software Corporation Ltd.</Company>
  <LinksUpToDate>false</LinksUpToDate>
  <CharactersWithSpaces>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BSBATSIM406B Manage assets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2012-05-26T03:46:00Z</dcterms:created>
  <dcterms:modified xsi:type="dcterms:W3CDTF">2012-05-26T03:46:00Z</dcterms:modified>
</cp:coreProperties>
</file>