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DF2" w:rsidP="00333DF2">
      <w:pPr>
        <w:pStyle w:val="Title"/>
      </w:pPr>
      <w:r>
        <w:fldChar w:fldCharType="begin"/>
      </w:r>
      <w:r>
        <w:instrText xml:space="preserve"> TITLE   \* MERGEFORMAT </w:instrText>
      </w:r>
      <w:r>
        <w:fldChar w:fldCharType="separate"/>
      </w:r>
      <w:r>
        <w:t>BSBATSIL402B Use the constitution</w:t>
      </w:r>
      <w:r>
        <w:fldChar w:fldCharType="end"/>
      </w:r>
    </w:p>
    <w:p w:rsidR="00333DF2" w:rsidP="00333DF2">
      <w:pPr>
        <w:pStyle w:val="Version"/>
        <w:sectPr w:rsidSect="008A2E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EC1" w:rsidP="008A2EC1">
      <w:pPr>
        <w:pStyle w:val="SuperHeading"/>
      </w:pPr>
      <w:r w:rsidRPr="008A2EC1">
        <w:t>BSBATSIL402B Use the constitution</w:t>
      </w:r>
    </w:p>
    <w:p w:rsidR="00000000" w:rsidRPr="008A2EC1" w:rsidP="008A2EC1">
      <w:pPr>
        <w:pStyle w:val="Heading1"/>
      </w:pPr>
      <w:bookmarkStart w:id="1" w:name="O_312763"/>
      <w:bookmarkEnd w:id="1"/>
      <w:r w:rsidRPr="008A2EC1">
        <w:t>Modification History</w:t>
      </w:r>
    </w:p>
    <w:p w:rsidR="00000000" w:rsidRPr="008A2EC1" w:rsidP="008A2EC1">
      <w:pPr>
        <w:pStyle w:val="Heading1"/>
      </w:pPr>
      <w:bookmarkStart w:id="2" w:name="O_312762"/>
      <w:bookmarkEnd w:id="2"/>
      <w:r w:rsidRPr="008A2EC1">
        <w:t>Unit Descriptor</w:t>
      </w:r>
    </w:p>
    <w:p w:rsidR="00000000" w:rsidRPr="008A2EC1" w:rsidP="008A2EC1">
      <w:pPr>
        <w:pStyle w:val="BodyText"/>
      </w:pPr>
      <w:r w:rsidRPr="008A2EC1">
        <w:t>This unit covers ensuring that the organisations constitution is relevant and legal, that it is understood, and that it meets changing needs.</w:t>
      </w:r>
    </w:p>
    <w:p w:rsidR="00000000" w:rsidRPr="008A2EC1" w:rsidP="008A2EC1">
      <w:pPr>
        <w:pStyle w:val="BodyText"/>
      </w:pPr>
      <w:r w:rsidRPr="008A2EC1">
        <w:t>Some as</w:t>
      </w:r>
      <w:r w:rsidRPr="008A2EC1">
        <w:t>pects of governance activities may be subject to legislation, rules, regulations and/or codes of practice relevant to different job roles and jurisdictions.</w:t>
      </w:r>
    </w:p>
    <w:p w:rsidR="00000000" w:rsidRPr="008A2EC1" w:rsidP="008A2EC1">
      <w:pPr>
        <w:pStyle w:val="BodyText"/>
      </w:pPr>
      <w:r w:rsidRPr="008A2EC1">
        <w:t>This unit covers ensuring that the organisations constitution is relevant and legal, that it is und</w:t>
      </w:r>
      <w:r w:rsidRPr="008A2EC1">
        <w:t>erstood, and that it meets changing needs.</w:t>
      </w:r>
    </w:p>
    <w:p w:rsidR="00000000" w:rsidRPr="008A2EC1" w:rsidP="008A2EC1">
      <w:pPr>
        <w:pStyle w:val="BodyText"/>
      </w:pPr>
      <w:r w:rsidRPr="008A2EC1">
        <w:t>Some aspects of governance activities may be subject to legislation, rules, regulations and/or codes of practice relevant to different job roles and jurisdictions.</w:t>
      </w:r>
    </w:p>
    <w:p w:rsidR="00000000" w:rsidRPr="008A2EC1" w:rsidP="008A2EC1">
      <w:pPr>
        <w:pStyle w:val="AllowPageBreak"/>
      </w:pPr>
    </w:p>
    <w:p w:rsidR="00000000" w:rsidRPr="008A2EC1" w:rsidP="008A2EC1">
      <w:pPr>
        <w:pStyle w:val="Heading1"/>
      </w:pPr>
      <w:bookmarkStart w:id="3" w:name="O_312761"/>
      <w:bookmarkEnd w:id="3"/>
      <w:r w:rsidRPr="008A2EC1">
        <w:t>Application of the Unit</w:t>
      </w:r>
    </w:p>
    <w:p w:rsidR="00000000" w:rsidRPr="008A2EC1" w:rsidP="008A2EC1">
      <w:pPr>
        <w:pStyle w:val="BodyText"/>
      </w:pPr>
      <w:r w:rsidRPr="008A2EC1">
        <w:t>This uni</w:t>
      </w:r>
      <w:r w:rsidRPr="008A2EC1">
        <w:t>t applies to individuals with a broad knowledge of the business or core functions of organisations who contribute their skills and knowledge to monitoring and guiding the activities of organisations in the Indigenous community.</w:t>
      </w:r>
    </w:p>
    <w:p w:rsidR="00000000" w:rsidRPr="008A2EC1" w:rsidP="008A2EC1">
      <w:pPr>
        <w:pStyle w:val="BodyText"/>
      </w:pPr>
      <w:r w:rsidRPr="008A2EC1">
        <w:t xml:space="preserve">Indigenous community boards </w:t>
      </w:r>
      <w:r w:rsidRPr="008A2EC1">
        <w:t>are upholders of traditional and cultural values.</w:t>
      </w:r>
    </w:p>
    <w:p w:rsidR="00000000" w:rsidRPr="008A2EC1" w:rsidP="008A2EC1">
      <w:pPr>
        <w:pStyle w:val="BodyText"/>
      </w:pPr>
      <w:r w:rsidRPr="008A2EC1">
        <w:t>This unit applies to individuals with a broad knowledge of the business or core functions of organisations who contribute their skills and knowledge to monitoring and guiding the activities of organisations</w:t>
      </w:r>
      <w:r w:rsidRPr="008A2EC1">
        <w:t xml:space="preserve"> in the Indigenous community.</w:t>
      </w:r>
    </w:p>
    <w:p w:rsidR="00000000" w:rsidRPr="008A2EC1" w:rsidP="008A2EC1">
      <w:pPr>
        <w:pStyle w:val="BodyText"/>
      </w:pPr>
      <w:r w:rsidRPr="008A2EC1">
        <w:t>Indigenous community boards are upholders of traditional and cultural values.</w:t>
      </w:r>
    </w:p>
    <w:p w:rsidR="00000000" w:rsidRPr="008A2EC1" w:rsidP="008A2EC1">
      <w:pPr>
        <w:pStyle w:val="AllowPageBreak"/>
      </w:pPr>
    </w:p>
    <w:p w:rsidR="00000000" w:rsidRPr="008A2EC1" w:rsidP="008A2EC1">
      <w:pPr>
        <w:pStyle w:val="Heading1"/>
      </w:pPr>
      <w:bookmarkStart w:id="4" w:name="O_312760"/>
      <w:bookmarkEnd w:id="4"/>
      <w:r w:rsidRPr="008A2EC1">
        <w:t>Licensing/Regulatory Information</w:t>
      </w:r>
    </w:p>
    <w:p w:rsidR="00000000" w:rsidRPr="008A2EC1" w:rsidP="008A2EC1">
      <w:pPr>
        <w:pStyle w:val="Heading1"/>
      </w:pPr>
      <w:bookmarkStart w:id="5" w:name="O_312759"/>
      <w:bookmarkEnd w:id="5"/>
      <w:r w:rsidRPr="008A2EC1">
        <w:t>Pre-Requisites</w:t>
      </w:r>
    </w:p>
    <w:p w:rsidR="00000000" w:rsidRPr="008A2EC1" w:rsidP="008A2EC1">
      <w:pPr>
        <w:pStyle w:val="Heading1"/>
      </w:pPr>
      <w:bookmarkStart w:id="6" w:name="O_312752"/>
      <w:bookmarkEnd w:id="6"/>
      <w:r w:rsidRPr="008A2EC1">
        <w:t>Employability Skills Information</w:t>
      </w:r>
    </w:p>
    <w:p w:rsidR="00000000" w:rsidRPr="008A2EC1" w:rsidP="008A2EC1">
      <w:pPr>
        <w:pStyle w:val="BodyText"/>
      </w:pPr>
      <w:r w:rsidRPr="008A2EC1">
        <w:t>This unit contains employability skills.</w:t>
      </w:r>
    </w:p>
    <w:p w:rsidR="00000000" w:rsidRPr="008A2EC1" w:rsidP="008A2EC1">
      <w:pPr>
        <w:pStyle w:val="BodyText"/>
      </w:pPr>
      <w:r w:rsidRPr="008A2EC1">
        <w:t>This unit contains employability skills.</w:t>
      </w:r>
    </w:p>
    <w:p w:rsidR="00000000" w:rsidRPr="008A2EC1" w:rsidP="008A2EC1">
      <w:pPr>
        <w:pStyle w:val="AllowPageBreak"/>
      </w:pPr>
    </w:p>
    <w:p w:rsidR="00000000" w:rsidRPr="008A2EC1" w:rsidP="008A2EC1">
      <w:pPr>
        <w:pStyle w:val="Heading1"/>
      </w:pPr>
      <w:bookmarkStart w:id="7" w:name="O_312758"/>
      <w:bookmarkEnd w:id="7"/>
      <w:r w:rsidRPr="008A2EC1">
        <w:t>Elements and Performance Criteria Pre-Content</w:t>
      </w:r>
    </w:p>
    <w:p w:rsidR="00000000" w:rsidRPr="008A2EC1" w:rsidP="008A2EC1">
      <w:pPr>
        <w:pStyle w:val="BodyText"/>
      </w:pPr>
      <w:r w:rsidRPr="008A2EC1">
        <w:t>Elements describe the essential outcomes of a unit of competency.</w:t>
      </w:r>
    </w:p>
    <w:p w:rsidR="00000000" w:rsidRPr="008A2EC1" w:rsidP="008A2EC1">
      <w:pPr>
        <w:pStyle w:val="BodyText"/>
      </w:pPr>
      <w:r w:rsidRPr="008A2EC1">
        <w:t>Performance criteria describe the performance</w:t>
      </w:r>
      <w:r w:rsidRPr="008A2EC1">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8A2EC1">
        <w:t>de.</w:t>
      </w:r>
    </w:p>
    <w:p w:rsidR="00000000" w:rsidRPr="008A2EC1" w:rsidP="008A2EC1">
      <w:pPr>
        <w:pStyle w:val="BodyText"/>
      </w:pPr>
      <w:r w:rsidRPr="008A2EC1">
        <w:t>Elements describe the essential outcomes of a unit of competency.</w:t>
      </w:r>
    </w:p>
    <w:p w:rsidR="00000000" w:rsidRPr="008A2EC1" w:rsidP="008A2EC1">
      <w:pPr>
        <w:pStyle w:val="BodyText"/>
      </w:pPr>
      <w:r w:rsidRPr="008A2EC1">
        <w:t>Performance criteria describe the performance needed to demonstrate achievement of the element. Where bold italicised text is used, further information is detailed in the required skills</w:t>
      </w:r>
      <w:r w:rsidRPr="008A2EC1">
        <w:t xml:space="preserve"> and knowledge section and the range statement. Assessment of performance is to be consistent with the evidence guide.</w:t>
      </w:r>
    </w:p>
    <w:p w:rsidR="00000000" w:rsidRPr="008A2EC1" w:rsidP="008A2EC1">
      <w:pPr>
        <w:pStyle w:val="AllowPageBreak"/>
      </w:pPr>
    </w:p>
    <w:p w:rsidR="00000000" w:rsidRPr="008A2EC1" w:rsidP="008A2EC1">
      <w:pPr>
        <w:pStyle w:val="Heading1"/>
      </w:pPr>
      <w:bookmarkStart w:id="8" w:name="O_312764"/>
      <w:bookmarkEnd w:id="8"/>
      <w:r w:rsidRPr="008A2EC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33DF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Elements and Performance Criteria</w:t>
            </w:r>
          </w:p>
        </w:tc>
      </w:tr>
      <w:tr w:rsidTr="00333DF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Performance Criteria</w:t>
            </w:r>
          </w:p>
        </w:tc>
      </w:tr>
      <w:tr w:rsidTr="00333DF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1</w:t>
            </w:r>
          </w:p>
        </w:tc>
        <w:tc>
          <w:tcPr>
            <w:tcW w:w="3000" w:type="dxa"/>
            <w:vMerge w:val="restart"/>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Understand the constitution</w:t>
            </w: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1.1</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Explain key clauses to community members</w:t>
            </w:r>
          </w:p>
        </w:tc>
      </w:tr>
      <w:tr w:rsidTr="00333DF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1.2</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 xml:space="preserve">Seek clarification of clauses from </w:t>
            </w:r>
            <w:r w:rsidRPr="008A2EC1">
              <w:rPr>
                <w:rStyle w:val="SpecialBold"/>
              </w:rPr>
              <w:t>experts</w:t>
            </w:r>
          </w:p>
        </w:tc>
      </w:tr>
      <w:tr w:rsidTr="00333DF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1.3</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Identify and document areas of the organisation not covered by the constitution</w:t>
            </w:r>
          </w:p>
        </w:tc>
      </w:tr>
      <w:tr w:rsidTr="00333DF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2</w:t>
            </w:r>
          </w:p>
        </w:tc>
        <w:tc>
          <w:tcPr>
            <w:tcW w:w="3000" w:type="dxa"/>
            <w:vMerge w:val="restart"/>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Ensure constitution is legal</w:t>
            </w: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2.1</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Check the constitution to ensure it is consistent with relevant law</w:t>
            </w:r>
          </w:p>
        </w:tc>
      </w:tr>
      <w:tr w:rsidTr="00333DF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2.2</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Check the constitution to ensure it is consistent with Traditional law</w:t>
            </w:r>
          </w:p>
        </w:tc>
      </w:tr>
      <w:tr w:rsidTr="00333DF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3</w:t>
            </w:r>
          </w:p>
        </w:tc>
        <w:tc>
          <w:tcPr>
            <w:tcW w:w="3000" w:type="dxa"/>
            <w:vMerge w:val="restart"/>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Apply constitution</w:t>
            </w: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3.1</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 xml:space="preserve">Follow </w:t>
            </w:r>
            <w:r w:rsidRPr="008A2EC1">
              <w:rPr>
                <w:rStyle w:val="SpecialBold"/>
              </w:rPr>
              <w:t>constitutional provisions</w:t>
            </w:r>
          </w:p>
        </w:tc>
      </w:tr>
      <w:tr w:rsidTr="00333DF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3.2</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 xml:space="preserve">Check </w:t>
            </w:r>
            <w:r w:rsidRPr="008A2EC1">
              <w:rPr>
                <w:rStyle w:val="SpecialBold"/>
              </w:rPr>
              <w:t xml:space="preserve">policy and programs </w:t>
            </w:r>
            <w:r w:rsidRPr="008A2EC1">
              <w:t>to ensure they</w:t>
            </w:r>
            <w:r w:rsidRPr="008A2EC1">
              <w:t xml:space="preserve"> conform to the constitution</w:t>
            </w:r>
          </w:p>
        </w:tc>
      </w:tr>
      <w:tr w:rsidTr="00333DF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4</w:t>
            </w:r>
          </w:p>
        </w:tc>
        <w:tc>
          <w:tcPr>
            <w:tcW w:w="3000" w:type="dxa"/>
            <w:vMerge w:val="restart"/>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Amend the constitution</w:t>
            </w: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4.1</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Workshop suggested changes with the members</w:t>
            </w:r>
          </w:p>
        </w:tc>
      </w:tr>
      <w:tr w:rsidTr="00333DF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4.2</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Reach a clear decision as to amendments</w:t>
            </w:r>
          </w:p>
        </w:tc>
      </w:tr>
      <w:tr w:rsidTr="00333DF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4.3</w:t>
            </w:r>
          </w:p>
        </w:tc>
        <w:tc>
          <w:tcPr>
            <w:tcW w:w="51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Use relevant procedures to make the required changes</w:t>
            </w:r>
          </w:p>
        </w:tc>
      </w:tr>
      <w:tr w:rsidTr="00333DF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4.4</w:t>
            </w:r>
          </w:p>
        </w:tc>
        <w:tc>
          <w:tcPr>
            <w:tcW w:w="51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Ensure formal documentation of changes are made</w:t>
            </w:r>
          </w:p>
        </w:tc>
      </w:tr>
    </w:tbl>
    <w:p w:rsidR="00000000" w:rsidRPr="008A2EC1" w:rsidP="008A2EC1">
      <w:pPr>
        <w:pStyle w:val="BodyText"/>
      </w:pPr>
    </w:p>
    <w:p w:rsidR="00000000" w:rsidRPr="008A2EC1" w:rsidP="008A2EC1">
      <w:pPr>
        <w:pStyle w:val="AllowPageBreak"/>
      </w:pPr>
    </w:p>
    <w:p w:rsidR="00000000" w:rsidRPr="008A2EC1" w:rsidP="008A2EC1">
      <w:pPr>
        <w:pStyle w:val="Heading1"/>
      </w:pPr>
      <w:bookmarkStart w:id="9" w:name="O_312757"/>
      <w:bookmarkEnd w:id="9"/>
      <w:r w:rsidRPr="008A2EC1">
        <w:t>Required Skills and Knowledge</w:t>
      </w:r>
    </w:p>
    <w:tbl>
      <w:tblPr>
        <w:tblW w:w="0" w:type="auto"/>
        <w:tblLayout w:type="fixed"/>
        <w:tblCellMar>
          <w:left w:w="62" w:type="dxa"/>
          <w:right w:w="62" w:type="dxa"/>
        </w:tblCellMar>
        <w:tblLook w:val="0000"/>
      </w:tblPr>
      <w:tblGrid>
        <w:gridCol w:w="9000"/>
      </w:tblGrid>
      <w:tr w:rsidTr="00333DF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p>
        </w:tc>
      </w:tr>
      <w:tr w:rsidTr="00333DF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 xml:space="preserve">This section describes the skills and knowledge required for this unit. </w:t>
            </w:r>
          </w:p>
        </w:tc>
      </w:tr>
      <w:tr w:rsidTr="00333DF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Required skills</w:t>
            </w:r>
          </w:p>
        </w:tc>
      </w:tr>
      <w:tr w:rsidTr="00333DF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Written and oral communication</w:t>
            </w:r>
          </w:p>
          <w:p w:rsidR="00000000" w:rsidRPr="008A2EC1" w:rsidP="008A2EC1">
            <w:pPr>
              <w:pStyle w:val="BodyText"/>
            </w:pPr>
            <w:r w:rsidRPr="008A2EC1">
              <w:t>Consultation and discussion</w:t>
            </w:r>
          </w:p>
          <w:p w:rsidR="00000000" w:rsidRPr="008A2EC1" w:rsidP="008A2EC1">
            <w:pPr>
              <w:pStyle w:val="BodyText"/>
            </w:pPr>
            <w:r w:rsidRPr="008A2EC1">
              <w:t>Evaluation and revision</w:t>
            </w:r>
          </w:p>
          <w:p w:rsidR="00000000" w:rsidP="008A2EC1">
            <w:pPr>
              <w:pStyle w:val="BodyText"/>
              <w:rPr>
                <w:lang w:val="en-NZ"/>
              </w:rPr>
            </w:pPr>
            <w:r w:rsidRPr="008A2EC1">
              <w:t>Networking</w:t>
            </w:r>
          </w:p>
        </w:tc>
      </w:tr>
      <w:tr w:rsidTr="00333DF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Required knowledge</w:t>
            </w:r>
          </w:p>
        </w:tc>
      </w:tr>
      <w:tr w:rsidTr="00333DF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Cultural context - Boards are upholders of traditional and cultural values. Relevant aspects of culture may include: cultural protocols, language (both Traditional and Aboriginal English), cultural bu</w:t>
            </w:r>
            <w:r w:rsidRPr="008A2EC1">
              <w:t>siness, family and community responsibilities and Aboriginal learning styles</w:t>
            </w:r>
          </w:p>
          <w:p w:rsidR="00000000" w:rsidRPr="008A2EC1" w:rsidP="008A2EC1">
            <w:pPr>
              <w:pStyle w:val="BodyText"/>
            </w:pPr>
            <w:r w:rsidRPr="008A2EC1">
              <w:t>Community control - community participation and control in decision-making are central to organisations and the role of Boards is to support the community in these processes</w:t>
            </w:r>
          </w:p>
          <w:p w:rsidR="00000000" w:rsidRPr="008A2EC1" w:rsidP="008A2EC1">
            <w:pPr>
              <w:pStyle w:val="BodyText"/>
            </w:pPr>
            <w:r w:rsidRPr="008A2EC1">
              <w:t>Locat</w:t>
            </w:r>
            <w:r w:rsidRPr="008A2EC1">
              <w:t>ion and resources - organisations operate in diverse locations where cultural, social, economic and political conditions may vary widely. Also, acute resource shortages may also determine the options available</w:t>
            </w:r>
          </w:p>
          <w:p w:rsidR="00000000" w:rsidRPr="008A2EC1" w:rsidP="008A2EC1">
            <w:pPr>
              <w:pStyle w:val="BodyText"/>
            </w:pPr>
            <w:r w:rsidRPr="008A2EC1">
              <w:t>Legal requirements - organisations operate und</w:t>
            </w:r>
            <w:r w:rsidRPr="008A2EC1">
              <w:t>er provisions of federal, state or territory legislation as legal entities and funding recipients which influence decision-making</w:t>
            </w:r>
          </w:p>
          <w:p w:rsidR="00000000" w:rsidRPr="008A2EC1" w:rsidP="008A2EC1">
            <w:pPr>
              <w:pStyle w:val="BodyText"/>
            </w:pPr>
            <w:r w:rsidRPr="008A2EC1">
              <w:t>Community history</w:t>
            </w:r>
          </w:p>
          <w:p w:rsidR="00000000" w:rsidRPr="008A2EC1" w:rsidP="008A2EC1">
            <w:pPr>
              <w:pStyle w:val="BodyText"/>
            </w:pPr>
            <w:r w:rsidRPr="008A2EC1">
              <w:t>Organisation constitution and processes</w:t>
            </w:r>
          </w:p>
          <w:p w:rsidR="00000000" w:rsidRPr="008A2EC1" w:rsidP="008A2EC1">
            <w:pPr>
              <w:pStyle w:val="BodyText"/>
            </w:pPr>
            <w:r w:rsidRPr="008A2EC1">
              <w:t>Corporations Law</w:t>
            </w:r>
          </w:p>
        </w:tc>
      </w:tr>
    </w:tbl>
    <w:p w:rsidR="00000000" w:rsidRPr="008A2EC1" w:rsidP="008A2EC1">
      <w:pPr>
        <w:pStyle w:val="BodyText"/>
      </w:pPr>
    </w:p>
    <w:p w:rsidR="00000000" w:rsidRPr="008A2EC1" w:rsidP="008A2EC1">
      <w:pPr>
        <w:pStyle w:val="AllowPageBreak"/>
      </w:pPr>
    </w:p>
    <w:p w:rsidR="00000000" w:rsidRPr="008A2EC1" w:rsidP="008A2EC1">
      <w:pPr>
        <w:pStyle w:val="Heading1"/>
      </w:pPr>
      <w:bookmarkStart w:id="10" w:name="O_312756"/>
      <w:bookmarkEnd w:id="10"/>
      <w:r w:rsidRPr="008A2EC1">
        <w:t>Evidence Guide</w:t>
      </w:r>
    </w:p>
    <w:tbl>
      <w:tblPr>
        <w:tblW w:w="0" w:type="auto"/>
        <w:tblLayout w:type="fixed"/>
        <w:tblCellMar>
          <w:left w:w="62" w:type="dxa"/>
          <w:right w:w="62" w:type="dxa"/>
        </w:tblCellMar>
        <w:tblLook w:val="0000"/>
      </w:tblPr>
      <w:tblGrid>
        <w:gridCol w:w="4500"/>
        <w:gridCol w:w="4500"/>
      </w:tblGrid>
      <w:tr w:rsidTr="00333DF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2EC1">
            <w:pPr>
              <w:pStyle w:val="BodyText"/>
              <w:rPr>
                <w:lang w:val="en-NZ"/>
              </w:rPr>
            </w:pPr>
          </w:p>
        </w:tc>
      </w:tr>
      <w:tr w:rsidTr="00333DF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 xml:space="preserve">The evidence guide provides advice on assessment and must be read in conjunction with the performance criteria, required skills and knowledge, range statement and the Assessment Guidelines for the Training Package. </w:t>
            </w:r>
          </w:p>
        </w:tc>
      </w:tr>
      <w:tr w:rsidTr="00333DF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p>
        </w:tc>
      </w:tr>
      <w:tr w:rsidTr="00333DF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Critical aspe</w:t>
            </w:r>
            <w:r w:rsidRPr="008A2EC1">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 xml:space="preserve">Evidence of the following is essential:    </w:t>
            </w:r>
          </w:p>
          <w:p w:rsidR="00000000" w:rsidRPr="008A2EC1" w:rsidP="008A2EC1">
            <w:pPr>
              <w:pStyle w:val="BodyText"/>
            </w:pPr>
            <w:r w:rsidRPr="008A2EC1">
              <w:t>Integrated demonstration of all elements of competency and their performance criteria; and</w:t>
            </w:r>
          </w:p>
          <w:p w:rsidR="00000000" w:rsidP="008A2EC1">
            <w:pPr>
              <w:pStyle w:val="BodyText"/>
              <w:rPr>
                <w:lang w:val="en-NZ"/>
              </w:rPr>
            </w:pPr>
            <w:r w:rsidRPr="008A2EC1">
              <w:t>Appropriate use of the constitution</w:t>
            </w:r>
          </w:p>
        </w:tc>
      </w:tr>
      <w:tr w:rsidTr="00333DF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Cont</w:t>
            </w:r>
            <w:r w:rsidRPr="008A2EC1">
              <w:rPr>
                <w:rStyle w:val="SpecialBold"/>
              </w:rPr>
              <w: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 xml:space="preserve">Assessment must ensure:    </w:t>
            </w:r>
          </w:p>
          <w:p w:rsidR="00000000" w:rsidRPr="008A2EC1" w:rsidP="008A2EC1">
            <w:pPr>
              <w:pStyle w:val="BodyText"/>
            </w:pPr>
            <w:r w:rsidRPr="008A2EC1">
              <w:t>This unit of competency should be assessed through the performance of Board duties, but in the event that there is no opportunity to observe such a performance a simulated environment</w:t>
            </w:r>
            <w:r w:rsidRPr="008A2EC1">
              <w:t xml:space="preserve"> can be used but such simulation must replicate Board conditions in terms of: performing the task; managing a number of different tasks; coping with irregularities and breakdowns in routine; dealing with the responsibilities and expectations of the Board, </w:t>
            </w:r>
            <w:r w:rsidRPr="008A2EC1">
              <w:t>including working with others; and transferring competency to other situations</w:t>
            </w:r>
          </w:p>
          <w:p w:rsidR="00000000" w:rsidP="008A2EC1">
            <w:pPr>
              <w:pStyle w:val="BodyText"/>
              <w:rPr>
                <w:lang w:val="en-NZ"/>
              </w:rPr>
            </w:pPr>
            <w:r w:rsidRPr="008A2EC1">
              <w:t xml:space="preserve">Knowledge and performance to be assessed over time to confirm consistency in performance </w:t>
            </w:r>
          </w:p>
        </w:tc>
      </w:tr>
      <w:tr w:rsidTr="00333DF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 xml:space="preserve">The following assessment method is appropriate for this unit:     </w:t>
            </w:r>
          </w:p>
          <w:p w:rsidR="00000000" w:rsidP="008A2EC1">
            <w:pPr>
              <w:pStyle w:val="BodyText"/>
              <w:rPr>
                <w:lang w:val="en-NZ"/>
              </w:rPr>
            </w:pPr>
            <w:r w:rsidRPr="008A2EC1">
              <w:t>Performance of Board duties, or through an accurate simulation of Board duties</w:t>
            </w:r>
          </w:p>
        </w:tc>
      </w:tr>
      <w:tr w:rsidTr="00333DF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8A2EC1" w:rsidP="008A2EC1">
            <w:pPr>
              <w:pStyle w:val="BodyText"/>
            </w:pPr>
          </w:p>
        </w:tc>
      </w:tr>
    </w:tbl>
    <w:p w:rsidR="00000000" w:rsidRPr="008A2EC1" w:rsidP="008A2EC1">
      <w:pPr>
        <w:pStyle w:val="BodyText"/>
      </w:pPr>
    </w:p>
    <w:p w:rsidR="00000000" w:rsidRPr="008A2EC1" w:rsidP="008A2EC1">
      <w:pPr>
        <w:pStyle w:val="AllowPageBreak"/>
      </w:pPr>
    </w:p>
    <w:p w:rsidR="00000000" w:rsidRPr="008A2EC1" w:rsidP="008A2EC1">
      <w:pPr>
        <w:pStyle w:val="Heading1"/>
      </w:pPr>
      <w:bookmarkStart w:id="11" w:name="O_312755"/>
      <w:bookmarkEnd w:id="11"/>
      <w:r w:rsidRPr="008A2EC1">
        <w:t>Range Statement</w:t>
      </w:r>
    </w:p>
    <w:tbl>
      <w:tblPr>
        <w:tblW w:w="0" w:type="auto"/>
        <w:tblLayout w:type="fixed"/>
        <w:tblCellMar>
          <w:left w:w="62" w:type="dxa"/>
          <w:right w:w="62" w:type="dxa"/>
        </w:tblCellMar>
        <w:tblLook w:val="0000"/>
      </w:tblPr>
      <w:tblGrid>
        <w:gridCol w:w="4500"/>
        <w:gridCol w:w="4500"/>
      </w:tblGrid>
      <w:tr w:rsidTr="00333DF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2EC1">
            <w:pPr>
              <w:pStyle w:val="BodyText"/>
              <w:rPr>
                <w:lang w:val="en-NZ"/>
              </w:rPr>
            </w:pPr>
          </w:p>
        </w:tc>
      </w:tr>
      <w:tr w:rsidTr="00333DF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t>The range statement relates to the</w:t>
            </w:r>
            <w:r w:rsidRPr="008A2EC1">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8A2EC1">
              <w:t xml:space="preserve">raining and assessment (depending on the work situation, needs of the candidate, accessibility of the item, and local industry and regional contexts) may also be included. </w:t>
            </w:r>
          </w:p>
        </w:tc>
      </w:tr>
      <w:tr w:rsidTr="00333DF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Experts</w:t>
            </w:r>
            <w:r w:rsidRPr="008A2EC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Registrar of Aboriginal and Torres Strait Islander Corporations</w:t>
            </w:r>
          </w:p>
          <w:p w:rsidR="00000000" w:rsidRPr="008A2EC1" w:rsidP="008A2EC1">
            <w:pPr>
              <w:pStyle w:val="BodyText"/>
            </w:pPr>
            <w:r w:rsidRPr="008A2EC1">
              <w:t>solicitors</w:t>
            </w:r>
          </w:p>
          <w:p w:rsidR="00000000" w:rsidRPr="008A2EC1" w:rsidP="008A2EC1">
            <w:pPr>
              <w:pStyle w:val="BodyText"/>
            </w:pPr>
            <w:r w:rsidRPr="008A2EC1">
              <w:t>accountants</w:t>
            </w:r>
          </w:p>
          <w:p w:rsidR="00000000" w:rsidRPr="008A2EC1" w:rsidP="008A2EC1">
            <w:pPr>
              <w:pStyle w:val="BodyText"/>
            </w:pPr>
            <w:r w:rsidRPr="008A2EC1">
              <w:t>managers</w:t>
            </w:r>
          </w:p>
          <w:p w:rsidR="00000000" w:rsidP="008A2EC1">
            <w:pPr>
              <w:pStyle w:val="BodyText"/>
              <w:rPr>
                <w:lang w:val="en-NZ"/>
              </w:rPr>
            </w:pPr>
            <w:r w:rsidRPr="008A2EC1">
              <w:t>Elders</w:t>
            </w:r>
          </w:p>
        </w:tc>
      </w:tr>
      <w:tr w:rsidTr="00333DF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Constitutional provisions</w:t>
            </w:r>
            <w:r w:rsidRPr="008A2EC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elections</w:t>
            </w:r>
          </w:p>
          <w:p w:rsidR="00000000" w:rsidRPr="008A2EC1" w:rsidP="008A2EC1">
            <w:pPr>
              <w:pStyle w:val="BodyText"/>
            </w:pPr>
            <w:r w:rsidRPr="008A2EC1">
              <w:t>membership</w:t>
            </w:r>
          </w:p>
          <w:p w:rsidR="00000000" w:rsidRPr="008A2EC1" w:rsidP="008A2EC1">
            <w:pPr>
              <w:pStyle w:val="BodyText"/>
            </w:pPr>
            <w:r w:rsidRPr="008A2EC1">
              <w:t>objects</w:t>
            </w:r>
          </w:p>
          <w:p w:rsidR="00000000" w:rsidRPr="008A2EC1" w:rsidP="008A2EC1">
            <w:pPr>
              <w:pStyle w:val="BodyText"/>
            </w:pPr>
            <w:r w:rsidRPr="008A2EC1">
              <w:t>meetings</w:t>
            </w:r>
          </w:p>
          <w:p w:rsidR="00000000" w:rsidP="008A2EC1">
            <w:pPr>
              <w:pStyle w:val="BodyText"/>
              <w:rPr>
                <w:lang w:val="en-NZ"/>
              </w:rPr>
            </w:pPr>
            <w:r w:rsidRPr="008A2EC1">
              <w:t>financial reporting</w:t>
            </w:r>
          </w:p>
        </w:tc>
      </w:tr>
      <w:tr w:rsidTr="00333DF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Policies and programs</w:t>
            </w:r>
            <w:r w:rsidRPr="008A2EC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program objective</w:t>
            </w:r>
            <w:r w:rsidRPr="008A2EC1">
              <w:t>s</w:t>
            </w:r>
          </w:p>
          <w:p w:rsidR="00000000" w:rsidRPr="008A2EC1" w:rsidP="008A2EC1">
            <w:pPr>
              <w:pStyle w:val="BodyText"/>
            </w:pPr>
            <w:r w:rsidRPr="008A2EC1">
              <w:t>commercial activities</w:t>
            </w:r>
          </w:p>
          <w:p w:rsidR="00000000" w:rsidP="008A2EC1">
            <w:pPr>
              <w:pStyle w:val="BodyText"/>
              <w:rPr>
                <w:lang w:val="en-NZ"/>
              </w:rPr>
            </w:pPr>
            <w:r w:rsidRPr="008A2EC1">
              <w:t>eligibility for assistance</w:t>
            </w:r>
          </w:p>
        </w:tc>
      </w:tr>
      <w:tr w:rsidTr="00333DF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2EC1">
            <w:pPr>
              <w:pStyle w:val="BodyText"/>
              <w:rPr>
                <w:lang w:val="en-NZ"/>
              </w:rPr>
            </w:pPr>
            <w:r w:rsidRPr="008A2EC1">
              <w:rPr>
                <w:rStyle w:val="SpecialBold"/>
              </w:rPr>
              <w:t>Relevant law</w:t>
            </w:r>
            <w:r w:rsidRPr="008A2EC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8A2EC1" w:rsidP="008A2EC1">
            <w:pPr>
              <w:pStyle w:val="BodyText"/>
            </w:pPr>
            <w:r w:rsidRPr="008A2EC1">
              <w:t>the Act under which the organisation operates</w:t>
            </w:r>
          </w:p>
          <w:p w:rsidR="00000000" w:rsidRPr="008A2EC1" w:rsidP="008A2EC1">
            <w:pPr>
              <w:pStyle w:val="BodyText"/>
            </w:pPr>
            <w:r w:rsidRPr="008A2EC1">
              <w:t>Corporations Law</w:t>
            </w:r>
          </w:p>
        </w:tc>
      </w:tr>
    </w:tbl>
    <w:p w:rsidR="00000000" w:rsidRPr="008A2EC1" w:rsidP="008A2EC1">
      <w:pPr>
        <w:pStyle w:val="BodyText"/>
      </w:pPr>
    </w:p>
    <w:p w:rsidR="00000000" w:rsidRPr="008A2EC1" w:rsidP="008A2EC1">
      <w:pPr>
        <w:pStyle w:val="AllowPageBreak"/>
      </w:pPr>
    </w:p>
    <w:p w:rsidR="00000000" w:rsidRPr="008A2EC1" w:rsidP="008A2EC1">
      <w:pPr>
        <w:pStyle w:val="Heading1"/>
      </w:pPr>
      <w:bookmarkStart w:id="12" w:name="O_312754"/>
      <w:bookmarkEnd w:id="12"/>
      <w:r w:rsidRPr="008A2EC1">
        <w:t>Unit Sector(s)</w:t>
      </w:r>
    </w:p>
    <w:p w:rsidR="00000000" w:rsidRPr="008A2EC1" w:rsidP="008A2EC1">
      <w:pPr>
        <w:pStyle w:val="BodyText"/>
      </w:pPr>
      <w:r w:rsidRPr="008A2EC1">
        <w:t>empty</w:t>
      </w:r>
    </w:p>
    <w:p w:rsidR="00000000" w:rsidRPr="008A2EC1" w:rsidP="008A2EC1">
      <w:pPr>
        <w:pStyle w:val="BodyText"/>
      </w:pPr>
      <w:r w:rsidRPr="008A2EC1">
        <w:t>empt</w:t>
      </w:r>
    </w:p>
    <w:p w:rsidR="00000000" w:rsidRPr="008A2EC1" w:rsidP="008A2EC1">
      <w:pPr>
        <w:pStyle w:val="AllowPageBreak"/>
      </w:pPr>
    </w:p>
    <w:p w:rsidR="00000000" w:rsidRPr="008A2EC1" w:rsidP="008A2EC1">
      <w:pPr>
        <w:pStyle w:val="Heading1"/>
      </w:pPr>
      <w:bookmarkStart w:id="13" w:name="O_312753"/>
      <w:bookmarkEnd w:id="13"/>
      <w:r w:rsidRPr="008A2EC1">
        <w:t>Competency field</w:t>
      </w:r>
    </w:p>
    <w:p w:rsidR="00000000" w:rsidRPr="008A2EC1" w:rsidP="008A2EC1">
      <w:pPr>
        <w:pStyle w:val="BodyText"/>
      </w:pPr>
      <w:r w:rsidRPr="008A2EC1">
        <w:t>Regulation, Licensing and Risk - ATSI Governance</w:t>
      </w:r>
    </w:p>
    <w:p w:rsidR="00000000" w:rsidRPr="008A2EC1" w:rsidP="008A2EC1">
      <w:pPr>
        <w:pStyle w:val="BodyText"/>
      </w:pPr>
      <w:r w:rsidRPr="008A2EC1">
        <w:t>Regulation, Licensing and Risk - ATSI Governance</w:t>
      </w:r>
    </w:p>
    <w:p w:rsidR="00000000" w:rsidRPr="008A2EC1" w:rsidP="008A2EC1"/>
    <w:sectPr w:rsidSect="008A2E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DF2" w:rsidP="00333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DF2" w:rsidP="008A2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33DF2" w:rsidP="008A2E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3DF2" w:rsidP="008A2E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DF2" w:rsidP="00333D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DF2" w:rsidP="008A2EC1">
    <w:pPr>
      <w:pStyle w:val="Header"/>
      <w:framePr w:wrap="around"/>
    </w:pPr>
    <w:r>
      <w:fldChar w:fldCharType="begin"/>
    </w:r>
    <w:r>
      <w:instrText xml:space="preserve"> TITLE   \* MERGEFORMAT </w:instrText>
    </w:r>
    <w:r>
      <w:fldChar w:fldCharType="separate"/>
    </w:r>
    <w:r>
      <w:t>BSBATSIL402B Use the constitution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3DF2" w:rsidP="008A2E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E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2EC1"/>
    <w:pPr>
      <w:spacing w:before="360" w:after="60"/>
      <w:outlineLvl w:val="0"/>
    </w:pPr>
    <w:rPr>
      <w:sz w:val="32"/>
    </w:rPr>
  </w:style>
  <w:style w:type="paragraph" w:styleId="Heading2">
    <w:name w:val="heading 2"/>
    <w:basedOn w:val="HeadingBase"/>
    <w:next w:val="BodyText"/>
    <w:link w:val="Heading2Char"/>
    <w:qFormat/>
    <w:rsid w:val="008A2EC1"/>
    <w:pPr>
      <w:keepLines/>
      <w:spacing w:before="240" w:after="120"/>
      <w:outlineLvl w:val="1"/>
    </w:pPr>
    <w:rPr>
      <w:sz w:val="28"/>
      <w:szCs w:val="40"/>
    </w:rPr>
  </w:style>
  <w:style w:type="paragraph" w:styleId="Heading3">
    <w:name w:val="heading 3"/>
    <w:basedOn w:val="HeadingBase"/>
    <w:next w:val="BodyText"/>
    <w:link w:val="Heading3Char"/>
    <w:qFormat/>
    <w:rsid w:val="008A2EC1"/>
    <w:pPr>
      <w:spacing w:before="180" w:after="120"/>
      <w:outlineLvl w:val="2"/>
    </w:pPr>
    <w:rPr>
      <w:spacing w:val="-10"/>
      <w:kern w:val="32"/>
    </w:rPr>
  </w:style>
  <w:style w:type="paragraph" w:styleId="Heading4">
    <w:name w:val="heading 4"/>
    <w:basedOn w:val="HeadingBase"/>
    <w:next w:val="BodyText"/>
    <w:link w:val="Heading4Char"/>
    <w:qFormat/>
    <w:rsid w:val="008A2EC1"/>
    <w:pPr>
      <w:spacing w:before="160" w:after="120"/>
      <w:outlineLvl w:val="3"/>
    </w:pPr>
    <w:rPr>
      <w:sz w:val="22"/>
    </w:rPr>
  </w:style>
  <w:style w:type="paragraph" w:styleId="Heading5">
    <w:name w:val="heading 5"/>
    <w:basedOn w:val="HeadingBase"/>
    <w:next w:val="Normal"/>
    <w:link w:val="Heading5Char"/>
    <w:qFormat/>
    <w:rsid w:val="008A2EC1"/>
    <w:pPr>
      <w:spacing w:before="80"/>
      <w:outlineLvl w:val="4"/>
    </w:pPr>
    <w:rPr>
      <w:color w:val="918585"/>
      <w:sz w:val="20"/>
    </w:rPr>
  </w:style>
  <w:style w:type="paragraph" w:styleId="Heading6">
    <w:name w:val="heading 6"/>
    <w:basedOn w:val="HeadingBase"/>
    <w:next w:val="Normal"/>
    <w:link w:val="Heading6Char"/>
    <w:qFormat/>
    <w:rsid w:val="008A2EC1"/>
    <w:pPr>
      <w:spacing w:before="60"/>
      <w:outlineLvl w:val="5"/>
    </w:pPr>
    <w:rPr>
      <w:color w:val="918585"/>
      <w:sz w:val="20"/>
    </w:rPr>
  </w:style>
  <w:style w:type="paragraph" w:styleId="Heading7">
    <w:name w:val="heading 7"/>
    <w:basedOn w:val="Normal"/>
    <w:next w:val="Normal"/>
    <w:link w:val="Heading7Char"/>
    <w:qFormat/>
    <w:rsid w:val="008A2EC1"/>
    <w:pPr>
      <w:ind w:left="720"/>
      <w:outlineLvl w:val="6"/>
    </w:pPr>
    <w:rPr>
      <w:i/>
    </w:rPr>
  </w:style>
  <w:style w:type="paragraph" w:styleId="Heading8">
    <w:name w:val="heading 8"/>
    <w:basedOn w:val="Normal"/>
    <w:next w:val="Normal"/>
    <w:link w:val="Heading8Char"/>
    <w:qFormat/>
    <w:rsid w:val="008A2EC1"/>
    <w:pPr>
      <w:ind w:left="720"/>
      <w:outlineLvl w:val="7"/>
    </w:pPr>
    <w:rPr>
      <w:i/>
    </w:rPr>
  </w:style>
  <w:style w:type="paragraph" w:styleId="Heading9">
    <w:name w:val="heading 9"/>
    <w:basedOn w:val="Normal"/>
    <w:next w:val="Normal"/>
    <w:link w:val="Heading9Char"/>
    <w:qFormat/>
    <w:rsid w:val="008A2EC1"/>
    <w:pPr>
      <w:ind w:left="720"/>
      <w:outlineLvl w:val="8"/>
    </w:pPr>
    <w:rPr>
      <w:i/>
    </w:rPr>
  </w:style>
  <w:style w:type="character" w:default="1" w:styleId="DefaultParagraphFont">
    <w:name w:val="Default Paragraph Font"/>
    <w:uiPriority w:val="1"/>
    <w:unhideWhenUsed/>
    <w:rsid w:val="008A2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EC1"/>
  </w:style>
  <w:style w:type="character" w:customStyle="1" w:styleId="Heading1Char">
    <w:name w:val="Heading 1 Char"/>
    <w:basedOn w:val="DefaultParagraphFont"/>
    <w:link w:val="Heading1"/>
    <w:rsid w:val="008A2EC1"/>
    <w:rPr>
      <w:rFonts w:ascii="Times New Roman" w:eastAsia="Times New Roman" w:hAnsi="Times New Roman" w:cs="Times New Roman"/>
      <w:b/>
      <w:sz w:val="32"/>
      <w:szCs w:val="20"/>
      <w:lang w:eastAsia="en-US"/>
    </w:rPr>
  </w:style>
  <w:style w:type="paragraph" w:styleId="BodyText">
    <w:name w:val="Body Text"/>
    <w:basedOn w:val="Normal"/>
    <w:link w:val="BodyTextChar"/>
    <w:rsid w:val="008A2E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2EC1"/>
    <w:rPr>
      <w:rFonts w:ascii="Times New Roman" w:eastAsia="Times New Roman" w:hAnsi="Times New Roman" w:cs="Times New Roman"/>
      <w:sz w:val="24"/>
      <w:lang w:val="en-US" w:eastAsia="en-US"/>
    </w:rPr>
  </w:style>
  <w:style w:type="paragraph" w:styleId="Footer">
    <w:name w:val="footer"/>
    <w:basedOn w:val="Normal"/>
    <w:link w:val="FooterChar"/>
    <w:rsid w:val="008A2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EC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A2EC1"/>
    <w:rPr>
      <w:b/>
      <w:spacing w:val="0"/>
    </w:rPr>
  </w:style>
  <w:style w:type="paragraph" w:styleId="Header">
    <w:name w:val="header"/>
    <w:basedOn w:val="Normal"/>
    <w:link w:val="HeaderChar"/>
    <w:rsid w:val="008A2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E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2EC1"/>
    <w:pPr>
      <w:spacing w:before="240" w:after="120"/>
      <w:outlineLvl w:val="0"/>
    </w:pPr>
    <w:rPr>
      <w:rFonts w:ascii="Times New Roman" w:hAnsi="Times New Roman"/>
      <w:b/>
      <w:sz w:val="28"/>
    </w:rPr>
  </w:style>
  <w:style w:type="paragraph" w:customStyle="1" w:styleId="AllowPageBreak">
    <w:name w:val="AllowPageBreak"/>
    <w:rsid w:val="008A2E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E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2E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2EC1"/>
    <w:rPr>
      <w:rFonts w:ascii="Courier New" w:eastAsia="Times New Roman" w:hAnsi="Courier New" w:cs="Times New Roman"/>
      <w:i/>
      <w:szCs w:val="20"/>
      <w:lang w:val="en-US" w:eastAsia="en-US"/>
    </w:rPr>
  </w:style>
  <w:style w:type="paragraph" w:customStyle="1" w:styleId="HeadingBase">
    <w:name w:val="Heading Base"/>
    <w:rsid w:val="008A2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EC1"/>
    <w:pPr>
      <w:tabs>
        <w:tab w:val="right" w:leader="dot" w:pos="9072"/>
      </w:tabs>
      <w:ind w:left="567"/>
    </w:pPr>
    <w:rPr>
      <w:szCs w:val="22"/>
    </w:rPr>
  </w:style>
  <w:style w:type="paragraph" w:customStyle="1" w:styleId="TOCBase">
    <w:name w:val="TOC Base"/>
    <w:rsid w:val="008A2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EC1"/>
    <w:pPr>
      <w:tabs>
        <w:tab w:val="right" w:leader="dot" w:pos="9072"/>
      </w:tabs>
      <w:spacing w:before="40" w:after="40"/>
      <w:ind w:left="284"/>
    </w:pPr>
    <w:rPr>
      <w:rFonts w:ascii="Times New Roman" w:hAnsi="Times New Roman"/>
    </w:rPr>
  </w:style>
  <w:style w:type="paragraph" w:styleId="TOC1">
    <w:name w:val="toc 1"/>
    <w:basedOn w:val="TOCBase"/>
    <w:next w:val="Normal"/>
    <w:rsid w:val="008A2E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2EC1"/>
    <w:pPr>
      <w:spacing w:before="5040"/>
      <w:jc w:val="center"/>
    </w:pPr>
    <w:rPr>
      <w:sz w:val="48"/>
      <w:szCs w:val="72"/>
      <w:lang w:val="en-US"/>
    </w:rPr>
  </w:style>
  <w:style w:type="character" w:customStyle="1" w:styleId="TitleChar">
    <w:name w:val="Title Char"/>
    <w:basedOn w:val="DefaultParagraphFont"/>
    <w:link w:val="Title"/>
    <w:rsid w:val="008A2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EC1"/>
    <w:pPr>
      <w:tabs>
        <w:tab w:val="left" w:pos="3600"/>
        <w:tab w:val="left" w:pos="3958"/>
      </w:tabs>
    </w:pPr>
  </w:style>
  <w:style w:type="paragraph" w:styleId="List">
    <w:name w:val="List"/>
    <w:basedOn w:val="BodyText"/>
    <w:next w:val="BodyText"/>
    <w:rsid w:val="008A2EC1"/>
    <w:pPr>
      <w:tabs>
        <w:tab w:val="left" w:pos="340"/>
      </w:tabs>
      <w:spacing w:before="60" w:after="60"/>
      <w:ind w:left="340" w:hanging="340"/>
    </w:pPr>
  </w:style>
  <w:style w:type="paragraph" w:styleId="ListBullet">
    <w:name w:val="List Bullet"/>
    <w:basedOn w:val="List"/>
    <w:rsid w:val="008A2EC1"/>
    <w:pPr>
      <w:numPr>
        <w:numId w:val="11"/>
      </w:numPr>
      <w:tabs>
        <w:tab w:val="clear" w:pos="340"/>
      </w:tabs>
      <w:spacing w:before="40" w:after="40"/>
    </w:pPr>
  </w:style>
  <w:style w:type="paragraph" w:customStyle="1" w:styleId="Note">
    <w:name w:val="Note"/>
    <w:basedOn w:val="BodyText"/>
    <w:rsid w:val="008A2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EC1"/>
    <w:pPr>
      <w:framePr w:wrap="auto" w:hAnchor="text" w:y="6049"/>
    </w:pPr>
    <w:rPr>
      <w:color w:val="000000"/>
      <w:sz w:val="40"/>
    </w:rPr>
  </w:style>
  <w:style w:type="paragraph" w:customStyle="1" w:styleId="TOCTitle">
    <w:name w:val="TOCTitle"/>
    <w:basedOn w:val="Heading1"/>
    <w:rsid w:val="008A2EC1"/>
    <w:pPr>
      <w:spacing w:after="240"/>
      <w:jc w:val="center"/>
      <w:outlineLvl w:val="9"/>
    </w:pPr>
    <w:rPr>
      <w:caps/>
    </w:rPr>
  </w:style>
  <w:style w:type="paragraph" w:customStyle="1" w:styleId="Version">
    <w:name w:val="Version"/>
    <w:rsid w:val="008A2E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EC1"/>
    <w:pPr>
      <w:numPr>
        <w:numId w:val="12"/>
      </w:numPr>
      <w:tabs>
        <w:tab w:val="clear" w:pos="680"/>
      </w:tabs>
    </w:pPr>
  </w:style>
  <w:style w:type="paragraph" w:styleId="Index1">
    <w:name w:val="index 1"/>
    <w:basedOn w:val="Normal"/>
    <w:next w:val="Normal"/>
    <w:semiHidden/>
    <w:rsid w:val="008A2EC1"/>
    <w:pPr>
      <w:keepNext w:val="0"/>
      <w:tabs>
        <w:tab w:val="right" w:pos="4176"/>
      </w:tabs>
      <w:ind w:left="198" w:hanging="198"/>
    </w:pPr>
    <w:rPr>
      <w:rFonts w:ascii="Garamond" w:hAnsi="Garamond"/>
    </w:rPr>
  </w:style>
  <w:style w:type="paragraph" w:styleId="IndexHeading">
    <w:name w:val="index heading"/>
    <w:basedOn w:val="Normal"/>
    <w:next w:val="Index1"/>
    <w:semiHidden/>
    <w:rsid w:val="008A2EC1"/>
    <w:pPr>
      <w:spacing w:before="120" w:after="120"/>
    </w:pPr>
    <w:rPr>
      <w:rFonts w:ascii="Arial" w:hAnsi="Arial"/>
      <w:b/>
      <w:color w:val="918585"/>
      <w:sz w:val="24"/>
    </w:rPr>
  </w:style>
  <w:style w:type="paragraph" w:customStyle="1" w:styleId="Chapter">
    <w:name w:val="Chapter"/>
    <w:basedOn w:val="Normal"/>
    <w:rsid w:val="008A2EC1"/>
    <w:pPr>
      <w:spacing w:before="240"/>
    </w:pPr>
    <w:rPr>
      <w:rFonts w:ascii="Times New Roman" w:hAnsi="Times New Roman"/>
      <w:smallCaps/>
      <w:spacing w:val="80"/>
      <w:sz w:val="28"/>
    </w:rPr>
  </w:style>
  <w:style w:type="paragraph" w:customStyle="1" w:styleId="InChapter">
    <w:name w:val="InChapter"/>
    <w:basedOn w:val="Heading3"/>
    <w:rsid w:val="008A2EC1"/>
    <w:pPr>
      <w:spacing w:after="240"/>
      <w:outlineLvl w:val="9"/>
    </w:pPr>
    <w:rPr>
      <w:noProof/>
    </w:rPr>
  </w:style>
  <w:style w:type="paragraph" w:styleId="Index2">
    <w:name w:val="index 2"/>
    <w:basedOn w:val="Normal"/>
    <w:next w:val="Normal"/>
    <w:semiHidden/>
    <w:rsid w:val="008A2EC1"/>
    <w:pPr>
      <w:tabs>
        <w:tab w:val="right" w:pos="4176"/>
      </w:tabs>
      <w:ind w:left="568" w:hanging="284"/>
    </w:pPr>
    <w:rPr>
      <w:rFonts w:ascii="Garamond" w:hAnsi="Garamond"/>
    </w:rPr>
  </w:style>
  <w:style w:type="paragraph" w:customStyle="1" w:styleId="Byline">
    <w:name w:val="Byline"/>
    <w:rsid w:val="008A2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EC1"/>
    <w:pPr>
      <w:tabs>
        <w:tab w:val="clear" w:pos="3600"/>
        <w:tab w:val="clear" w:pos="3958"/>
      </w:tabs>
      <w:jc w:val="right"/>
    </w:pPr>
  </w:style>
  <w:style w:type="character" w:styleId="Emphasis">
    <w:name w:val="Emphasis"/>
    <w:basedOn w:val="DefaultParagraphFont"/>
    <w:qFormat/>
    <w:rsid w:val="008A2EC1"/>
    <w:rPr>
      <w:i/>
    </w:rPr>
  </w:style>
  <w:style w:type="paragraph" w:styleId="Caption">
    <w:name w:val="caption"/>
    <w:basedOn w:val="BodyText"/>
    <w:next w:val="Normal"/>
    <w:qFormat/>
    <w:rsid w:val="008A2EC1"/>
    <w:pPr>
      <w:framePr w:w="2268" w:hSpace="181" w:vSpace="181" w:wrap="around" w:vAnchor="text" w:hAnchor="page" w:x="1135" w:y="285" w:anchorLock="1"/>
    </w:pPr>
    <w:rPr>
      <w:i/>
    </w:rPr>
  </w:style>
  <w:style w:type="paragraph" w:customStyle="1" w:styleId="MiniTOCTitle">
    <w:name w:val="MiniTOCTitle"/>
    <w:basedOn w:val="Heading4"/>
    <w:rsid w:val="008A2EC1"/>
    <w:pPr>
      <w:spacing w:before="240"/>
      <w:outlineLvl w:val="9"/>
    </w:pPr>
    <w:rPr>
      <w:noProof/>
      <w:sz w:val="24"/>
    </w:rPr>
  </w:style>
  <w:style w:type="paragraph" w:customStyle="1" w:styleId="MiniTOCItem">
    <w:name w:val="MiniTOCItem"/>
    <w:basedOn w:val="ListBullet"/>
    <w:rsid w:val="008A2EC1"/>
    <w:pPr>
      <w:numPr>
        <w:numId w:val="0"/>
      </w:numPr>
      <w:tabs>
        <w:tab w:val="right" w:leader="dot" w:pos="6521"/>
      </w:tabs>
      <w:spacing w:before="0" w:after="0"/>
    </w:pPr>
  </w:style>
  <w:style w:type="paragraph" w:customStyle="1" w:styleId="TOFTitle">
    <w:name w:val="TOFTitle"/>
    <w:basedOn w:val="TOCTitle"/>
    <w:rsid w:val="008A2EC1"/>
  </w:style>
  <w:style w:type="paragraph" w:styleId="TableofFigures">
    <w:name w:val="table of figures"/>
    <w:basedOn w:val="Normal"/>
    <w:next w:val="Normal"/>
    <w:semiHidden/>
    <w:rsid w:val="008A2EC1"/>
    <w:pPr>
      <w:tabs>
        <w:tab w:val="right" w:leader="dot" w:pos="9072"/>
      </w:tabs>
      <w:ind w:left="970" w:hanging="403"/>
    </w:pPr>
    <w:rPr>
      <w:rFonts w:ascii="Times New Roman" w:hAnsi="Times New Roman"/>
      <w:b/>
    </w:rPr>
  </w:style>
  <w:style w:type="paragraph" w:styleId="ListNumber">
    <w:name w:val="List Number"/>
    <w:basedOn w:val="List"/>
    <w:rsid w:val="008A2EC1"/>
    <w:pPr>
      <w:numPr>
        <w:numId w:val="9"/>
      </w:numPr>
    </w:pPr>
  </w:style>
  <w:style w:type="character" w:customStyle="1" w:styleId="WingdingSymbols">
    <w:name w:val="Wingding Symbols"/>
    <w:rsid w:val="008A2EC1"/>
    <w:rPr>
      <w:rFonts w:ascii="Wingdings" w:hAnsi="Wingdings"/>
    </w:rPr>
  </w:style>
  <w:style w:type="paragraph" w:customStyle="1" w:styleId="TableHeading">
    <w:name w:val="Table Heading"/>
    <w:basedOn w:val="HeadingBase"/>
    <w:rsid w:val="008A2EC1"/>
    <w:pPr>
      <w:keepLines/>
      <w:pBdr>
        <w:bottom w:val="single" w:sz="6" w:space="1" w:color="918585"/>
      </w:pBdr>
      <w:spacing w:before="240"/>
    </w:pPr>
  </w:style>
  <w:style w:type="character" w:customStyle="1" w:styleId="HotSpot">
    <w:name w:val="HotSpot"/>
    <w:rsid w:val="008A2EC1"/>
    <w:rPr>
      <w:color w:val="0033CC"/>
      <w:u w:val="none"/>
    </w:rPr>
  </w:style>
  <w:style w:type="paragraph" w:customStyle="1" w:styleId="BodyTextRight">
    <w:name w:val="Body Text Right"/>
    <w:basedOn w:val="BodyText"/>
    <w:rsid w:val="008A2EC1"/>
    <w:pPr>
      <w:spacing w:before="0" w:after="0"/>
      <w:jc w:val="right"/>
    </w:pPr>
  </w:style>
  <w:style w:type="paragraph" w:styleId="Index3">
    <w:name w:val="index 3"/>
    <w:basedOn w:val="ListNumber2"/>
    <w:next w:val="Normal"/>
    <w:semiHidden/>
    <w:rsid w:val="008A2EC1"/>
    <w:pPr>
      <w:numPr>
        <w:numId w:val="0"/>
      </w:numPr>
      <w:tabs>
        <w:tab w:val="right" w:leader="dot" w:pos="4176"/>
      </w:tabs>
    </w:pPr>
  </w:style>
  <w:style w:type="paragraph" w:styleId="ListNumber2">
    <w:name w:val="List Number 2"/>
    <w:basedOn w:val="List2"/>
    <w:rsid w:val="008A2EC1"/>
    <w:pPr>
      <w:numPr>
        <w:numId w:val="8"/>
      </w:numPr>
      <w:tabs>
        <w:tab w:val="clear" w:pos="1060"/>
      </w:tabs>
    </w:pPr>
  </w:style>
  <w:style w:type="paragraph" w:customStyle="1" w:styleId="MarginNote">
    <w:name w:val="Margin Note"/>
    <w:basedOn w:val="BodyText"/>
    <w:rsid w:val="008A2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E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2EC1"/>
    <w:rPr>
      <w:sz w:val="32"/>
    </w:rPr>
  </w:style>
  <w:style w:type="paragraph" w:customStyle="1" w:styleId="HeadingProcedure">
    <w:name w:val="Heading Procedure"/>
    <w:basedOn w:val="HeadingBase"/>
    <w:next w:val="Normal"/>
    <w:rsid w:val="008A2EC1"/>
    <w:pPr>
      <w:tabs>
        <w:tab w:val="left" w:pos="0"/>
      </w:tabs>
      <w:spacing w:before="120" w:after="60"/>
    </w:pPr>
    <w:rPr>
      <w:i/>
      <w:color w:val="918585"/>
      <w:sz w:val="22"/>
    </w:rPr>
  </w:style>
  <w:style w:type="paragraph" w:customStyle="1" w:styleId="TableBodyText">
    <w:name w:val="Table Body Text"/>
    <w:basedOn w:val="BodyText"/>
    <w:rsid w:val="008A2EC1"/>
    <w:pPr>
      <w:spacing w:before="60" w:after="60"/>
    </w:pPr>
  </w:style>
  <w:style w:type="paragraph" w:styleId="ListContinue">
    <w:name w:val="List Continue"/>
    <w:basedOn w:val="List"/>
    <w:rsid w:val="008A2EC1"/>
    <w:pPr>
      <w:ind w:firstLine="0"/>
    </w:pPr>
  </w:style>
  <w:style w:type="paragraph" w:customStyle="1" w:styleId="ListNote">
    <w:name w:val="List Note"/>
    <w:basedOn w:val="List"/>
    <w:rsid w:val="008A2EC1"/>
    <w:pPr>
      <w:pBdr>
        <w:top w:val="single" w:sz="6" w:space="2" w:color="918585"/>
        <w:bottom w:val="single" w:sz="6" w:space="2" w:color="918585"/>
      </w:pBdr>
      <w:tabs>
        <w:tab w:val="left" w:pos="1021"/>
      </w:tabs>
      <w:ind w:firstLine="0"/>
    </w:pPr>
  </w:style>
  <w:style w:type="paragraph" w:customStyle="1" w:styleId="Warning">
    <w:name w:val="Warning"/>
    <w:basedOn w:val="BodyText"/>
    <w:rsid w:val="008A2EC1"/>
    <w:pPr>
      <w:shd w:val="clear" w:color="auto" w:fill="D9D9D9"/>
      <w:tabs>
        <w:tab w:val="left" w:pos="992"/>
      </w:tabs>
      <w:ind w:left="119" w:right="119"/>
    </w:pPr>
    <w:rPr>
      <w:sz w:val="20"/>
    </w:rPr>
  </w:style>
  <w:style w:type="paragraph" w:customStyle="1" w:styleId="MarginIcons">
    <w:name w:val="Margin Icons"/>
    <w:basedOn w:val="BodyText"/>
    <w:rsid w:val="008A2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EC1"/>
    <w:rPr>
      <w:rFonts w:ascii="Courier New" w:hAnsi="Courier New"/>
    </w:rPr>
  </w:style>
  <w:style w:type="paragraph" w:customStyle="1" w:styleId="NoteBullet">
    <w:name w:val="Note Bullet"/>
    <w:basedOn w:val="Note"/>
    <w:rsid w:val="008A2EC1"/>
    <w:pPr>
      <w:tabs>
        <w:tab w:val="clear" w:pos="680"/>
      </w:tabs>
      <w:spacing w:before="60" w:after="60"/>
    </w:pPr>
  </w:style>
  <w:style w:type="paragraph" w:customStyle="1" w:styleId="SubHeading2">
    <w:name w:val="SubHeading2"/>
    <w:basedOn w:val="HeadingBase"/>
    <w:rsid w:val="008A2EC1"/>
    <w:pPr>
      <w:spacing w:before="240" w:after="60"/>
    </w:pPr>
    <w:rPr>
      <w:sz w:val="20"/>
    </w:rPr>
  </w:style>
  <w:style w:type="paragraph" w:customStyle="1" w:styleId="SubHeading1">
    <w:name w:val="SubHeading1"/>
    <w:basedOn w:val="HeadingBase"/>
    <w:rsid w:val="008A2EC1"/>
    <w:pPr>
      <w:spacing w:before="240" w:after="60"/>
    </w:pPr>
    <w:rPr>
      <w:color w:val="918585"/>
      <w:sz w:val="22"/>
    </w:rPr>
  </w:style>
  <w:style w:type="paragraph" w:customStyle="1" w:styleId="SideHeading">
    <w:name w:val="Side Heading"/>
    <w:basedOn w:val="HeadingBase"/>
    <w:rsid w:val="008A2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EC1"/>
    <w:pPr>
      <w:numPr>
        <w:numId w:val="10"/>
      </w:numPr>
    </w:pPr>
  </w:style>
  <w:style w:type="paragraph" w:styleId="PlainText">
    <w:name w:val="Plain Text"/>
    <w:basedOn w:val="Normal"/>
    <w:link w:val="PlainTextChar"/>
    <w:rsid w:val="008A2EC1"/>
    <w:rPr>
      <w:sz w:val="20"/>
    </w:rPr>
  </w:style>
  <w:style w:type="character" w:customStyle="1" w:styleId="PlainTextChar">
    <w:name w:val="Plain Text Char"/>
    <w:basedOn w:val="DefaultParagraphFont"/>
    <w:link w:val="PlainText"/>
    <w:rsid w:val="008A2E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2EC1"/>
    <w:rPr>
      <w:b/>
      <w:smallCaps/>
    </w:rPr>
  </w:style>
  <w:style w:type="paragraph" w:customStyle="1" w:styleId="TableListNumber">
    <w:name w:val="Table List Number"/>
    <w:basedOn w:val="ListNumber"/>
    <w:rsid w:val="008A2EC1"/>
    <w:pPr>
      <w:numPr>
        <w:numId w:val="0"/>
      </w:numPr>
    </w:pPr>
  </w:style>
  <w:style w:type="paragraph" w:styleId="TOC4">
    <w:name w:val="toc 4"/>
    <w:basedOn w:val="TOCBase"/>
    <w:next w:val="Normal"/>
    <w:semiHidden/>
    <w:rsid w:val="008A2EC1"/>
    <w:pPr>
      <w:tabs>
        <w:tab w:val="right" w:leader="dot" w:pos="9071"/>
      </w:tabs>
      <w:ind w:left="1701"/>
    </w:pPr>
  </w:style>
  <w:style w:type="paragraph" w:customStyle="1" w:styleId="ListAlpha">
    <w:name w:val="List Alpha"/>
    <w:basedOn w:val="List"/>
    <w:rsid w:val="008A2EC1"/>
    <w:pPr>
      <w:numPr>
        <w:numId w:val="7"/>
      </w:numPr>
    </w:pPr>
  </w:style>
  <w:style w:type="paragraph" w:customStyle="1" w:styleId="ListAlpha2">
    <w:name w:val="List Alpha 2"/>
    <w:basedOn w:val="List2"/>
    <w:rsid w:val="008A2EC1"/>
    <w:pPr>
      <w:numPr>
        <w:numId w:val="6"/>
      </w:numPr>
    </w:pPr>
  </w:style>
  <w:style w:type="paragraph" w:styleId="List2">
    <w:name w:val="List 2"/>
    <w:basedOn w:val="BodyText"/>
    <w:rsid w:val="008A2EC1"/>
    <w:pPr>
      <w:tabs>
        <w:tab w:val="left" w:pos="680"/>
      </w:tabs>
      <w:spacing w:before="60" w:after="60"/>
      <w:ind w:left="680" w:hanging="340"/>
    </w:pPr>
  </w:style>
  <w:style w:type="paragraph" w:styleId="List3">
    <w:name w:val="List 3"/>
    <w:basedOn w:val="BodyText"/>
    <w:rsid w:val="008A2EC1"/>
    <w:pPr>
      <w:tabs>
        <w:tab w:val="left" w:pos="1021"/>
      </w:tabs>
      <w:spacing w:before="60" w:after="60"/>
      <w:ind w:left="1020" w:hanging="340"/>
    </w:pPr>
  </w:style>
  <w:style w:type="paragraph" w:styleId="List4">
    <w:name w:val="List 4"/>
    <w:basedOn w:val="BodyText"/>
    <w:rsid w:val="008A2EC1"/>
    <w:pPr>
      <w:tabs>
        <w:tab w:val="left" w:pos="1361"/>
      </w:tabs>
      <w:spacing w:before="60" w:after="60"/>
      <w:ind w:left="1361" w:hanging="340"/>
    </w:pPr>
  </w:style>
  <w:style w:type="paragraph" w:styleId="List5">
    <w:name w:val="List 5"/>
    <w:basedOn w:val="BodyText"/>
    <w:rsid w:val="008A2EC1"/>
    <w:pPr>
      <w:tabs>
        <w:tab w:val="left" w:pos="1701"/>
      </w:tabs>
      <w:spacing w:before="60" w:after="60"/>
      <w:ind w:left="1701" w:hanging="340"/>
    </w:pPr>
  </w:style>
  <w:style w:type="paragraph" w:styleId="ListBullet3">
    <w:name w:val="List Bullet 3"/>
    <w:basedOn w:val="List3"/>
    <w:rsid w:val="008A2EC1"/>
    <w:pPr>
      <w:numPr>
        <w:numId w:val="13"/>
      </w:numPr>
      <w:tabs>
        <w:tab w:val="clear" w:pos="1021"/>
      </w:tabs>
      <w:ind w:left="1037" w:hanging="357"/>
    </w:pPr>
  </w:style>
  <w:style w:type="paragraph" w:styleId="ListBullet4">
    <w:name w:val="List Bullet 4"/>
    <w:basedOn w:val="List4"/>
    <w:rsid w:val="008A2EC1"/>
    <w:pPr>
      <w:numPr>
        <w:numId w:val="1"/>
      </w:numPr>
    </w:pPr>
  </w:style>
  <w:style w:type="paragraph" w:styleId="ListBullet5">
    <w:name w:val="List Bullet 5"/>
    <w:basedOn w:val="List5"/>
    <w:rsid w:val="008A2EC1"/>
    <w:pPr>
      <w:numPr>
        <w:numId w:val="2"/>
      </w:numPr>
    </w:pPr>
  </w:style>
  <w:style w:type="paragraph" w:styleId="ListContinue2">
    <w:name w:val="List Continue 2"/>
    <w:basedOn w:val="List2"/>
    <w:rsid w:val="008A2EC1"/>
    <w:pPr>
      <w:ind w:firstLine="0"/>
    </w:pPr>
  </w:style>
  <w:style w:type="paragraph" w:styleId="ListContinue3">
    <w:name w:val="List Continue 3"/>
    <w:basedOn w:val="List3"/>
    <w:rsid w:val="008A2EC1"/>
    <w:pPr>
      <w:ind w:left="1021" w:firstLine="0"/>
    </w:pPr>
  </w:style>
  <w:style w:type="paragraph" w:styleId="ListContinue4">
    <w:name w:val="List Continue 4"/>
    <w:basedOn w:val="List4"/>
    <w:rsid w:val="008A2EC1"/>
    <w:pPr>
      <w:ind w:firstLine="0"/>
    </w:pPr>
  </w:style>
  <w:style w:type="paragraph" w:styleId="ListContinue5">
    <w:name w:val="List Continue 5"/>
    <w:basedOn w:val="List5"/>
    <w:rsid w:val="008A2EC1"/>
    <w:pPr>
      <w:ind w:firstLine="0"/>
    </w:pPr>
  </w:style>
  <w:style w:type="paragraph" w:styleId="ListNumber3">
    <w:name w:val="List Number 3"/>
    <w:basedOn w:val="List3"/>
    <w:rsid w:val="008A2EC1"/>
    <w:pPr>
      <w:numPr>
        <w:numId w:val="3"/>
      </w:numPr>
    </w:pPr>
  </w:style>
  <w:style w:type="paragraph" w:styleId="ListNumber4">
    <w:name w:val="List Number 4"/>
    <w:basedOn w:val="List4"/>
    <w:rsid w:val="008A2EC1"/>
    <w:pPr>
      <w:numPr>
        <w:numId w:val="4"/>
      </w:numPr>
    </w:pPr>
  </w:style>
  <w:style w:type="paragraph" w:styleId="ListNumber5">
    <w:name w:val="List Number 5"/>
    <w:basedOn w:val="List5"/>
    <w:rsid w:val="008A2EC1"/>
    <w:pPr>
      <w:numPr>
        <w:numId w:val="5"/>
      </w:numPr>
    </w:pPr>
  </w:style>
  <w:style w:type="paragraph" w:styleId="BlockText">
    <w:name w:val="Block Text"/>
    <w:basedOn w:val="Normal"/>
    <w:rsid w:val="008A2EC1"/>
    <w:pPr>
      <w:spacing w:after="120"/>
      <w:ind w:left="1440" w:right="1440"/>
    </w:pPr>
  </w:style>
  <w:style w:type="character" w:customStyle="1" w:styleId="Subscript">
    <w:name w:val="Subscript"/>
    <w:basedOn w:val="DefaultParagraphFont"/>
    <w:rsid w:val="008A2EC1"/>
    <w:rPr>
      <w:sz w:val="16"/>
      <w:vertAlign w:val="subscript"/>
    </w:rPr>
  </w:style>
  <w:style w:type="character" w:customStyle="1" w:styleId="Superscript">
    <w:name w:val="Superscript"/>
    <w:basedOn w:val="DefaultParagraphFont"/>
    <w:rsid w:val="008A2EC1"/>
    <w:rPr>
      <w:sz w:val="16"/>
      <w:vertAlign w:val="superscript"/>
    </w:rPr>
  </w:style>
  <w:style w:type="character" w:customStyle="1" w:styleId="Symbols">
    <w:name w:val="Symbols"/>
    <w:basedOn w:val="DefaultParagraphFont"/>
    <w:rsid w:val="008A2EC1"/>
    <w:rPr>
      <w:rFonts w:ascii="Symbol" w:hAnsi="Symbol"/>
    </w:rPr>
  </w:style>
  <w:style w:type="character" w:customStyle="1" w:styleId="MenuOptions">
    <w:name w:val="Menu Options"/>
    <w:basedOn w:val="DefaultParagraphFont"/>
    <w:rsid w:val="008A2EC1"/>
    <w:rPr>
      <w:rFonts w:ascii="Arial Narrow" w:hAnsi="Arial Narrow"/>
      <w:smallCaps/>
    </w:rPr>
  </w:style>
  <w:style w:type="character" w:customStyle="1" w:styleId="Buttons">
    <w:name w:val="Buttons"/>
    <w:basedOn w:val="DefaultParagraphFont"/>
    <w:rsid w:val="008A2EC1"/>
    <w:rPr>
      <w:b/>
    </w:rPr>
  </w:style>
  <w:style w:type="character" w:customStyle="1" w:styleId="Underlined">
    <w:name w:val="Underlined"/>
    <w:basedOn w:val="DefaultParagraphFont"/>
    <w:rsid w:val="008A2EC1"/>
    <w:rPr>
      <w:u w:val="single"/>
    </w:rPr>
  </w:style>
  <w:style w:type="paragraph" w:customStyle="1" w:styleId="TableBodyTextRight">
    <w:name w:val="Table Body Text Right"/>
    <w:basedOn w:val="TableBodyText"/>
    <w:rsid w:val="008A2EC1"/>
    <w:pPr>
      <w:widowControl w:val="0"/>
      <w:autoSpaceDE w:val="0"/>
      <w:autoSpaceDN w:val="0"/>
      <w:adjustRightInd w:val="0"/>
      <w:jc w:val="right"/>
    </w:pPr>
    <w:rPr>
      <w:rFonts w:cs="Arial"/>
      <w:szCs w:val="18"/>
    </w:rPr>
  </w:style>
  <w:style w:type="paragraph" w:customStyle="1" w:styleId="CopyrightText">
    <w:name w:val="Copyright Text"/>
    <w:basedOn w:val="BodyText"/>
    <w:rsid w:val="008A2EC1"/>
    <w:rPr>
      <w:sz w:val="18"/>
    </w:rPr>
  </w:style>
  <w:style w:type="paragraph" w:customStyle="1" w:styleId="BodySmallRight">
    <w:name w:val="Body Small Right"/>
    <w:basedOn w:val="BodyTextRight"/>
    <w:rsid w:val="008A2EC1"/>
    <w:rPr>
      <w:sz w:val="18"/>
      <w:szCs w:val="18"/>
    </w:rPr>
  </w:style>
  <w:style w:type="paragraph" w:customStyle="1" w:styleId="MarginEdition">
    <w:name w:val="Margin Edition"/>
    <w:basedOn w:val="MarginNote"/>
    <w:rsid w:val="008A2EC1"/>
    <w:pPr>
      <w:spacing w:before="0" w:after="0"/>
    </w:pPr>
    <w:rPr>
      <w:rFonts w:ascii="Times New Roman" w:hAnsi="Times New Roman"/>
      <w:color w:val="999999"/>
    </w:rPr>
  </w:style>
  <w:style w:type="paragraph" w:customStyle="1" w:styleId="Spacer">
    <w:name w:val="Spacer"/>
    <w:basedOn w:val="Normal"/>
    <w:rsid w:val="008A2EC1"/>
    <w:rPr>
      <w:sz w:val="2"/>
      <w:szCs w:val="2"/>
    </w:rPr>
  </w:style>
  <w:style w:type="character" w:customStyle="1" w:styleId="Small">
    <w:name w:val="Small"/>
    <w:basedOn w:val="DefaultParagraphFont"/>
    <w:rsid w:val="008A2EC1"/>
    <w:rPr>
      <w:sz w:val="16"/>
    </w:rPr>
  </w:style>
  <w:style w:type="paragraph" w:customStyle="1" w:styleId="WideTable">
    <w:name w:val="Wide Table"/>
    <w:basedOn w:val="Normal"/>
    <w:rsid w:val="008A2EC1"/>
    <w:pPr>
      <w:ind w:left="-1418"/>
    </w:pPr>
    <w:rPr>
      <w:sz w:val="2"/>
      <w:szCs w:val="2"/>
    </w:rPr>
  </w:style>
  <w:style w:type="character" w:styleId="PageNumber">
    <w:name w:val="page number"/>
    <w:basedOn w:val="DefaultParagraphFont"/>
    <w:rsid w:val="008A2EC1"/>
  </w:style>
  <w:style w:type="paragraph" w:styleId="Quote">
    <w:name w:val="Quote"/>
    <w:basedOn w:val="Heading1"/>
    <w:link w:val="QuoteChar"/>
    <w:qFormat/>
    <w:rsid w:val="008A2EC1"/>
    <w:rPr>
      <w:b w:val="0"/>
      <w:sz w:val="72"/>
      <w:szCs w:val="72"/>
      <w:lang w:val="en-NZ"/>
    </w:rPr>
  </w:style>
  <w:style w:type="character" w:customStyle="1" w:styleId="QuoteChar">
    <w:name w:val="Quote Char"/>
    <w:basedOn w:val="DefaultParagraphFont"/>
    <w:link w:val="Quote"/>
    <w:rsid w:val="008A2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EC1"/>
    <w:pPr>
      <w:pageBreakBefore/>
    </w:pPr>
  </w:style>
  <w:style w:type="paragraph" w:customStyle="1" w:styleId="Border">
    <w:name w:val="Border"/>
    <w:basedOn w:val="Normal"/>
    <w:qFormat/>
    <w:rsid w:val="008A2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EC1"/>
    <w:rPr>
      <w:b/>
      <w:bCs/>
      <w:i/>
      <w:iCs/>
      <w:color w:val="auto"/>
    </w:rPr>
  </w:style>
  <w:style w:type="paragraph" w:styleId="IntenseQuote">
    <w:name w:val="Intense Quote"/>
    <w:basedOn w:val="Normal"/>
    <w:next w:val="Normal"/>
    <w:link w:val="IntenseQuoteChar"/>
    <w:uiPriority w:val="30"/>
    <w:qFormat/>
    <w:rsid w:val="008A2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E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2EC1"/>
    <w:rPr>
      <w:smallCaps/>
      <w:color w:val="auto"/>
      <w:u w:val="single"/>
    </w:rPr>
  </w:style>
  <w:style w:type="character" w:styleId="IntenseReference">
    <w:name w:val="Intense Reference"/>
    <w:basedOn w:val="DefaultParagraphFont"/>
    <w:uiPriority w:val="32"/>
    <w:qFormat/>
    <w:rsid w:val="008A2EC1"/>
    <w:rPr>
      <w:b/>
      <w:bCs/>
      <w:smallCaps/>
      <w:color w:val="auto"/>
      <w:spacing w:val="5"/>
      <w:u w:val="single"/>
    </w:rPr>
  </w:style>
  <w:style w:type="paragraph" w:customStyle="1" w:styleId="2ColumnHeading">
    <w:name w:val="2Column Heading"/>
    <w:basedOn w:val="BodyText"/>
    <w:qFormat/>
    <w:rsid w:val="008A2EC1"/>
    <w:pPr>
      <w:spacing w:after="60"/>
      <w:ind w:left="-2268"/>
    </w:pPr>
    <w:rPr>
      <w:b/>
    </w:rPr>
  </w:style>
  <w:style w:type="paragraph" w:customStyle="1" w:styleId="Heading1TOC">
    <w:name w:val="Heading1 TOC"/>
    <w:basedOn w:val="Normal"/>
    <w:qFormat/>
    <w:rsid w:val="008A2EC1"/>
    <w:pPr>
      <w:spacing w:before="240" w:after="120"/>
    </w:pPr>
    <w:rPr>
      <w:rFonts w:ascii="Times New Roman" w:hAnsi="Times New Roman"/>
      <w:b/>
      <w:sz w:val="32"/>
    </w:rPr>
  </w:style>
  <w:style w:type="paragraph" w:customStyle="1" w:styleId="Heading2TOC">
    <w:name w:val="Heading2 TOC"/>
    <w:basedOn w:val="Normal"/>
    <w:qFormat/>
    <w:rsid w:val="008A2EC1"/>
    <w:pPr>
      <w:spacing w:before="240" w:after="60"/>
    </w:pPr>
    <w:rPr>
      <w:rFonts w:ascii="Times New Roman" w:hAnsi="Times New Roman"/>
      <w:b/>
      <w:sz w:val="28"/>
    </w:rPr>
  </w:style>
  <w:style w:type="character" w:customStyle="1" w:styleId="Underline">
    <w:name w:val="Underline"/>
    <w:basedOn w:val="DefaultParagraphFont"/>
    <w:qFormat/>
    <w:rsid w:val="008A2EC1"/>
    <w:rPr>
      <w:u w:val="single"/>
    </w:rPr>
  </w:style>
  <w:style w:type="character" w:customStyle="1" w:styleId="BoldandItalics">
    <w:name w:val="Bold and Italics"/>
    <w:qFormat/>
    <w:rsid w:val="008A2EC1"/>
    <w:rPr>
      <w:b/>
      <w:i/>
      <w:u w:val="none"/>
    </w:rPr>
  </w:style>
  <w:style w:type="paragraph" w:styleId="BalloonText">
    <w:name w:val="Balloon Text"/>
    <w:basedOn w:val="Normal"/>
    <w:link w:val="BalloonTextChar"/>
    <w:rsid w:val="008A2EC1"/>
    <w:rPr>
      <w:rFonts w:ascii="Tahoma" w:hAnsi="Tahoma" w:cs="Tahoma"/>
      <w:sz w:val="16"/>
      <w:szCs w:val="16"/>
    </w:rPr>
  </w:style>
  <w:style w:type="character" w:customStyle="1" w:styleId="BalloonTextChar">
    <w:name w:val="Balloon Text Char"/>
    <w:basedOn w:val="DefaultParagraphFont"/>
    <w:link w:val="BalloonText"/>
    <w:rsid w:val="008A2E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2E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2E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5794</Characters>
  <Application>Microsoft Office Word</Application>
  <DocSecurity>0</DocSecurity>
  <Lines>203</Lines>
  <Paragraphs>115</Paragraphs>
  <ScaleCrop>false</ScaleCrop>
  <Company>Author-it Software Corporation Ltd.</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BSBATSIL402B Use the constitution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