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CBC" w:rsidP="007F4CBC">
      <w:pPr>
        <w:pStyle w:val="Title"/>
      </w:pPr>
      <w:r>
        <w:fldChar w:fldCharType="begin"/>
      </w:r>
      <w:r>
        <w:instrText xml:space="preserve"> TITLE   \* MERGEFORMAT </w:instrText>
      </w:r>
      <w:r>
        <w:fldChar w:fldCharType="separate"/>
      </w:r>
      <w:r>
        <w:t>BSBADM408A Prepare financial reports</w:t>
      </w:r>
      <w:r>
        <w:fldChar w:fldCharType="end"/>
      </w:r>
    </w:p>
    <w:p w:rsidR="007F4CBC" w:rsidP="007F4CBC">
      <w:pPr>
        <w:pStyle w:val="Version"/>
        <w:sectPr w:rsidSect="00F66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4D6" w:rsidP="00F664D6">
      <w:pPr>
        <w:pStyle w:val="SuperHeading"/>
      </w:pPr>
      <w:r w:rsidRPr="00F664D6">
        <w:t>BSBADM408A Prepare financial reports</w:t>
      </w:r>
    </w:p>
    <w:p w:rsidR="00000000" w:rsidRPr="00F664D6" w:rsidP="00F664D6">
      <w:pPr>
        <w:pStyle w:val="Heading1"/>
      </w:pPr>
      <w:bookmarkStart w:id="1" w:name="O_322251"/>
      <w:bookmarkEnd w:id="1"/>
      <w:r w:rsidRPr="00F664D6">
        <w:t>Modification History</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2" w:name="O_322250"/>
      <w:bookmarkEnd w:id="2"/>
      <w:r w:rsidRPr="00F664D6">
        <w:t>Unit Descriptor</w:t>
      </w:r>
    </w:p>
    <w:p w:rsidR="00000000" w:rsidRPr="00F664D6" w:rsidP="00F664D6">
      <w:pPr>
        <w:pStyle w:val="BodyText"/>
      </w:pPr>
      <w:r w:rsidRPr="00F664D6">
        <w:t>This unit covers recording general journal adjustment entries and preparing end-of-period financial reports such as revenue state</w:t>
      </w:r>
      <w:r w:rsidRPr="00F664D6">
        <w:t>ments and balance sheets for a non-reporting entity.</w:t>
      </w:r>
    </w:p>
    <w:p w:rsidR="00000000" w:rsidRPr="00F664D6" w:rsidP="00F664D6">
      <w:pPr>
        <w:pStyle w:val="BodyText"/>
      </w:pPr>
      <w:r w:rsidRPr="00F664D6">
        <w:t>This unit is related to BSBADM310A Maintain a general ledger.</w:t>
      </w:r>
    </w:p>
    <w:p w:rsidR="00000000" w:rsidRPr="00F664D6" w:rsidP="00F664D6">
      <w:pPr>
        <w:pStyle w:val="BodyText"/>
      </w:pPr>
      <w:r w:rsidRPr="00F664D6">
        <w:t>This unit covers recording general journal adjustment entries and preparing end-of-period financial reports such as revenue statements and ba</w:t>
      </w:r>
      <w:r w:rsidRPr="00F664D6">
        <w:t>lance sheets for a non-reporting entity.</w:t>
      </w:r>
    </w:p>
    <w:p w:rsidR="00000000" w:rsidRPr="00F664D6" w:rsidP="00F664D6">
      <w:pPr>
        <w:pStyle w:val="BodyText"/>
      </w:pPr>
      <w:r w:rsidRPr="00F664D6">
        <w:t>This unit is related to BSBADM310A Maintain a general ledger.</w:t>
      </w:r>
    </w:p>
    <w:p w:rsidR="00000000" w:rsidRPr="00F664D6" w:rsidP="00F664D6">
      <w:pPr>
        <w:pStyle w:val="AllowPageBreak"/>
      </w:pPr>
    </w:p>
    <w:p w:rsidR="00000000" w:rsidRPr="00F664D6" w:rsidP="00F664D6">
      <w:pPr>
        <w:pStyle w:val="Heading1"/>
      </w:pPr>
      <w:bookmarkStart w:id="3" w:name="O_322249"/>
      <w:bookmarkEnd w:id="3"/>
      <w:r w:rsidRPr="00F664D6">
        <w:t>Application of the Unit</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4" w:name="O_322248"/>
      <w:bookmarkEnd w:id="4"/>
      <w:r w:rsidRPr="00F664D6">
        <w:t>Licensing/Regulatory Information</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5" w:name="O_322247"/>
      <w:bookmarkEnd w:id="5"/>
      <w:r w:rsidRPr="00F664D6">
        <w:t>Pre-Requisites</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6" w:name="O_322252"/>
      <w:bookmarkEnd w:id="6"/>
      <w:r w:rsidRPr="00F664D6">
        <w:t>Employability Skills Information</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7" w:name="O_322246"/>
      <w:bookmarkEnd w:id="7"/>
      <w:r w:rsidRPr="00F664D6">
        <w:t>Elements and Performance Criteria Pre-Content</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8" w:name="O_322242"/>
      <w:bookmarkEnd w:id="8"/>
      <w:r w:rsidRPr="00F664D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F4CB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rPr>
                <w:rStyle w:val="SpecialBold"/>
              </w:rPr>
              <w:t>Elements and Performance Criteria</w:t>
            </w:r>
          </w:p>
        </w:tc>
      </w:tr>
      <w:tr w:rsidTr="007F4CB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64D6" w:rsidP="00F664D6">
            <w:pPr>
              <w:pStyle w:val="BodyText"/>
            </w:pPr>
            <w:r w:rsidRPr="00F664D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rPr>
                <w:rStyle w:val="SpecialBold"/>
              </w:rPr>
              <w:t>Performance Criteria</w:t>
            </w:r>
          </w:p>
        </w:tc>
      </w:tr>
      <w:tr w:rsidTr="007F4C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1</w:t>
            </w:r>
          </w:p>
        </w:tc>
        <w:tc>
          <w:tcPr>
            <w:tcW w:w="30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Maintain asset register</w:t>
            </w: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1.1</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A register of property, plant and equipment is prepared from fixed asset transactions in accordance with organisational policy and procedures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1.2</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Method of calculating depreciation is determined in accordance with organisational requirements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1.3</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Asset register and associated depreciation schedule are maintained in accordance with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2</w:t>
            </w:r>
          </w:p>
        </w:tc>
        <w:tc>
          <w:tcPr>
            <w:tcW w:w="30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Record general journal entries for balance day adjustments</w:t>
            </w: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2.1</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Depreciation of non-current assets and disposal of fixed assets are recorded in accordance with organisational policy and procedures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2.2</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Expense and revenue accounts are adjusted for prepay</w:t>
            </w:r>
            <w:r w:rsidRPr="00F664D6">
              <w:t>ments and accruals in accordance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2.3</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Bad and doubtful debts are recorded in accordance with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2.4</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Ledger accounts are adjusted for inventories, if required, and transferred to final accounts in accordance with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3</w:t>
            </w:r>
          </w:p>
        </w:tc>
        <w:tc>
          <w:tcPr>
            <w:tcW w:w="30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Prepare final general ledger accounts</w:t>
            </w: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3.1</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General journal entries for balanc</w:t>
            </w:r>
            <w:r w:rsidRPr="00F664D6">
              <w:t>e day adjustments are entered in general ledger system in accordance with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3.2</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Revenue and expense account balances are posted to final general ledger accoun</w:t>
            </w:r>
            <w:r w:rsidRPr="00F664D6">
              <w:t>ts system in accordance with organisational policy and procedures and accounting requirements</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3.3</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Final general ledger accounts are prepared to reflect gross and net profits for reporting period in accordance with organisational policy and procedures an</w:t>
            </w:r>
            <w:r w:rsidRPr="00F664D6">
              <w:t>d accounting requirements</w:t>
            </w:r>
          </w:p>
        </w:tc>
      </w:tr>
      <w:tr w:rsidTr="007F4CB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4</w:t>
            </w:r>
          </w:p>
        </w:tc>
        <w:tc>
          <w:tcPr>
            <w:tcW w:w="3000" w:type="dxa"/>
            <w:vMerge w:val="restart"/>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Prepare end-of-period financial reports</w:t>
            </w: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4.1</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Revenue statement is prepared in accordance with organisational requirements to reflect operating profit for reporting period</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4.2</w:t>
            </w:r>
          </w:p>
        </w:tc>
        <w:tc>
          <w:tcPr>
            <w:tcW w:w="51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Balance sheet is prepared in accordance with organisational requirements to reflect financial position of business at end of reporting period</w:t>
            </w:r>
          </w:p>
        </w:tc>
      </w:tr>
      <w:tr w:rsidTr="007F4CB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64D6">
            <w:pPr>
              <w:pStyle w:val="BodyText"/>
              <w:rPr>
                <w:lang w:val="en-NZ"/>
              </w:rPr>
            </w:pPr>
            <w:r w:rsidRPr="00F664D6">
              <w:t>4.3</w:t>
            </w:r>
          </w:p>
        </w:tc>
        <w:tc>
          <w:tcPr>
            <w:tcW w:w="5100" w:type="dxa"/>
            <w:tcBorders>
              <w:top w:val="nil"/>
              <w:left w:val="nil"/>
              <w:bottom w:val="nil"/>
              <w:right w:val="nil"/>
            </w:tcBorders>
            <w:tcMar>
              <w:top w:w="0" w:type="dxa"/>
              <w:left w:w="62" w:type="dxa"/>
              <w:bottom w:w="0" w:type="dxa"/>
              <w:right w:w="62" w:type="dxa"/>
            </w:tcMar>
          </w:tcPr>
          <w:p w:rsidR="00000000" w:rsidRPr="00F664D6" w:rsidP="00F664D6">
            <w:pPr>
              <w:pStyle w:val="BodyText"/>
            </w:pPr>
            <w:r w:rsidRPr="00F664D6">
              <w:t>Errors are identified and corrected, or referred for resolution in accordance with organisational policy an</w:t>
            </w:r>
            <w:r w:rsidRPr="00F664D6">
              <w:t>d procedures</w:t>
            </w:r>
          </w:p>
        </w:tc>
      </w:tr>
    </w:tbl>
    <w:p w:rsidR="00000000" w:rsidRPr="00F664D6" w:rsidP="00F664D6">
      <w:pPr>
        <w:pStyle w:val="BodyText"/>
      </w:pPr>
    </w:p>
    <w:p w:rsidR="00000000" w:rsidRPr="00F664D6" w:rsidP="00F664D6">
      <w:pPr>
        <w:pStyle w:val="AllowPageBreak"/>
      </w:pPr>
    </w:p>
    <w:p w:rsidR="00000000" w:rsidRPr="00F664D6" w:rsidP="00F664D6">
      <w:pPr>
        <w:pStyle w:val="Heading1"/>
      </w:pPr>
      <w:bookmarkStart w:id="9" w:name="O_322245"/>
      <w:bookmarkEnd w:id="9"/>
      <w:r w:rsidRPr="00F664D6">
        <w:t>Required Skills and Knowledge</w:t>
      </w:r>
    </w:p>
    <w:p w:rsidR="00000000" w:rsidRPr="00F664D6" w:rsidP="00F664D6">
      <w:pPr>
        <w:pStyle w:val="BodyText"/>
      </w:pPr>
      <w:r w:rsidRPr="00F664D6">
        <w:t>Not applicable.</w:t>
      </w:r>
    </w:p>
    <w:p w:rsidR="00000000" w:rsidRPr="00F664D6" w:rsidP="00F664D6">
      <w:pPr>
        <w:pStyle w:val="AllowPageBreak"/>
      </w:pPr>
    </w:p>
    <w:p w:rsidR="00000000" w:rsidRPr="00F664D6" w:rsidP="00F664D6">
      <w:pPr>
        <w:pStyle w:val="Heading1"/>
      </w:pPr>
      <w:bookmarkStart w:id="10" w:name="O_322253"/>
      <w:bookmarkEnd w:id="10"/>
      <w:r w:rsidRPr="00F664D6">
        <w:t>Evidence Guide</w:t>
      </w:r>
    </w:p>
    <w:p w:rsidR="00000000" w:rsidRPr="00F664D6" w:rsidP="00F664D6">
      <w:pPr>
        <w:pStyle w:val="BodyText"/>
      </w:pPr>
      <w:r w:rsidRPr="00F664D6">
        <w:t>The Evidence Guide identifies the critical aspects, underpinning knowledge and skills to be demonstrated to confirm competence for this unit. This is an integral part of the assessment of competence and should be read in conjunction with the Range Statemen</w:t>
      </w:r>
      <w:r w:rsidRPr="00F664D6">
        <w:t>t.</w:t>
      </w:r>
    </w:p>
    <w:p w:rsidR="00000000" w:rsidRPr="00F664D6" w:rsidP="00F664D6">
      <w:pPr>
        <w:pStyle w:val="BodyText"/>
      </w:pPr>
      <w:r w:rsidRPr="00F664D6">
        <w:rPr>
          <w:rStyle w:val="SpecialBold"/>
        </w:rPr>
        <w:t>Critical Aspects of Evidence</w:t>
      </w:r>
    </w:p>
    <w:p w:rsidR="00000000" w:rsidRPr="00F664D6" w:rsidP="00F664D6">
      <w:pPr>
        <w:pStyle w:val="BodyText"/>
      </w:pPr>
      <w:r w:rsidRPr="00F664D6">
        <w:t xml:space="preserve">Integrated demonstration of all elements of competency and their performance criteria </w:t>
      </w:r>
    </w:p>
    <w:p w:rsidR="00000000" w:rsidRPr="00F664D6" w:rsidP="00F664D6">
      <w:pPr>
        <w:pStyle w:val="BodyText"/>
      </w:pPr>
      <w:r w:rsidRPr="00F664D6">
        <w:t xml:space="preserve">Adherence to Australian Accounting and Auditing Standards </w:t>
      </w:r>
    </w:p>
    <w:p w:rsidR="00000000" w:rsidRPr="00F664D6" w:rsidP="00F664D6">
      <w:pPr>
        <w:pStyle w:val="BodyText"/>
      </w:pPr>
      <w:r w:rsidRPr="00F664D6">
        <w:t xml:space="preserve">Adherence to double-entry principles </w:t>
      </w:r>
    </w:p>
    <w:p w:rsidR="00000000" w:rsidRPr="00F664D6" w:rsidP="00F664D6">
      <w:pPr>
        <w:pStyle w:val="BodyText"/>
      </w:pPr>
      <w:r w:rsidRPr="00F664D6">
        <w:t>Systematic tracing of errors</w:t>
      </w:r>
    </w:p>
    <w:p w:rsidR="00000000" w:rsidRPr="00F664D6" w:rsidP="00F664D6">
      <w:pPr>
        <w:pStyle w:val="BodyText"/>
      </w:pPr>
      <w:r w:rsidRPr="00F664D6">
        <w:rPr>
          <w:rStyle w:val="SpecialBold"/>
        </w:rPr>
        <w:t>Underpinnin</w:t>
      </w:r>
      <w:r w:rsidRPr="00F664D6">
        <w:rPr>
          <w:rStyle w:val="SpecialBold"/>
        </w:rPr>
        <w:t>g Knowledge</w:t>
      </w:r>
    </w:p>
    <w:p w:rsidR="00000000" w:rsidRPr="00F664D6" w:rsidP="00F664D6">
      <w:pPr>
        <w:pStyle w:val="BodyText"/>
      </w:pPr>
      <w:r w:rsidRPr="00F664D6">
        <w:t>* At this level the learner must demonstrate understanding of a broad knowledge base incorporating some theoretical concepts.</w:t>
      </w:r>
    </w:p>
    <w:p w:rsidR="00000000" w:rsidRPr="00F664D6" w:rsidP="00F664D6">
      <w:pPr>
        <w:pStyle w:val="BodyText"/>
      </w:pPr>
      <w:r w:rsidRPr="00F664D6">
        <w:t>Relevant legislation from all levels of government that affects business operation, especially in regard to Occupation</w:t>
      </w:r>
      <w:r w:rsidRPr="00F664D6">
        <w:t xml:space="preserve">al Health and Safety and environmental issues, equal opportunity, industrial relations and anti-discrimination </w:t>
      </w:r>
    </w:p>
    <w:p w:rsidR="00000000" w:rsidRPr="00F664D6" w:rsidP="00F664D6">
      <w:pPr>
        <w:pStyle w:val="BodyText"/>
      </w:pPr>
      <w:r w:rsidRPr="00F664D6">
        <w:t xml:space="preserve">Knowledge of organisation's policies, procedures and accounting requirements </w:t>
      </w:r>
    </w:p>
    <w:p w:rsidR="00000000" w:rsidRPr="00F664D6" w:rsidP="00F664D6">
      <w:pPr>
        <w:pStyle w:val="BodyText"/>
      </w:pPr>
      <w:r w:rsidRPr="00F664D6">
        <w:t xml:space="preserve">Knowledge of organisation's accounting systems </w:t>
      </w:r>
    </w:p>
    <w:p w:rsidR="00000000" w:rsidRPr="00F664D6" w:rsidP="00F664D6">
      <w:pPr>
        <w:pStyle w:val="BodyText"/>
      </w:pPr>
      <w:r w:rsidRPr="00F664D6">
        <w:t>Double-entry bookk</w:t>
      </w:r>
      <w:r w:rsidRPr="00F664D6">
        <w:t xml:space="preserve">eeping principles </w:t>
      </w:r>
    </w:p>
    <w:p w:rsidR="00000000" w:rsidRPr="00F664D6" w:rsidP="00F664D6">
      <w:pPr>
        <w:pStyle w:val="BodyText"/>
      </w:pPr>
      <w:r w:rsidRPr="00F664D6">
        <w:t>General journal and general ledger entries</w:t>
      </w:r>
    </w:p>
    <w:p w:rsidR="00000000" w:rsidRPr="00F664D6" w:rsidP="00F664D6">
      <w:pPr>
        <w:pStyle w:val="BodyText"/>
      </w:pPr>
      <w:r w:rsidRPr="00F664D6">
        <w:rPr>
          <w:rStyle w:val="SpecialBold"/>
        </w:rPr>
        <w:t>Underpinning Skills</w:t>
      </w:r>
    </w:p>
    <w:p w:rsidR="00000000" w:rsidRPr="00F664D6" w:rsidP="00F664D6">
      <w:pPr>
        <w:pStyle w:val="BodyText"/>
      </w:pPr>
      <w:r w:rsidRPr="00F664D6">
        <w:t xml:space="preserve">Literacy skills to identify financial information, to follow Australian Accounting and Auditing Standards and the organisation's accounting procedures </w:t>
      </w:r>
    </w:p>
    <w:p w:rsidR="00000000" w:rsidRPr="00F664D6" w:rsidP="00F664D6">
      <w:pPr>
        <w:pStyle w:val="BodyText"/>
      </w:pPr>
      <w:r w:rsidRPr="00F664D6">
        <w:t>Communication skills i</w:t>
      </w:r>
      <w:r w:rsidRPr="00F664D6">
        <w:t xml:space="preserve">ncluding questioning, clarifying, reporting </w:t>
      </w:r>
    </w:p>
    <w:p w:rsidR="00000000" w:rsidRPr="00F664D6" w:rsidP="00F664D6">
      <w:pPr>
        <w:pStyle w:val="BodyText"/>
      </w:pPr>
      <w:r w:rsidRPr="00F664D6">
        <w:t xml:space="preserve">Numeracy skills in relation to calculation of percentages, simple addition and subtraction </w:t>
      </w:r>
    </w:p>
    <w:p w:rsidR="00000000" w:rsidRPr="00F664D6" w:rsidP="00F664D6">
      <w:pPr>
        <w:pStyle w:val="BodyText"/>
      </w:pPr>
      <w:r w:rsidRPr="00F664D6">
        <w:t>Ability to relate to people from a range of social, cultural and ethnic backgrounds and physical and mental abilities</w:t>
      </w:r>
    </w:p>
    <w:p w:rsidR="00000000" w:rsidRPr="00F664D6" w:rsidP="00F664D6">
      <w:pPr>
        <w:pStyle w:val="BodyText"/>
      </w:pPr>
      <w:r w:rsidRPr="00F664D6">
        <w:rPr>
          <w:rStyle w:val="SpecialBold"/>
        </w:rPr>
        <w:t>R</w:t>
      </w:r>
      <w:r w:rsidRPr="00F664D6">
        <w:rPr>
          <w:rStyle w:val="SpecialBold"/>
        </w:rPr>
        <w:t>esource Implications</w:t>
      </w:r>
    </w:p>
    <w:p w:rsidR="00000000" w:rsidRPr="00F664D6" w:rsidP="00F664D6">
      <w:pPr>
        <w:pStyle w:val="BodyText"/>
      </w:pPr>
      <w:r w:rsidRPr="00F664D6">
        <w:t xml:space="preserve">The learner and trainer should have access to appropriate documentation and resources normally used in the workplace which may include: </w:t>
      </w:r>
    </w:p>
    <w:p w:rsidR="00000000" w:rsidRPr="00F664D6" w:rsidP="00F664D6">
      <w:pPr>
        <w:pStyle w:val="BodyText"/>
      </w:pPr>
      <w:r w:rsidRPr="00F664D6">
        <w:t xml:space="preserve">Australian Accounting and Auditing Standards </w:t>
      </w:r>
    </w:p>
    <w:p w:rsidR="00000000" w:rsidRPr="00F664D6" w:rsidP="00F664D6">
      <w:pPr>
        <w:pStyle w:val="BodyText"/>
      </w:pPr>
      <w:r w:rsidRPr="00F664D6">
        <w:t>Organisational accounting procedures</w:t>
      </w:r>
    </w:p>
    <w:p w:rsidR="00000000" w:rsidRPr="00F664D6" w:rsidP="00F664D6">
      <w:pPr>
        <w:pStyle w:val="BodyText"/>
      </w:pPr>
      <w:r w:rsidRPr="00F664D6">
        <w:rPr>
          <w:rStyle w:val="SpecialBold"/>
        </w:rPr>
        <w:t xml:space="preserve">Consistency of </w:t>
      </w:r>
      <w:r w:rsidRPr="00F664D6">
        <w:rPr>
          <w:rStyle w:val="SpecialBold"/>
        </w:rPr>
        <w:t>Performance</w:t>
      </w:r>
    </w:p>
    <w:p w:rsidR="00000000" w:rsidRPr="00F664D6" w:rsidP="00F664D6">
      <w:pPr>
        <w:pStyle w:val="BodyText"/>
      </w:pPr>
      <w:r w:rsidRPr="00F664D6">
        <w:t xml:space="preserve">In order to achieve consistency of performance, evidence should be collected over a set period of time which is sufficient to include dealings with an appropriate range and variety of situations </w:t>
      </w:r>
    </w:p>
    <w:p w:rsidR="00000000" w:rsidRPr="00F664D6" w:rsidP="00F664D6">
      <w:pPr>
        <w:pStyle w:val="BodyText"/>
      </w:pPr>
      <w:r w:rsidRPr="00F664D6">
        <w:rPr>
          <w:rStyle w:val="SpecialBold"/>
        </w:rPr>
        <w:t>Context</w:t>
      </w:r>
      <w:r w:rsidRPr="00F664D6">
        <w:t>/</w:t>
      </w:r>
      <w:r w:rsidRPr="00F664D6">
        <w:rPr>
          <w:rStyle w:val="SpecialBold"/>
        </w:rPr>
        <w:t>s of Assessment</w:t>
      </w:r>
    </w:p>
    <w:p w:rsidR="00000000" w:rsidRPr="00F664D6" w:rsidP="00F664D6">
      <w:pPr>
        <w:pStyle w:val="BodyText"/>
      </w:pPr>
      <w:r w:rsidRPr="00F664D6">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F664D6" w:rsidP="00F664D6">
      <w:pPr>
        <w:pStyle w:val="BodyText"/>
      </w:pPr>
      <w:r w:rsidRPr="00F664D6">
        <w:t>Assessme</w:t>
      </w:r>
      <w:r w:rsidRPr="00F664D6">
        <w:t xml:space="preserve">nt must take account of the endorsed assessment guidelines in the Business Services Training Package </w:t>
      </w:r>
    </w:p>
    <w:p w:rsidR="00000000" w:rsidRPr="00F664D6" w:rsidP="00F664D6">
      <w:pPr>
        <w:pStyle w:val="BodyText"/>
      </w:pPr>
      <w:r w:rsidRPr="00F664D6">
        <w:t xml:space="preserve">Assessment of performance requirements in this unit should be undertaken in an actual workplace or simulated environment  </w:t>
      </w:r>
    </w:p>
    <w:p w:rsidR="00000000" w:rsidRPr="00F664D6" w:rsidP="00F664D6">
      <w:pPr>
        <w:pStyle w:val="BodyText"/>
      </w:pPr>
      <w:r w:rsidRPr="00F664D6">
        <w:t>Assessment should reinforce the</w:t>
      </w:r>
      <w:r w:rsidRPr="00F664D6">
        <w:t xml:space="preserve"> integration of the key competencies and the business services common competencies for the particular AQF level. Refer to the Key Competency Levels at the end of this unit</w:t>
      </w:r>
    </w:p>
    <w:p w:rsidR="00000000" w:rsidRPr="00F664D6" w:rsidP="00F664D6">
      <w:pPr>
        <w:pStyle w:val="BodyText"/>
      </w:pPr>
      <w:r w:rsidRPr="00F664D6">
        <w:rPr>
          <w:rStyle w:val="SpecialBold"/>
        </w:rPr>
        <w:t>Key Competency Levels</w:t>
      </w:r>
    </w:p>
    <w:p w:rsidR="00000000" w:rsidRPr="00F664D6" w:rsidP="00F664D6">
      <w:pPr>
        <w:pStyle w:val="BodyText"/>
      </w:pPr>
      <w:r w:rsidRPr="00F664D6">
        <w:rPr>
          <w:rStyle w:val="SpecialBold"/>
        </w:rPr>
        <w:t>Collecting</w:t>
      </w:r>
      <w:r w:rsidRPr="00F664D6">
        <w:t xml:space="preserve">, </w:t>
      </w:r>
      <w:r w:rsidRPr="00F664D6">
        <w:rPr>
          <w:rStyle w:val="SpecialBold"/>
        </w:rPr>
        <w:t>analysing and organising information</w:t>
      </w:r>
      <w:r w:rsidRPr="00F664D6">
        <w:t xml:space="preserve"> (Level 2)- to</w:t>
      </w:r>
      <w:r w:rsidRPr="00F664D6">
        <w:t xml:space="preserve"> prepare an asset register </w:t>
      </w:r>
    </w:p>
    <w:p w:rsidR="00000000" w:rsidRPr="00F664D6" w:rsidP="00F664D6">
      <w:pPr>
        <w:pStyle w:val="BodyText"/>
      </w:pPr>
      <w:r w:rsidRPr="00F664D6">
        <w:rPr>
          <w:rStyle w:val="SpecialBold"/>
        </w:rPr>
        <w:t>Communicating ideas and information</w:t>
      </w:r>
      <w:r w:rsidRPr="00F664D6">
        <w:t xml:space="preserve"> (Level 1)- through revenue statements and balance sheets </w:t>
      </w:r>
    </w:p>
    <w:p w:rsidR="00000000" w:rsidRPr="00F664D6" w:rsidP="00F664D6">
      <w:pPr>
        <w:pStyle w:val="BodyText"/>
      </w:pPr>
      <w:r w:rsidRPr="00F664D6">
        <w:rPr>
          <w:rStyle w:val="SpecialBold"/>
        </w:rPr>
        <w:t>Planning and organising activities</w:t>
      </w:r>
      <w:r w:rsidRPr="00F664D6">
        <w:t xml:space="preserve"> (Level 1)- to prepare end-of-period financial reports </w:t>
      </w:r>
    </w:p>
    <w:p w:rsidR="00000000" w:rsidRPr="00F664D6" w:rsidP="00F664D6">
      <w:pPr>
        <w:pStyle w:val="BodyText"/>
      </w:pPr>
      <w:r w:rsidRPr="00F664D6">
        <w:rPr>
          <w:rStyle w:val="SpecialBold"/>
        </w:rPr>
        <w:t>Working with teams and others</w:t>
      </w:r>
      <w:r w:rsidRPr="00F664D6">
        <w:t xml:space="preserve"> (Level 1)- to </w:t>
      </w:r>
      <w:r w:rsidRPr="00F664D6">
        <w:t xml:space="preserve">correct or refer errors for resolution </w:t>
      </w:r>
    </w:p>
    <w:p w:rsidR="00000000" w:rsidRPr="00F664D6" w:rsidP="00F664D6">
      <w:pPr>
        <w:pStyle w:val="BodyText"/>
      </w:pPr>
      <w:r w:rsidRPr="00F664D6">
        <w:rPr>
          <w:rStyle w:val="SpecialBold"/>
        </w:rPr>
        <w:t>Using mathematical ideas and techniques</w:t>
      </w:r>
      <w:r w:rsidRPr="00F664D6">
        <w:t xml:space="preserve"> (Level 2)- to calculate depreciation </w:t>
      </w:r>
    </w:p>
    <w:p w:rsidR="00000000" w:rsidRPr="00F664D6" w:rsidP="00F664D6">
      <w:pPr>
        <w:pStyle w:val="BodyText"/>
      </w:pPr>
      <w:r w:rsidRPr="00F664D6">
        <w:rPr>
          <w:rStyle w:val="SpecialBold"/>
        </w:rPr>
        <w:t>Solving problems</w:t>
      </w:r>
      <w:r w:rsidRPr="00F664D6">
        <w:t xml:space="preserve"> (Level 2)- to ensure accounts balance  </w:t>
      </w:r>
    </w:p>
    <w:p w:rsidR="00000000" w:rsidRPr="00F664D6" w:rsidP="00F664D6">
      <w:pPr>
        <w:pStyle w:val="BodyText"/>
      </w:pPr>
      <w:r w:rsidRPr="00F664D6">
        <w:rPr>
          <w:rStyle w:val="SpecialBold"/>
        </w:rPr>
        <w:t>Using technology</w:t>
      </w:r>
      <w:r w:rsidRPr="00F664D6">
        <w:t xml:space="preserve"> (Level 2)- to prepare or generate financial reports as required</w:t>
      </w:r>
    </w:p>
    <w:p w:rsidR="00000000" w:rsidRPr="00F664D6" w:rsidP="00F664D6">
      <w:pPr>
        <w:pStyle w:val="BodyText"/>
      </w:pPr>
      <w:r w:rsidRPr="00F664D6">
        <w:t>Please refer to the Assessment Guidelines for advice on how to use the Key Competencies</w:t>
      </w:r>
    </w:p>
    <w:p w:rsidR="00000000" w:rsidRPr="00F664D6" w:rsidP="00F664D6">
      <w:pPr>
        <w:pStyle w:val="BodyText"/>
      </w:pPr>
      <w:r w:rsidRPr="00F664D6">
        <w:t>The Evidence Guide identifies the critical aspects, underpinning knowledge and skills to be demonstrated to confirm competence for this unit. This is an integral part o</w:t>
      </w:r>
      <w:r w:rsidRPr="00F664D6">
        <w:t>f the assessment of competence and should be read in conjunction with the Range Statement.</w:t>
      </w:r>
    </w:p>
    <w:p w:rsidR="00000000" w:rsidRPr="00F664D6" w:rsidP="00F664D6">
      <w:pPr>
        <w:pStyle w:val="BodyText"/>
      </w:pPr>
      <w:r w:rsidRPr="00F664D6">
        <w:rPr>
          <w:rStyle w:val="SpecialBold"/>
        </w:rPr>
        <w:t>Critical Aspects of Evidence</w:t>
      </w:r>
    </w:p>
    <w:p w:rsidR="00000000" w:rsidRPr="00F664D6" w:rsidP="00F664D6">
      <w:pPr>
        <w:pStyle w:val="BodyText"/>
      </w:pPr>
      <w:r w:rsidRPr="00F664D6">
        <w:t xml:space="preserve">Integrated demonstration of all elements of competency and their performance criteria </w:t>
      </w:r>
    </w:p>
    <w:p w:rsidR="00000000" w:rsidRPr="00F664D6" w:rsidP="00F664D6">
      <w:pPr>
        <w:pStyle w:val="BodyText"/>
      </w:pPr>
      <w:r w:rsidRPr="00F664D6">
        <w:t>Adherence to Australian Accounting and Auditing S</w:t>
      </w:r>
      <w:r w:rsidRPr="00F664D6">
        <w:t xml:space="preserve">tandards </w:t>
      </w:r>
    </w:p>
    <w:p w:rsidR="00000000" w:rsidRPr="00F664D6" w:rsidP="00F664D6">
      <w:pPr>
        <w:pStyle w:val="BodyText"/>
      </w:pPr>
      <w:r w:rsidRPr="00F664D6">
        <w:t xml:space="preserve">Adherence to double-entry principles </w:t>
      </w:r>
    </w:p>
    <w:p w:rsidR="00000000" w:rsidRPr="00F664D6" w:rsidP="00F664D6">
      <w:pPr>
        <w:pStyle w:val="BodyText"/>
      </w:pPr>
      <w:r w:rsidRPr="00F664D6">
        <w:t>Systematic tracing of errors</w:t>
      </w:r>
    </w:p>
    <w:p w:rsidR="00000000" w:rsidRPr="00F664D6" w:rsidP="00F664D6">
      <w:pPr>
        <w:pStyle w:val="BodyText"/>
      </w:pPr>
      <w:r w:rsidRPr="00F664D6">
        <w:rPr>
          <w:rStyle w:val="SpecialBold"/>
        </w:rPr>
        <w:t>Underpinning Knowledge</w:t>
      </w:r>
    </w:p>
    <w:p w:rsidR="00000000" w:rsidRPr="00F664D6" w:rsidP="00F664D6">
      <w:pPr>
        <w:pStyle w:val="BodyText"/>
      </w:pPr>
      <w:r w:rsidRPr="00F664D6">
        <w:t>* At this level the learner must demonstrate understanding of a broad knowledge base incorporating some theoretical concepts.</w:t>
      </w:r>
    </w:p>
    <w:p w:rsidR="00000000" w:rsidRPr="00F664D6" w:rsidP="00F664D6">
      <w:pPr>
        <w:pStyle w:val="BodyText"/>
      </w:pPr>
      <w:r w:rsidRPr="00F664D6">
        <w:t xml:space="preserve">Relevant legislation from all </w:t>
      </w:r>
      <w:r w:rsidRPr="00F664D6">
        <w:t xml:space="preserve">levels of government that affects business operation, especially in regard to Occupational Health and Safety and environmental issues, equal opportunity, industrial relations and anti-discrimination </w:t>
      </w:r>
    </w:p>
    <w:p w:rsidR="00000000" w:rsidRPr="00F664D6" w:rsidP="00F664D6">
      <w:pPr>
        <w:pStyle w:val="BodyText"/>
      </w:pPr>
      <w:r w:rsidRPr="00F664D6">
        <w:t>Knowledge of organisation's policies, procedures and acc</w:t>
      </w:r>
      <w:r w:rsidRPr="00F664D6">
        <w:t xml:space="preserve">ounting requirements </w:t>
      </w:r>
    </w:p>
    <w:p w:rsidR="00000000" w:rsidRPr="00F664D6" w:rsidP="00F664D6">
      <w:pPr>
        <w:pStyle w:val="BodyText"/>
      </w:pPr>
      <w:r w:rsidRPr="00F664D6">
        <w:t xml:space="preserve">Knowledge of organisation's accounting systems </w:t>
      </w:r>
    </w:p>
    <w:p w:rsidR="00000000" w:rsidRPr="00F664D6" w:rsidP="00F664D6">
      <w:pPr>
        <w:pStyle w:val="BodyText"/>
      </w:pPr>
      <w:r w:rsidRPr="00F664D6">
        <w:t xml:space="preserve">Double-entry bookkeeping principles </w:t>
      </w:r>
    </w:p>
    <w:p w:rsidR="00000000" w:rsidRPr="00F664D6" w:rsidP="00F664D6">
      <w:pPr>
        <w:pStyle w:val="BodyText"/>
      </w:pPr>
      <w:r w:rsidRPr="00F664D6">
        <w:t>General journal and general ledger entries</w:t>
      </w:r>
    </w:p>
    <w:p w:rsidR="00000000" w:rsidRPr="00F664D6" w:rsidP="00F664D6">
      <w:pPr>
        <w:pStyle w:val="BodyText"/>
      </w:pPr>
      <w:r w:rsidRPr="00F664D6">
        <w:rPr>
          <w:rStyle w:val="SpecialBold"/>
        </w:rPr>
        <w:t>Underpinning Skills</w:t>
      </w:r>
    </w:p>
    <w:p w:rsidR="00000000" w:rsidRPr="00F664D6" w:rsidP="00F664D6">
      <w:pPr>
        <w:pStyle w:val="BodyText"/>
      </w:pPr>
      <w:r w:rsidRPr="00F664D6">
        <w:t>Literacy skills to identify financial information, to follow Australian Accounting and</w:t>
      </w:r>
      <w:r w:rsidRPr="00F664D6">
        <w:t xml:space="preserve"> Auditing Standards and the organisation's accounting procedures </w:t>
      </w:r>
    </w:p>
    <w:p w:rsidR="00000000" w:rsidRPr="00F664D6" w:rsidP="00F664D6">
      <w:pPr>
        <w:pStyle w:val="BodyText"/>
      </w:pPr>
      <w:r w:rsidRPr="00F664D6">
        <w:t xml:space="preserve">Communication skills including questioning, clarifying, reporting </w:t>
      </w:r>
    </w:p>
    <w:p w:rsidR="00000000" w:rsidRPr="00F664D6" w:rsidP="00F664D6">
      <w:pPr>
        <w:pStyle w:val="BodyText"/>
      </w:pPr>
      <w:r w:rsidRPr="00F664D6">
        <w:t xml:space="preserve">Numeracy skills in relation to calculation of percentages, simple addition and subtraction </w:t>
      </w:r>
    </w:p>
    <w:p w:rsidR="00000000" w:rsidRPr="00F664D6" w:rsidP="00F664D6">
      <w:pPr>
        <w:pStyle w:val="BodyText"/>
      </w:pPr>
      <w:r w:rsidRPr="00F664D6">
        <w:t>Ability to relate to people from a range of social, cultural and ethnic backgrounds and physical and mental abilities</w:t>
      </w:r>
    </w:p>
    <w:p w:rsidR="00000000" w:rsidRPr="00F664D6" w:rsidP="00F664D6">
      <w:pPr>
        <w:pStyle w:val="BodyText"/>
      </w:pPr>
      <w:r w:rsidRPr="00F664D6">
        <w:rPr>
          <w:rStyle w:val="SpecialBold"/>
        </w:rPr>
        <w:t>Resource Implications</w:t>
      </w:r>
    </w:p>
    <w:p w:rsidR="00000000" w:rsidRPr="00F664D6" w:rsidP="00F664D6">
      <w:pPr>
        <w:pStyle w:val="BodyText"/>
      </w:pPr>
      <w:r w:rsidRPr="00F664D6">
        <w:t>The learner and trainer should have access to appropriate documentation and resources normally used in the workplace</w:t>
      </w:r>
      <w:r w:rsidRPr="00F664D6">
        <w:t xml:space="preserve"> which may include: </w:t>
      </w:r>
    </w:p>
    <w:p w:rsidR="00000000" w:rsidRPr="00F664D6" w:rsidP="00F664D6">
      <w:pPr>
        <w:pStyle w:val="BodyText"/>
      </w:pPr>
      <w:r w:rsidRPr="00F664D6">
        <w:t xml:space="preserve">Australian Accounting and Auditing Standards </w:t>
      </w:r>
    </w:p>
    <w:p w:rsidR="00000000" w:rsidRPr="00F664D6" w:rsidP="00F664D6">
      <w:pPr>
        <w:pStyle w:val="BodyText"/>
      </w:pPr>
      <w:r w:rsidRPr="00F664D6">
        <w:t>Organisational accounting procedures</w:t>
      </w:r>
    </w:p>
    <w:p w:rsidR="00000000" w:rsidRPr="00F664D6" w:rsidP="00F664D6">
      <w:pPr>
        <w:pStyle w:val="BodyText"/>
      </w:pPr>
      <w:r w:rsidRPr="00F664D6">
        <w:rPr>
          <w:rStyle w:val="SpecialBold"/>
        </w:rPr>
        <w:t>Consistency of Performance</w:t>
      </w:r>
    </w:p>
    <w:p w:rsidR="00000000" w:rsidRPr="00F664D6" w:rsidP="00F664D6">
      <w:pPr>
        <w:pStyle w:val="BodyText"/>
      </w:pPr>
      <w:r w:rsidRPr="00F664D6">
        <w:t>In order to achieve consistency of performance, evidence should be collected over a set period of time which is sufficient to</w:t>
      </w:r>
      <w:r w:rsidRPr="00F664D6">
        <w:t xml:space="preserve"> include dealings with an appropriate range and variety of situations </w:t>
      </w:r>
    </w:p>
    <w:p w:rsidR="00000000" w:rsidRPr="00F664D6" w:rsidP="00F664D6">
      <w:pPr>
        <w:pStyle w:val="BodyText"/>
      </w:pPr>
      <w:r w:rsidRPr="00F664D6">
        <w:rPr>
          <w:rStyle w:val="SpecialBold"/>
        </w:rPr>
        <w:t>Context</w:t>
      </w:r>
      <w:r w:rsidRPr="00F664D6">
        <w:t>/</w:t>
      </w:r>
      <w:r w:rsidRPr="00F664D6">
        <w:rPr>
          <w:rStyle w:val="SpecialBold"/>
        </w:rPr>
        <w:t>s of Assessment</w:t>
      </w:r>
    </w:p>
    <w:p w:rsidR="00000000" w:rsidRPr="00F664D6" w:rsidP="00F664D6">
      <w:pPr>
        <w:pStyle w:val="BodyText"/>
      </w:pPr>
      <w:r w:rsidRPr="00F664D6">
        <w:t>Competency is demonstrated by performance of all stated criteria, including paying particular attention to the critical aspects and the knowledge and skills elab</w:t>
      </w:r>
      <w:r w:rsidRPr="00F664D6">
        <w:t xml:space="preserve">orated in the Evidence Guide, and within the scope as defined by the Range Statement  </w:t>
      </w:r>
    </w:p>
    <w:p w:rsidR="00000000" w:rsidRPr="00F664D6" w:rsidP="00F664D6">
      <w:pPr>
        <w:pStyle w:val="BodyText"/>
      </w:pPr>
      <w:r w:rsidRPr="00F664D6">
        <w:t xml:space="preserve">Assessment must take account of the endorsed assessment guidelines in the Business Services Training Package </w:t>
      </w:r>
    </w:p>
    <w:p w:rsidR="00000000" w:rsidRPr="00F664D6" w:rsidP="00F664D6">
      <w:pPr>
        <w:pStyle w:val="BodyText"/>
      </w:pPr>
      <w:r w:rsidRPr="00F664D6">
        <w:t xml:space="preserve">Assessment of performance requirements in this unit should </w:t>
      </w:r>
      <w:r w:rsidRPr="00F664D6">
        <w:t xml:space="preserve">be undertaken in an actual workplace or simulated environment  </w:t>
      </w:r>
    </w:p>
    <w:p w:rsidR="00000000" w:rsidRPr="00F664D6" w:rsidP="00F664D6">
      <w:pPr>
        <w:pStyle w:val="BodyText"/>
      </w:pPr>
      <w:r w:rsidRPr="00F664D6">
        <w:t>Assessment should reinforce the integration of the key competencies and the business services common competencies for the particular AQF level. Refer to the Key Competency Levels at the end of</w:t>
      </w:r>
      <w:r w:rsidRPr="00F664D6">
        <w:t xml:space="preserve"> this unit</w:t>
      </w:r>
    </w:p>
    <w:p w:rsidR="00000000" w:rsidRPr="00F664D6" w:rsidP="00F664D6">
      <w:pPr>
        <w:pStyle w:val="BodyText"/>
      </w:pPr>
      <w:r w:rsidRPr="00F664D6">
        <w:rPr>
          <w:rStyle w:val="SpecialBold"/>
        </w:rPr>
        <w:t>Key Competency Levels</w:t>
      </w:r>
    </w:p>
    <w:p w:rsidR="00000000" w:rsidRPr="00F664D6" w:rsidP="00F664D6">
      <w:pPr>
        <w:pStyle w:val="BodyText"/>
      </w:pPr>
      <w:r w:rsidRPr="00F664D6">
        <w:rPr>
          <w:rStyle w:val="SpecialBold"/>
        </w:rPr>
        <w:t>Collecting</w:t>
      </w:r>
      <w:r w:rsidRPr="00F664D6">
        <w:t xml:space="preserve">, </w:t>
      </w:r>
      <w:r w:rsidRPr="00F664D6">
        <w:rPr>
          <w:rStyle w:val="SpecialBold"/>
        </w:rPr>
        <w:t>analysing and organising information</w:t>
      </w:r>
      <w:r w:rsidRPr="00F664D6">
        <w:t xml:space="preserve"> (Level 2)- to prepare an asset register </w:t>
      </w:r>
    </w:p>
    <w:p w:rsidR="00000000" w:rsidRPr="00F664D6" w:rsidP="00F664D6">
      <w:pPr>
        <w:pStyle w:val="BodyText"/>
      </w:pPr>
      <w:r w:rsidRPr="00F664D6">
        <w:rPr>
          <w:rStyle w:val="SpecialBold"/>
        </w:rPr>
        <w:t>Communicating ideas and information</w:t>
      </w:r>
      <w:r w:rsidRPr="00F664D6">
        <w:t xml:space="preserve"> (Level 1)- through revenue statements and balance sheets </w:t>
      </w:r>
    </w:p>
    <w:p w:rsidR="00000000" w:rsidRPr="00F664D6" w:rsidP="00F664D6">
      <w:pPr>
        <w:pStyle w:val="BodyText"/>
      </w:pPr>
      <w:r w:rsidRPr="00F664D6">
        <w:rPr>
          <w:rStyle w:val="SpecialBold"/>
        </w:rPr>
        <w:t>Planning and organising activities</w:t>
      </w:r>
      <w:r w:rsidRPr="00F664D6">
        <w:t xml:space="preserve"> (Level 1)- to prepare end-of-period financial reports </w:t>
      </w:r>
    </w:p>
    <w:p w:rsidR="00000000" w:rsidRPr="00F664D6" w:rsidP="00F664D6">
      <w:pPr>
        <w:pStyle w:val="BodyText"/>
      </w:pPr>
      <w:r w:rsidRPr="00F664D6">
        <w:rPr>
          <w:rStyle w:val="SpecialBold"/>
        </w:rPr>
        <w:t>Working with teams and others</w:t>
      </w:r>
      <w:r w:rsidRPr="00F664D6">
        <w:t xml:space="preserve"> (Level 1)- to correct or refer errors for resolution </w:t>
      </w:r>
    </w:p>
    <w:p w:rsidR="00000000" w:rsidRPr="00F664D6" w:rsidP="00F664D6">
      <w:pPr>
        <w:pStyle w:val="BodyText"/>
      </w:pPr>
      <w:r w:rsidRPr="00F664D6">
        <w:rPr>
          <w:rStyle w:val="SpecialBold"/>
        </w:rPr>
        <w:t>Using mathematical ideas and techniques</w:t>
      </w:r>
      <w:r w:rsidRPr="00F664D6">
        <w:t xml:space="preserve"> (Level 2)- to calculate depreciation </w:t>
      </w:r>
    </w:p>
    <w:p w:rsidR="00000000" w:rsidRPr="00F664D6" w:rsidP="00F664D6">
      <w:pPr>
        <w:pStyle w:val="BodyText"/>
      </w:pPr>
      <w:r w:rsidRPr="00F664D6">
        <w:rPr>
          <w:rStyle w:val="SpecialBold"/>
        </w:rPr>
        <w:t>Solving problems</w:t>
      </w:r>
      <w:r w:rsidRPr="00F664D6">
        <w:t xml:space="preserve"> (Level 2)- to ensure </w:t>
      </w:r>
      <w:r w:rsidRPr="00F664D6">
        <w:t xml:space="preserve">accounts balance  </w:t>
      </w:r>
    </w:p>
    <w:p w:rsidR="00000000" w:rsidRPr="00F664D6" w:rsidP="00F664D6">
      <w:pPr>
        <w:pStyle w:val="BodyText"/>
      </w:pPr>
      <w:r w:rsidRPr="00F664D6">
        <w:rPr>
          <w:rStyle w:val="SpecialBold"/>
        </w:rPr>
        <w:t>Using technology</w:t>
      </w:r>
      <w:r w:rsidRPr="00F664D6">
        <w:t xml:space="preserve"> (Level 2)- to prepare or generate financial reports as required</w:t>
      </w:r>
    </w:p>
    <w:p w:rsidR="00000000" w:rsidRPr="00F664D6" w:rsidP="00F664D6">
      <w:pPr>
        <w:pStyle w:val="BodyText"/>
      </w:pPr>
      <w:r w:rsidRPr="00F664D6">
        <w:t>Please refer to the Assessment Guidelines for advice on how to use the Key Competencies</w:t>
      </w:r>
    </w:p>
    <w:p w:rsidR="00000000" w:rsidRPr="00F664D6" w:rsidP="00F664D6">
      <w:pPr>
        <w:pStyle w:val="AllowPageBreak"/>
      </w:pPr>
    </w:p>
    <w:p w:rsidR="00000000" w:rsidRPr="00F664D6" w:rsidP="00F664D6">
      <w:pPr>
        <w:pStyle w:val="Heading1"/>
      </w:pPr>
      <w:bookmarkStart w:id="11" w:name="O_322244"/>
      <w:bookmarkEnd w:id="11"/>
      <w:r w:rsidRPr="00F664D6">
        <w:t>Range Statement</w:t>
      </w:r>
    </w:p>
    <w:p w:rsidR="00000000" w:rsidRPr="00F664D6" w:rsidP="00F664D6">
      <w:pPr>
        <w:pStyle w:val="BodyText"/>
      </w:pPr>
      <w:r w:rsidRPr="00F664D6">
        <w:t>The Range Statement provides advice</w:t>
      </w:r>
      <w:r w:rsidRPr="00F664D6">
        <w:t xml:space="preserve"> to interpret the scope and context of this unit of competence, allowing for differences between enterprises and workplaces. It relates to the unit as a whole and facilitates holistic assessment. The following variables may be present for this particular u</w:t>
      </w:r>
      <w:r w:rsidRPr="00F664D6">
        <w:t>nit:</w:t>
      </w:r>
    </w:p>
    <w:p w:rsidR="00000000" w:rsidRPr="00F664D6" w:rsidP="00F664D6">
      <w:pPr>
        <w:pStyle w:val="BodyText"/>
      </w:pPr>
      <w:r w:rsidRPr="00F664D6">
        <w:rPr>
          <w:rStyle w:val="SpecialBold"/>
        </w:rPr>
        <w:t>Legislation</w:t>
      </w:r>
      <w:r w:rsidRPr="00F664D6">
        <w:t xml:space="preserve">, </w:t>
      </w:r>
      <w:r w:rsidRPr="00F664D6">
        <w:rPr>
          <w:rStyle w:val="SpecialBold"/>
        </w:rPr>
        <w:t>codes and national standards relevant to the workplace which may include</w:t>
      </w:r>
      <w:r w:rsidRPr="00F664D6">
        <w:t>:</w:t>
      </w:r>
    </w:p>
    <w:p w:rsidR="00000000" w:rsidRPr="00F664D6" w:rsidP="00F664D6">
      <w:pPr>
        <w:pStyle w:val="BodyText"/>
      </w:pPr>
      <w:r w:rsidRPr="00F664D6">
        <w:t xml:space="preserve">award and enterprise agreements and relevant industrial instruments </w:t>
      </w:r>
    </w:p>
    <w:p w:rsidR="00000000" w:rsidRPr="00F664D6" w:rsidP="00F664D6">
      <w:pPr>
        <w:pStyle w:val="BodyText"/>
      </w:pPr>
      <w:r w:rsidRPr="00F664D6">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F664D6" w:rsidP="00F664D6">
      <w:pPr>
        <w:pStyle w:val="BodyText"/>
      </w:pPr>
      <w:r w:rsidRPr="00F664D6">
        <w:t>relevant industry codes of</w:t>
      </w:r>
      <w:r w:rsidRPr="00F664D6">
        <w:t xml:space="preserve"> practice</w:t>
      </w:r>
    </w:p>
    <w:p w:rsidR="00000000" w:rsidRPr="00F664D6" w:rsidP="00F664D6">
      <w:pPr>
        <w:pStyle w:val="BodyText"/>
      </w:pPr>
      <w:r w:rsidRPr="00F664D6">
        <w:rPr>
          <w:rStyle w:val="SpecialBold"/>
        </w:rPr>
        <w:t>Calculation of depreciation may include</w:t>
      </w:r>
      <w:r w:rsidRPr="00F664D6">
        <w:t>:</w:t>
      </w:r>
    </w:p>
    <w:p w:rsidR="00000000" w:rsidRPr="00F664D6" w:rsidP="00F664D6">
      <w:pPr>
        <w:pStyle w:val="BodyText"/>
      </w:pPr>
      <w:r w:rsidRPr="00F664D6">
        <w:t xml:space="preserve">straight-line method </w:t>
      </w:r>
    </w:p>
    <w:p w:rsidR="00000000" w:rsidRPr="00F664D6" w:rsidP="00F664D6">
      <w:pPr>
        <w:pStyle w:val="BodyText"/>
      </w:pPr>
      <w:r w:rsidRPr="00F664D6">
        <w:t>reducing balance method</w:t>
      </w:r>
    </w:p>
    <w:p w:rsidR="00000000" w:rsidRPr="00F664D6" w:rsidP="00F664D6">
      <w:pPr>
        <w:pStyle w:val="BodyText"/>
      </w:pPr>
      <w:r w:rsidRPr="00F664D6">
        <w:rPr>
          <w:rStyle w:val="SpecialBold"/>
        </w:rPr>
        <w:t>Expense accounts may include</w:t>
      </w:r>
      <w:r w:rsidRPr="00F664D6">
        <w:t>:</w:t>
      </w:r>
    </w:p>
    <w:p w:rsidR="00000000" w:rsidRPr="00F664D6" w:rsidP="00F664D6">
      <w:pPr>
        <w:pStyle w:val="BodyText"/>
      </w:pPr>
      <w:r w:rsidRPr="00F664D6">
        <w:t xml:space="preserve">rent paid </w:t>
      </w:r>
    </w:p>
    <w:p w:rsidR="00000000" w:rsidRPr="00F664D6" w:rsidP="00F664D6">
      <w:pPr>
        <w:pStyle w:val="BodyText"/>
      </w:pPr>
      <w:r w:rsidRPr="00F664D6">
        <w:t xml:space="preserve">insurance </w:t>
      </w:r>
    </w:p>
    <w:p w:rsidR="00000000" w:rsidRPr="00F664D6" w:rsidP="00F664D6">
      <w:pPr>
        <w:pStyle w:val="BodyText"/>
      </w:pPr>
      <w:r w:rsidRPr="00F664D6">
        <w:t xml:space="preserve">rates </w:t>
      </w:r>
    </w:p>
    <w:p w:rsidR="00000000" w:rsidRPr="00F664D6" w:rsidP="00F664D6">
      <w:pPr>
        <w:pStyle w:val="BodyText"/>
      </w:pPr>
      <w:r w:rsidRPr="00F664D6">
        <w:t xml:space="preserve">wages and salaries </w:t>
      </w:r>
    </w:p>
    <w:p w:rsidR="00000000" w:rsidRPr="00F664D6" w:rsidP="00F664D6">
      <w:pPr>
        <w:pStyle w:val="BodyText"/>
      </w:pPr>
      <w:r w:rsidRPr="00F664D6">
        <w:t xml:space="preserve">freight inward/outward </w:t>
      </w:r>
    </w:p>
    <w:p w:rsidR="00000000" w:rsidRPr="00F664D6" w:rsidP="00F664D6">
      <w:pPr>
        <w:pStyle w:val="BodyText"/>
      </w:pPr>
      <w:r w:rsidRPr="00F664D6">
        <w:t xml:space="preserve">interest paid </w:t>
      </w:r>
    </w:p>
    <w:p w:rsidR="00000000" w:rsidRPr="00F664D6" w:rsidP="00F664D6">
      <w:pPr>
        <w:pStyle w:val="BodyText"/>
      </w:pPr>
      <w:r w:rsidRPr="00F664D6">
        <w:t xml:space="preserve">distribution expenses </w:t>
      </w:r>
    </w:p>
    <w:p w:rsidR="00000000" w:rsidRPr="00F664D6" w:rsidP="00F664D6">
      <w:pPr>
        <w:pStyle w:val="BodyText"/>
      </w:pPr>
      <w:r w:rsidRPr="00F664D6">
        <w:t xml:space="preserve">electricity </w:t>
      </w:r>
    </w:p>
    <w:p w:rsidR="00000000" w:rsidRPr="00F664D6" w:rsidP="00F664D6">
      <w:pPr>
        <w:pStyle w:val="BodyText"/>
      </w:pPr>
      <w:r w:rsidRPr="00F664D6">
        <w:t>telep</w:t>
      </w:r>
      <w:r w:rsidRPr="00F664D6">
        <w:t>hone/fax</w:t>
      </w:r>
    </w:p>
    <w:p w:rsidR="00000000" w:rsidRPr="00F664D6" w:rsidP="00F664D6">
      <w:pPr>
        <w:pStyle w:val="BodyText"/>
      </w:pPr>
      <w:r w:rsidRPr="00F664D6">
        <w:rPr>
          <w:rStyle w:val="SpecialBold"/>
        </w:rPr>
        <w:t>Revenue accounts may include</w:t>
      </w:r>
      <w:r w:rsidRPr="00F664D6">
        <w:t>:</w:t>
      </w:r>
    </w:p>
    <w:p w:rsidR="00000000" w:rsidRPr="00F664D6" w:rsidP="00F664D6">
      <w:pPr>
        <w:pStyle w:val="BodyText"/>
      </w:pPr>
      <w:r w:rsidRPr="00F664D6">
        <w:t xml:space="preserve">interest received </w:t>
      </w:r>
    </w:p>
    <w:p w:rsidR="00000000" w:rsidRPr="00F664D6" w:rsidP="00F664D6">
      <w:pPr>
        <w:pStyle w:val="BodyText"/>
      </w:pPr>
      <w:r w:rsidRPr="00F664D6">
        <w:t xml:space="preserve">commission received </w:t>
      </w:r>
    </w:p>
    <w:p w:rsidR="00000000" w:rsidRPr="00F664D6" w:rsidP="00F664D6">
      <w:pPr>
        <w:pStyle w:val="BodyText"/>
      </w:pPr>
      <w:r w:rsidRPr="00F664D6">
        <w:t>rent received</w:t>
      </w:r>
    </w:p>
    <w:p w:rsidR="00000000" w:rsidRPr="00F664D6" w:rsidP="00F664D6">
      <w:pPr>
        <w:pStyle w:val="BodyText"/>
      </w:pPr>
      <w:r w:rsidRPr="00F664D6">
        <w:rPr>
          <w:rStyle w:val="SpecialBold"/>
        </w:rPr>
        <w:t>Prepayments and accruals may include</w:t>
      </w:r>
      <w:r w:rsidRPr="00F664D6">
        <w:t>:</w:t>
      </w:r>
    </w:p>
    <w:p w:rsidR="00000000" w:rsidRPr="00F664D6" w:rsidP="00F664D6">
      <w:pPr>
        <w:pStyle w:val="BodyText"/>
      </w:pPr>
      <w:r w:rsidRPr="00F664D6">
        <w:t xml:space="preserve">prepaid expenses </w:t>
      </w:r>
    </w:p>
    <w:p w:rsidR="00000000" w:rsidRPr="00F664D6" w:rsidP="00F664D6">
      <w:pPr>
        <w:pStyle w:val="BodyText"/>
      </w:pPr>
      <w:r w:rsidRPr="00F664D6">
        <w:t xml:space="preserve">prepaid revenue </w:t>
      </w:r>
    </w:p>
    <w:p w:rsidR="00000000" w:rsidRPr="00F664D6" w:rsidP="00F664D6">
      <w:pPr>
        <w:pStyle w:val="BodyText"/>
      </w:pPr>
      <w:r w:rsidRPr="00F664D6">
        <w:t xml:space="preserve">accrued expenses </w:t>
      </w:r>
    </w:p>
    <w:p w:rsidR="00000000" w:rsidRPr="00F664D6" w:rsidP="00F664D6">
      <w:pPr>
        <w:pStyle w:val="BodyText"/>
      </w:pPr>
      <w:r w:rsidRPr="00F664D6">
        <w:t>accrued revenue</w:t>
      </w:r>
    </w:p>
    <w:p w:rsidR="00000000" w:rsidRPr="00F664D6" w:rsidP="00F664D6">
      <w:pPr>
        <w:pStyle w:val="BodyText"/>
      </w:pPr>
      <w:r w:rsidRPr="00F664D6">
        <w:rPr>
          <w:rStyle w:val="SpecialBold"/>
        </w:rPr>
        <w:t>Bad and doubtful debts may include</w:t>
      </w:r>
      <w:r w:rsidRPr="00F664D6">
        <w:t>:</w:t>
      </w:r>
    </w:p>
    <w:p w:rsidR="00000000" w:rsidRPr="00F664D6" w:rsidP="00F664D6">
      <w:pPr>
        <w:pStyle w:val="BodyText"/>
      </w:pPr>
      <w:r w:rsidRPr="00F664D6">
        <w:t>writing off bad debt</w:t>
      </w:r>
      <w:r w:rsidRPr="00F664D6">
        <w:t xml:space="preserve">s against provision for doubtful debts  </w:t>
      </w:r>
    </w:p>
    <w:p w:rsidR="00000000" w:rsidRPr="00F664D6" w:rsidP="00F664D6">
      <w:pPr>
        <w:pStyle w:val="BodyText"/>
      </w:pPr>
      <w:r w:rsidRPr="00F664D6">
        <w:t>calculation of provision for doubtful debts</w:t>
      </w:r>
    </w:p>
    <w:p w:rsidR="00000000" w:rsidRPr="00F664D6" w:rsidP="00F664D6">
      <w:pPr>
        <w:pStyle w:val="BodyText"/>
      </w:pPr>
      <w:r w:rsidRPr="00F664D6">
        <w:rPr>
          <w:rStyle w:val="SpecialBold"/>
        </w:rPr>
        <w:t>Inventories may include</w:t>
      </w:r>
      <w:r w:rsidRPr="00F664D6">
        <w:t>:</w:t>
      </w:r>
    </w:p>
    <w:p w:rsidR="00000000" w:rsidRPr="00F664D6" w:rsidP="00F664D6">
      <w:pPr>
        <w:pStyle w:val="BodyText"/>
      </w:pPr>
      <w:r w:rsidRPr="00F664D6">
        <w:t xml:space="preserve">goods for resale </w:t>
      </w:r>
    </w:p>
    <w:p w:rsidR="00000000" w:rsidRPr="00F664D6" w:rsidP="00F664D6">
      <w:pPr>
        <w:pStyle w:val="BodyText"/>
      </w:pPr>
      <w:r w:rsidRPr="00F664D6">
        <w:t>stationery/office supplies</w:t>
      </w:r>
    </w:p>
    <w:p w:rsidR="00000000" w:rsidRPr="00F664D6" w:rsidP="00F664D6">
      <w:pPr>
        <w:pStyle w:val="BodyText"/>
      </w:pPr>
      <w:r w:rsidRPr="00F664D6">
        <w:rPr>
          <w:rStyle w:val="SpecialBold"/>
        </w:rPr>
        <w:t>Final accounts may include</w:t>
      </w:r>
      <w:r w:rsidRPr="00F664D6">
        <w:t>:</w:t>
      </w:r>
    </w:p>
    <w:p w:rsidR="00000000" w:rsidRPr="00F664D6" w:rsidP="00F664D6">
      <w:pPr>
        <w:pStyle w:val="BodyText"/>
      </w:pPr>
      <w:r w:rsidRPr="00F664D6">
        <w:t xml:space="preserve">Trading </w:t>
      </w:r>
    </w:p>
    <w:p w:rsidR="00000000" w:rsidRPr="00F664D6" w:rsidP="00F664D6">
      <w:pPr>
        <w:pStyle w:val="BodyText"/>
      </w:pPr>
      <w:r w:rsidRPr="00F664D6">
        <w:t>profit and loss</w:t>
      </w:r>
    </w:p>
    <w:p w:rsidR="00000000" w:rsidRPr="00F664D6" w:rsidP="00F664D6">
      <w:pPr>
        <w:pStyle w:val="BodyText"/>
      </w:pPr>
      <w:r w:rsidRPr="00F664D6">
        <w:rPr>
          <w:rStyle w:val="SpecialBold"/>
        </w:rPr>
        <w:t>Revenue statement comprises</w:t>
      </w:r>
      <w:r w:rsidRPr="00F664D6">
        <w:t>:</w:t>
      </w:r>
    </w:p>
    <w:p w:rsidR="00000000" w:rsidRPr="00F664D6" w:rsidP="00F664D6">
      <w:pPr>
        <w:pStyle w:val="BodyText"/>
      </w:pPr>
      <w:r w:rsidRPr="00F664D6">
        <w:t xml:space="preserve">cost of goods sold if applicable </w:t>
      </w:r>
    </w:p>
    <w:p w:rsidR="00000000" w:rsidRPr="00F664D6" w:rsidP="00F664D6">
      <w:pPr>
        <w:pStyle w:val="BodyText"/>
      </w:pPr>
      <w:r w:rsidRPr="00F664D6">
        <w:t xml:space="preserve">unclassified adjusted expenses and revenue </w:t>
      </w:r>
    </w:p>
    <w:p w:rsidR="00000000" w:rsidRPr="00F664D6" w:rsidP="00F664D6">
      <w:pPr>
        <w:pStyle w:val="BodyText"/>
      </w:pPr>
      <w:r w:rsidRPr="00F664D6">
        <w:t xml:space="preserve">gross profit </w:t>
      </w:r>
    </w:p>
    <w:p w:rsidR="00000000" w:rsidRPr="00F664D6" w:rsidP="00F664D6">
      <w:pPr>
        <w:pStyle w:val="BodyText"/>
      </w:pPr>
      <w:r w:rsidRPr="00F664D6">
        <w:t>operating net profit</w:t>
      </w:r>
    </w:p>
    <w:p w:rsidR="00000000" w:rsidRPr="00F664D6" w:rsidP="00F664D6">
      <w:pPr>
        <w:pStyle w:val="BodyText"/>
      </w:pPr>
      <w:r w:rsidRPr="00F664D6">
        <w:rPr>
          <w:rStyle w:val="SpecialBold"/>
        </w:rPr>
        <w:t>Reporting period may include</w:t>
      </w:r>
      <w:r w:rsidRPr="00F664D6">
        <w:t>:</w:t>
      </w:r>
    </w:p>
    <w:p w:rsidR="00000000" w:rsidRPr="00F664D6" w:rsidP="00F664D6">
      <w:pPr>
        <w:pStyle w:val="BodyText"/>
      </w:pPr>
      <w:r w:rsidRPr="00F664D6">
        <w:t xml:space="preserve">financial year </w:t>
      </w:r>
    </w:p>
    <w:p w:rsidR="00000000" w:rsidRPr="00F664D6" w:rsidP="00F664D6">
      <w:pPr>
        <w:pStyle w:val="BodyText"/>
      </w:pPr>
      <w:r w:rsidRPr="00F664D6">
        <w:t>as determined in organisational procedures</w:t>
      </w:r>
    </w:p>
    <w:p w:rsidR="00000000" w:rsidRPr="00F664D6" w:rsidP="00F664D6">
      <w:pPr>
        <w:pStyle w:val="BodyText"/>
      </w:pPr>
      <w:r w:rsidRPr="00F664D6">
        <w:rPr>
          <w:rStyle w:val="SpecialBold"/>
        </w:rPr>
        <w:t>Balance sheet comprises</w:t>
      </w:r>
      <w:r w:rsidRPr="00F664D6">
        <w:t>:</w:t>
      </w:r>
    </w:p>
    <w:p w:rsidR="00000000" w:rsidRPr="00F664D6" w:rsidP="00F664D6">
      <w:pPr>
        <w:pStyle w:val="BodyText"/>
      </w:pPr>
      <w:r w:rsidRPr="00F664D6">
        <w:t xml:space="preserve">narrative or T format </w:t>
      </w:r>
    </w:p>
    <w:p w:rsidR="00000000" w:rsidRPr="00F664D6" w:rsidP="00F664D6">
      <w:pPr>
        <w:pStyle w:val="BodyText"/>
      </w:pPr>
      <w:r w:rsidRPr="00F664D6">
        <w:t>unclas</w:t>
      </w:r>
      <w:r w:rsidRPr="00F664D6">
        <w:t>sified assets and liabilities</w:t>
      </w:r>
    </w:p>
    <w:p w:rsidR="00000000" w:rsidRPr="00F664D6" w:rsidP="00F664D6">
      <w:pPr>
        <w:pStyle w:val="BodyText"/>
      </w:pPr>
      <w:r w:rsidRPr="00F664D6">
        <w:t>The Range Statement provides advice to interpret the scope and context of this unit of competence, allowing for differences between enterprises and workplaces. It relates to the unit as a whole and facilitates holistic assessm</w:t>
      </w:r>
      <w:r w:rsidRPr="00F664D6">
        <w:t>ent. The following variables may be present for this particular unit:</w:t>
      </w:r>
    </w:p>
    <w:p w:rsidR="00000000" w:rsidRPr="00F664D6" w:rsidP="00F664D6">
      <w:pPr>
        <w:pStyle w:val="BodyText"/>
      </w:pPr>
      <w:r w:rsidRPr="00F664D6">
        <w:rPr>
          <w:rStyle w:val="SpecialBold"/>
        </w:rPr>
        <w:t>Legislation</w:t>
      </w:r>
      <w:r w:rsidRPr="00F664D6">
        <w:t xml:space="preserve">, </w:t>
      </w:r>
      <w:r w:rsidRPr="00F664D6">
        <w:rPr>
          <w:rStyle w:val="SpecialBold"/>
        </w:rPr>
        <w:t>codes and national standards relevant to the workplace which may include</w:t>
      </w:r>
      <w:r w:rsidRPr="00F664D6">
        <w:t>:</w:t>
      </w:r>
    </w:p>
    <w:p w:rsidR="00000000" w:rsidRPr="00F664D6" w:rsidP="00F664D6">
      <w:pPr>
        <w:pStyle w:val="BodyText"/>
      </w:pPr>
      <w:r w:rsidRPr="00F664D6">
        <w:t xml:space="preserve">award and enterprise agreements and relevant industrial instruments </w:t>
      </w:r>
    </w:p>
    <w:p w:rsidR="00000000" w:rsidRPr="00F664D6" w:rsidP="00F664D6">
      <w:pPr>
        <w:pStyle w:val="BodyText"/>
      </w:pPr>
      <w:r w:rsidRPr="00F664D6">
        <w:t xml:space="preserve">relevant legislation from all </w:t>
      </w:r>
      <w:r w:rsidRPr="00F664D6">
        <w:t xml:space="preserve">levels of government that affects business operation, especially in regard to Occupational Health and Safety and environmental issues, equal opportunity, industrial relations and anti-discrimination </w:t>
      </w:r>
    </w:p>
    <w:p w:rsidR="00000000" w:rsidRPr="00F664D6" w:rsidP="00F664D6">
      <w:pPr>
        <w:pStyle w:val="BodyText"/>
      </w:pPr>
      <w:r w:rsidRPr="00F664D6">
        <w:t>relevant industry codes of practice</w:t>
      </w:r>
    </w:p>
    <w:p w:rsidR="00000000" w:rsidRPr="00F664D6" w:rsidP="00F664D6">
      <w:pPr>
        <w:pStyle w:val="BodyText"/>
      </w:pPr>
      <w:r w:rsidRPr="00F664D6">
        <w:rPr>
          <w:rStyle w:val="SpecialBold"/>
        </w:rPr>
        <w:t>Calculation of depre</w:t>
      </w:r>
      <w:r w:rsidRPr="00F664D6">
        <w:rPr>
          <w:rStyle w:val="SpecialBold"/>
        </w:rPr>
        <w:t>ciation may include</w:t>
      </w:r>
      <w:r w:rsidRPr="00F664D6">
        <w:t>:</w:t>
      </w:r>
    </w:p>
    <w:p w:rsidR="00000000" w:rsidRPr="00F664D6" w:rsidP="00F664D6">
      <w:pPr>
        <w:pStyle w:val="BodyText"/>
      </w:pPr>
      <w:r w:rsidRPr="00F664D6">
        <w:t xml:space="preserve">straight-line method </w:t>
      </w:r>
    </w:p>
    <w:p w:rsidR="00000000" w:rsidRPr="00F664D6" w:rsidP="00F664D6">
      <w:pPr>
        <w:pStyle w:val="BodyText"/>
      </w:pPr>
      <w:r w:rsidRPr="00F664D6">
        <w:t>reducing balance method</w:t>
      </w:r>
    </w:p>
    <w:p w:rsidR="00000000" w:rsidRPr="00F664D6" w:rsidP="00F664D6">
      <w:pPr>
        <w:pStyle w:val="BodyText"/>
      </w:pPr>
      <w:r w:rsidRPr="00F664D6">
        <w:rPr>
          <w:rStyle w:val="SpecialBold"/>
        </w:rPr>
        <w:t>Expense accounts may include</w:t>
      </w:r>
      <w:r w:rsidRPr="00F664D6">
        <w:t>:</w:t>
      </w:r>
    </w:p>
    <w:p w:rsidR="00000000" w:rsidRPr="00F664D6" w:rsidP="00F664D6">
      <w:pPr>
        <w:pStyle w:val="BodyText"/>
      </w:pPr>
      <w:r w:rsidRPr="00F664D6">
        <w:t xml:space="preserve">rent paid </w:t>
      </w:r>
    </w:p>
    <w:p w:rsidR="00000000" w:rsidRPr="00F664D6" w:rsidP="00F664D6">
      <w:pPr>
        <w:pStyle w:val="BodyText"/>
      </w:pPr>
      <w:r w:rsidRPr="00F664D6">
        <w:t xml:space="preserve">insurance </w:t>
      </w:r>
    </w:p>
    <w:p w:rsidR="00000000" w:rsidRPr="00F664D6" w:rsidP="00F664D6">
      <w:pPr>
        <w:pStyle w:val="BodyText"/>
      </w:pPr>
      <w:r w:rsidRPr="00F664D6">
        <w:t xml:space="preserve">rates </w:t>
      </w:r>
    </w:p>
    <w:p w:rsidR="00000000" w:rsidRPr="00F664D6" w:rsidP="00F664D6">
      <w:pPr>
        <w:pStyle w:val="BodyText"/>
      </w:pPr>
      <w:r w:rsidRPr="00F664D6">
        <w:t xml:space="preserve">wages and salaries </w:t>
      </w:r>
    </w:p>
    <w:p w:rsidR="00000000" w:rsidRPr="00F664D6" w:rsidP="00F664D6">
      <w:pPr>
        <w:pStyle w:val="BodyText"/>
      </w:pPr>
      <w:r w:rsidRPr="00F664D6">
        <w:t xml:space="preserve">freight inward/outward </w:t>
      </w:r>
    </w:p>
    <w:p w:rsidR="00000000" w:rsidRPr="00F664D6" w:rsidP="00F664D6">
      <w:pPr>
        <w:pStyle w:val="BodyText"/>
      </w:pPr>
      <w:r w:rsidRPr="00F664D6">
        <w:t xml:space="preserve">interest paid </w:t>
      </w:r>
    </w:p>
    <w:p w:rsidR="00000000" w:rsidRPr="00F664D6" w:rsidP="00F664D6">
      <w:pPr>
        <w:pStyle w:val="BodyText"/>
      </w:pPr>
      <w:r w:rsidRPr="00F664D6">
        <w:t xml:space="preserve">distribution expenses </w:t>
      </w:r>
    </w:p>
    <w:p w:rsidR="00000000" w:rsidRPr="00F664D6" w:rsidP="00F664D6">
      <w:pPr>
        <w:pStyle w:val="BodyText"/>
      </w:pPr>
      <w:r w:rsidRPr="00F664D6">
        <w:t xml:space="preserve">electricity </w:t>
      </w:r>
    </w:p>
    <w:p w:rsidR="00000000" w:rsidRPr="00F664D6" w:rsidP="00F664D6">
      <w:pPr>
        <w:pStyle w:val="BodyText"/>
      </w:pPr>
      <w:r w:rsidRPr="00F664D6">
        <w:t>telephone/fax</w:t>
      </w:r>
    </w:p>
    <w:p w:rsidR="00000000" w:rsidRPr="00F664D6" w:rsidP="00F664D6">
      <w:pPr>
        <w:pStyle w:val="BodyText"/>
      </w:pPr>
      <w:r w:rsidRPr="00F664D6">
        <w:rPr>
          <w:rStyle w:val="SpecialBold"/>
        </w:rPr>
        <w:t>Revenue accounts may include</w:t>
      </w:r>
      <w:r w:rsidRPr="00F664D6">
        <w:t>:</w:t>
      </w:r>
    </w:p>
    <w:p w:rsidR="00000000" w:rsidRPr="00F664D6" w:rsidP="00F664D6">
      <w:pPr>
        <w:pStyle w:val="BodyText"/>
      </w:pPr>
      <w:r w:rsidRPr="00F664D6">
        <w:t xml:space="preserve">interest received </w:t>
      </w:r>
    </w:p>
    <w:p w:rsidR="00000000" w:rsidRPr="00F664D6" w:rsidP="00F664D6">
      <w:pPr>
        <w:pStyle w:val="BodyText"/>
      </w:pPr>
      <w:r w:rsidRPr="00F664D6">
        <w:t xml:space="preserve">commission received </w:t>
      </w:r>
    </w:p>
    <w:p w:rsidR="00000000" w:rsidRPr="00F664D6" w:rsidP="00F664D6">
      <w:pPr>
        <w:pStyle w:val="BodyText"/>
      </w:pPr>
      <w:r w:rsidRPr="00F664D6">
        <w:t>rent received</w:t>
      </w:r>
    </w:p>
    <w:p w:rsidR="00000000" w:rsidRPr="00F664D6" w:rsidP="00F664D6">
      <w:pPr>
        <w:pStyle w:val="BodyText"/>
      </w:pPr>
      <w:r w:rsidRPr="00F664D6">
        <w:rPr>
          <w:rStyle w:val="SpecialBold"/>
        </w:rPr>
        <w:t>Prepayments and accruals may include</w:t>
      </w:r>
      <w:r w:rsidRPr="00F664D6">
        <w:t>:</w:t>
      </w:r>
    </w:p>
    <w:p w:rsidR="00000000" w:rsidRPr="00F664D6" w:rsidP="00F664D6">
      <w:pPr>
        <w:pStyle w:val="BodyText"/>
      </w:pPr>
      <w:r w:rsidRPr="00F664D6">
        <w:t xml:space="preserve">prepaid expenses </w:t>
      </w:r>
    </w:p>
    <w:p w:rsidR="00000000" w:rsidRPr="00F664D6" w:rsidP="00F664D6">
      <w:pPr>
        <w:pStyle w:val="BodyText"/>
      </w:pPr>
      <w:r w:rsidRPr="00F664D6">
        <w:t xml:space="preserve">prepaid revenue </w:t>
      </w:r>
    </w:p>
    <w:p w:rsidR="00000000" w:rsidRPr="00F664D6" w:rsidP="00F664D6">
      <w:pPr>
        <w:pStyle w:val="BodyText"/>
      </w:pPr>
      <w:r w:rsidRPr="00F664D6">
        <w:t xml:space="preserve">accrued expenses </w:t>
      </w:r>
    </w:p>
    <w:p w:rsidR="00000000" w:rsidRPr="00F664D6" w:rsidP="00F664D6">
      <w:pPr>
        <w:pStyle w:val="BodyText"/>
      </w:pPr>
      <w:r w:rsidRPr="00F664D6">
        <w:t>accrued revenue</w:t>
      </w:r>
    </w:p>
    <w:p w:rsidR="00000000" w:rsidRPr="00F664D6" w:rsidP="00F664D6">
      <w:pPr>
        <w:pStyle w:val="BodyText"/>
      </w:pPr>
      <w:r w:rsidRPr="00F664D6">
        <w:rPr>
          <w:rStyle w:val="SpecialBold"/>
        </w:rPr>
        <w:t>Bad and doubtful debts may include</w:t>
      </w:r>
      <w:r w:rsidRPr="00F664D6">
        <w:t>:</w:t>
      </w:r>
    </w:p>
    <w:p w:rsidR="00000000" w:rsidRPr="00F664D6" w:rsidP="00F664D6">
      <w:pPr>
        <w:pStyle w:val="BodyText"/>
      </w:pPr>
      <w:r w:rsidRPr="00F664D6">
        <w:t>writing off bad debts against</w:t>
      </w:r>
      <w:r w:rsidRPr="00F664D6">
        <w:t xml:space="preserve"> provision for doubtful debts  </w:t>
      </w:r>
    </w:p>
    <w:p w:rsidR="00000000" w:rsidRPr="00F664D6" w:rsidP="00F664D6">
      <w:pPr>
        <w:pStyle w:val="BodyText"/>
      </w:pPr>
      <w:r w:rsidRPr="00F664D6">
        <w:t>calculation of provision for doubtful debts</w:t>
      </w:r>
    </w:p>
    <w:p w:rsidR="00000000" w:rsidRPr="00F664D6" w:rsidP="00F664D6">
      <w:pPr>
        <w:pStyle w:val="BodyText"/>
      </w:pPr>
      <w:r w:rsidRPr="00F664D6">
        <w:rPr>
          <w:rStyle w:val="SpecialBold"/>
        </w:rPr>
        <w:t>Inventories may include</w:t>
      </w:r>
      <w:r w:rsidRPr="00F664D6">
        <w:t>:</w:t>
      </w:r>
    </w:p>
    <w:p w:rsidR="00000000" w:rsidRPr="00F664D6" w:rsidP="00F664D6">
      <w:pPr>
        <w:pStyle w:val="BodyText"/>
      </w:pPr>
      <w:r w:rsidRPr="00F664D6">
        <w:t xml:space="preserve">goods for resale </w:t>
      </w:r>
    </w:p>
    <w:p w:rsidR="00000000" w:rsidRPr="00F664D6" w:rsidP="00F664D6">
      <w:pPr>
        <w:pStyle w:val="BodyText"/>
      </w:pPr>
      <w:r w:rsidRPr="00F664D6">
        <w:t>stationery/office supplies</w:t>
      </w:r>
    </w:p>
    <w:p w:rsidR="00000000" w:rsidRPr="00F664D6" w:rsidP="00F664D6">
      <w:pPr>
        <w:pStyle w:val="BodyText"/>
      </w:pPr>
      <w:r w:rsidRPr="00F664D6">
        <w:rPr>
          <w:rStyle w:val="SpecialBold"/>
        </w:rPr>
        <w:t>Final accounts may include</w:t>
      </w:r>
      <w:r w:rsidRPr="00F664D6">
        <w:t>:</w:t>
      </w:r>
    </w:p>
    <w:p w:rsidR="00000000" w:rsidRPr="00F664D6" w:rsidP="00F664D6">
      <w:pPr>
        <w:pStyle w:val="BodyText"/>
      </w:pPr>
      <w:r w:rsidRPr="00F664D6">
        <w:t xml:space="preserve">Trading </w:t>
      </w:r>
    </w:p>
    <w:p w:rsidR="00000000" w:rsidRPr="00F664D6" w:rsidP="00F664D6">
      <w:pPr>
        <w:pStyle w:val="BodyText"/>
      </w:pPr>
      <w:r w:rsidRPr="00F664D6">
        <w:t>profit and loss</w:t>
      </w:r>
    </w:p>
    <w:p w:rsidR="00000000" w:rsidRPr="00F664D6" w:rsidP="00F664D6">
      <w:pPr>
        <w:pStyle w:val="BodyText"/>
      </w:pPr>
      <w:r w:rsidRPr="00F664D6">
        <w:rPr>
          <w:rStyle w:val="SpecialBold"/>
        </w:rPr>
        <w:t>Revenue statement comprises</w:t>
      </w:r>
      <w:r w:rsidRPr="00F664D6">
        <w:t>:</w:t>
      </w:r>
    </w:p>
    <w:p w:rsidR="00000000" w:rsidRPr="00F664D6" w:rsidP="00F664D6">
      <w:pPr>
        <w:pStyle w:val="BodyText"/>
      </w:pPr>
      <w:r w:rsidRPr="00F664D6">
        <w:t>cost of goods sold if applic</w:t>
      </w:r>
      <w:r w:rsidRPr="00F664D6">
        <w:t xml:space="preserve">able </w:t>
      </w:r>
    </w:p>
    <w:p w:rsidR="00000000" w:rsidRPr="00F664D6" w:rsidP="00F664D6">
      <w:pPr>
        <w:pStyle w:val="BodyText"/>
      </w:pPr>
      <w:r w:rsidRPr="00F664D6">
        <w:t xml:space="preserve">unclassified adjusted expenses and revenue </w:t>
      </w:r>
    </w:p>
    <w:p w:rsidR="00000000" w:rsidRPr="00F664D6" w:rsidP="00F664D6">
      <w:pPr>
        <w:pStyle w:val="BodyText"/>
      </w:pPr>
      <w:r w:rsidRPr="00F664D6">
        <w:t xml:space="preserve">gross profit </w:t>
      </w:r>
    </w:p>
    <w:p w:rsidR="00000000" w:rsidRPr="00F664D6" w:rsidP="00F664D6">
      <w:pPr>
        <w:pStyle w:val="BodyText"/>
      </w:pPr>
      <w:r w:rsidRPr="00F664D6">
        <w:t>operating net profit</w:t>
      </w:r>
    </w:p>
    <w:p w:rsidR="00000000" w:rsidRPr="00F664D6" w:rsidP="00F664D6">
      <w:pPr>
        <w:pStyle w:val="BodyText"/>
      </w:pPr>
      <w:r w:rsidRPr="00F664D6">
        <w:rPr>
          <w:rStyle w:val="SpecialBold"/>
        </w:rPr>
        <w:t>Reporting period may include</w:t>
      </w:r>
      <w:r w:rsidRPr="00F664D6">
        <w:t>:</w:t>
      </w:r>
    </w:p>
    <w:p w:rsidR="00000000" w:rsidRPr="00F664D6" w:rsidP="00F664D6">
      <w:pPr>
        <w:pStyle w:val="BodyText"/>
      </w:pPr>
      <w:r w:rsidRPr="00F664D6">
        <w:t xml:space="preserve">financial year </w:t>
      </w:r>
    </w:p>
    <w:p w:rsidR="00000000" w:rsidRPr="00F664D6" w:rsidP="00F664D6">
      <w:pPr>
        <w:pStyle w:val="BodyText"/>
      </w:pPr>
      <w:r w:rsidRPr="00F664D6">
        <w:t>as determined in organisational procedures</w:t>
      </w:r>
    </w:p>
    <w:p w:rsidR="00000000" w:rsidRPr="00F664D6" w:rsidP="00F664D6">
      <w:pPr>
        <w:pStyle w:val="BodyText"/>
      </w:pPr>
      <w:r w:rsidRPr="00F664D6">
        <w:rPr>
          <w:rStyle w:val="SpecialBold"/>
        </w:rPr>
        <w:t>Balance sheet comprises</w:t>
      </w:r>
      <w:r w:rsidRPr="00F664D6">
        <w:t>:</w:t>
      </w:r>
    </w:p>
    <w:p w:rsidR="00000000" w:rsidRPr="00F664D6" w:rsidP="00F664D6">
      <w:pPr>
        <w:pStyle w:val="BodyText"/>
      </w:pPr>
      <w:r w:rsidRPr="00F664D6">
        <w:t xml:space="preserve">narrative or T format </w:t>
      </w:r>
    </w:p>
    <w:p w:rsidR="00000000" w:rsidRPr="00F664D6" w:rsidP="00F664D6">
      <w:pPr>
        <w:pStyle w:val="BodyText"/>
      </w:pPr>
      <w:r w:rsidRPr="00F664D6">
        <w:t>unclassified assets and liabilities</w:t>
      </w:r>
    </w:p>
    <w:p w:rsidR="00000000" w:rsidRPr="00F664D6" w:rsidP="00F664D6">
      <w:pPr>
        <w:pStyle w:val="AllowPageBreak"/>
      </w:pPr>
    </w:p>
    <w:p w:rsidR="00000000" w:rsidRPr="00F664D6" w:rsidP="00F664D6">
      <w:pPr>
        <w:pStyle w:val="Heading1"/>
      </w:pPr>
      <w:bookmarkStart w:id="12" w:name="O_322243"/>
      <w:bookmarkEnd w:id="12"/>
      <w:r w:rsidRPr="00F664D6">
        <w:t>Unit Sector(s)</w:t>
      </w:r>
    </w:p>
    <w:p w:rsidR="00000000" w:rsidRPr="00F664D6" w:rsidP="00F664D6">
      <w:pPr>
        <w:pStyle w:val="BodyText"/>
      </w:pPr>
      <w:r w:rsidRPr="00F664D6">
        <w:t>Not applicable.</w:t>
      </w:r>
    </w:p>
    <w:p w:rsidR="00000000" w:rsidRPr="00F664D6" w:rsidP="00F664D6"/>
    <w:sectPr w:rsidSect="00F66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rsidP="00F66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4CBC" w:rsidP="00F66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4CBC" w:rsidP="00F66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CBC" w:rsidP="007F4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C" w:rsidP="00F664D6">
    <w:pPr>
      <w:pStyle w:val="Header"/>
      <w:framePr w:wrap="around"/>
    </w:pPr>
    <w:r>
      <w:fldChar w:fldCharType="begin"/>
    </w:r>
    <w:r>
      <w:instrText xml:space="preserve"> TITLE   \* MERGEFORMAT </w:instrText>
    </w:r>
    <w:r>
      <w:fldChar w:fldCharType="separate"/>
    </w:r>
    <w:r>
      <w:t>BSBADM408A Prepare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4CBC" w:rsidP="00F66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4D6"/>
    <w:pPr>
      <w:spacing w:before="360" w:after="60"/>
      <w:outlineLvl w:val="0"/>
    </w:pPr>
    <w:rPr>
      <w:sz w:val="32"/>
    </w:rPr>
  </w:style>
  <w:style w:type="paragraph" w:styleId="Heading2">
    <w:name w:val="heading 2"/>
    <w:basedOn w:val="HeadingBase"/>
    <w:next w:val="BodyText"/>
    <w:link w:val="Heading2Char"/>
    <w:qFormat/>
    <w:rsid w:val="00F664D6"/>
    <w:pPr>
      <w:keepLines/>
      <w:spacing w:before="240" w:after="120"/>
      <w:outlineLvl w:val="1"/>
    </w:pPr>
    <w:rPr>
      <w:sz w:val="28"/>
      <w:szCs w:val="40"/>
    </w:rPr>
  </w:style>
  <w:style w:type="paragraph" w:styleId="Heading3">
    <w:name w:val="heading 3"/>
    <w:basedOn w:val="HeadingBase"/>
    <w:next w:val="BodyText"/>
    <w:link w:val="Heading3Char"/>
    <w:qFormat/>
    <w:rsid w:val="00F664D6"/>
    <w:pPr>
      <w:spacing w:before="180" w:after="120"/>
      <w:outlineLvl w:val="2"/>
    </w:pPr>
    <w:rPr>
      <w:spacing w:val="-10"/>
      <w:kern w:val="32"/>
    </w:rPr>
  </w:style>
  <w:style w:type="paragraph" w:styleId="Heading4">
    <w:name w:val="heading 4"/>
    <w:basedOn w:val="HeadingBase"/>
    <w:next w:val="BodyText"/>
    <w:link w:val="Heading4Char"/>
    <w:qFormat/>
    <w:rsid w:val="00F664D6"/>
    <w:pPr>
      <w:spacing w:before="160" w:after="120"/>
      <w:outlineLvl w:val="3"/>
    </w:pPr>
    <w:rPr>
      <w:sz w:val="22"/>
    </w:rPr>
  </w:style>
  <w:style w:type="paragraph" w:styleId="Heading5">
    <w:name w:val="heading 5"/>
    <w:basedOn w:val="HeadingBase"/>
    <w:next w:val="Normal"/>
    <w:link w:val="Heading5Char"/>
    <w:qFormat/>
    <w:rsid w:val="00F664D6"/>
    <w:pPr>
      <w:spacing w:before="80"/>
      <w:outlineLvl w:val="4"/>
    </w:pPr>
    <w:rPr>
      <w:color w:val="918585"/>
      <w:sz w:val="20"/>
    </w:rPr>
  </w:style>
  <w:style w:type="paragraph" w:styleId="Heading6">
    <w:name w:val="heading 6"/>
    <w:basedOn w:val="HeadingBase"/>
    <w:next w:val="Normal"/>
    <w:link w:val="Heading6Char"/>
    <w:qFormat/>
    <w:rsid w:val="00F664D6"/>
    <w:pPr>
      <w:spacing w:before="60"/>
      <w:outlineLvl w:val="5"/>
    </w:pPr>
    <w:rPr>
      <w:color w:val="918585"/>
      <w:sz w:val="20"/>
    </w:rPr>
  </w:style>
  <w:style w:type="paragraph" w:styleId="Heading7">
    <w:name w:val="heading 7"/>
    <w:basedOn w:val="Normal"/>
    <w:next w:val="Normal"/>
    <w:link w:val="Heading7Char"/>
    <w:qFormat/>
    <w:rsid w:val="00F664D6"/>
    <w:pPr>
      <w:ind w:left="720"/>
      <w:outlineLvl w:val="6"/>
    </w:pPr>
    <w:rPr>
      <w:i/>
    </w:rPr>
  </w:style>
  <w:style w:type="paragraph" w:styleId="Heading8">
    <w:name w:val="heading 8"/>
    <w:basedOn w:val="Normal"/>
    <w:next w:val="Normal"/>
    <w:link w:val="Heading8Char"/>
    <w:qFormat/>
    <w:rsid w:val="00F664D6"/>
    <w:pPr>
      <w:ind w:left="720"/>
      <w:outlineLvl w:val="7"/>
    </w:pPr>
    <w:rPr>
      <w:i/>
    </w:rPr>
  </w:style>
  <w:style w:type="paragraph" w:styleId="Heading9">
    <w:name w:val="heading 9"/>
    <w:basedOn w:val="Normal"/>
    <w:next w:val="Normal"/>
    <w:link w:val="Heading9Char"/>
    <w:qFormat/>
    <w:rsid w:val="00F664D6"/>
    <w:pPr>
      <w:ind w:left="720"/>
      <w:outlineLvl w:val="8"/>
    </w:pPr>
    <w:rPr>
      <w:i/>
    </w:rPr>
  </w:style>
  <w:style w:type="character" w:default="1" w:styleId="DefaultParagraphFont">
    <w:name w:val="Default Paragraph Font"/>
    <w:uiPriority w:val="1"/>
    <w:unhideWhenUsed/>
    <w:rsid w:val="00F66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4D6"/>
  </w:style>
  <w:style w:type="character" w:customStyle="1" w:styleId="Heading1Char">
    <w:name w:val="Heading 1 Char"/>
    <w:basedOn w:val="DefaultParagraphFont"/>
    <w:link w:val="Heading1"/>
    <w:rsid w:val="00F664D6"/>
    <w:rPr>
      <w:rFonts w:ascii="Times New Roman" w:eastAsia="Times New Roman" w:hAnsi="Times New Roman" w:cs="Times New Roman"/>
      <w:b/>
      <w:sz w:val="32"/>
      <w:szCs w:val="20"/>
      <w:lang w:eastAsia="en-US"/>
    </w:rPr>
  </w:style>
  <w:style w:type="paragraph" w:styleId="BodyText">
    <w:name w:val="Body Text"/>
    <w:basedOn w:val="Normal"/>
    <w:link w:val="BodyTextChar"/>
    <w:rsid w:val="00F66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4D6"/>
    <w:rPr>
      <w:rFonts w:ascii="Times New Roman" w:eastAsia="Times New Roman" w:hAnsi="Times New Roman" w:cs="Times New Roman"/>
      <w:sz w:val="24"/>
      <w:lang w:val="en-US" w:eastAsia="en-US"/>
    </w:rPr>
  </w:style>
  <w:style w:type="paragraph" w:styleId="Footer">
    <w:name w:val="footer"/>
    <w:basedOn w:val="Normal"/>
    <w:link w:val="FooterChar"/>
    <w:rsid w:val="00F66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4D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64D6"/>
    <w:rPr>
      <w:b/>
      <w:spacing w:val="0"/>
    </w:rPr>
  </w:style>
  <w:style w:type="paragraph" w:styleId="Header">
    <w:name w:val="header"/>
    <w:basedOn w:val="Normal"/>
    <w:link w:val="HeaderChar"/>
    <w:rsid w:val="00F66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4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64D6"/>
    <w:pPr>
      <w:spacing w:before="240" w:after="120"/>
      <w:outlineLvl w:val="0"/>
    </w:pPr>
    <w:rPr>
      <w:rFonts w:ascii="Times New Roman" w:hAnsi="Times New Roman"/>
      <w:b/>
      <w:sz w:val="28"/>
    </w:rPr>
  </w:style>
  <w:style w:type="paragraph" w:customStyle="1" w:styleId="AllowPageBreak">
    <w:name w:val="AllowPageBreak"/>
    <w:rsid w:val="00F66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4D6"/>
    <w:rPr>
      <w:rFonts w:ascii="Courier New" w:eastAsia="Times New Roman" w:hAnsi="Courier New" w:cs="Times New Roman"/>
      <w:i/>
      <w:szCs w:val="20"/>
      <w:lang w:val="en-US" w:eastAsia="en-US"/>
    </w:rPr>
  </w:style>
  <w:style w:type="paragraph" w:customStyle="1" w:styleId="HeadingBase">
    <w:name w:val="Heading Base"/>
    <w:rsid w:val="00F66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4D6"/>
    <w:pPr>
      <w:tabs>
        <w:tab w:val="right" w:leader="dot" w:pos="9072"/>
      </w:tabs>
      <w:ind w:left="567"/>
    </w:pPr>
    <w:rPr>
      <w:szCs w:val="22"/>
    </w:rPr>
  </w:style>
  <w:style w:type="paragraph" w:customStyle="1" w:styleId="TOCBase">
    <w:name w:val="TOC Base"/>
    <w:rsid w:val="00F66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4D6"/>
    <w:pPr>
      <w:tabs>
        <w:tab w:val="right" w:leader="dot" w:pos="9072"/>
      </w:tabs>
      <w:spacing w:before="40" w:after="40"/>
      <w:ind w:left="284"/>
    </w:pPr>
    <w:rPr>
      <w:rFonts w:ascii="Times New Roman" w:hAnsi="Times New Roman"/>
    </w:rPr>
  </w:style>
  <w:style w:type="paragraph" w:styleId="TOC1">
    <w:name w:val="toc 1"/>
    <w:basedOn w:val="TOCBase"/>
    <w:next w:val="Normal"/>
    <w:rsid w:val="00F66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4D6"/>
    <w:pPr>
      <w:spacing w:before="5040"/>
      <w:jc w:val="center"/>
    </w:pPr>
    <w:rPr>
      <w:sz w:val="48"/>
      <w:szCs w:val="72"/>
      <w:lang w:val="en-US"/>
    </w:rPr>
  </w:style>
  <w:style w:type="character" w:customStyle="1" w:styleId="TitleChar">
    <w:name w:val="Title Char"/>
    <w:basedOn w:val="DefaultParagraphFont"/>
    <w:link w:val="Title"/>
    <w:rsid w:val="00F66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4D6"/>
    <w:pPr>
      <w:tabs>
        <w:tab w:val="left" w:pos="3600"/>
        <w:tab w:val="left" w:pos="3958"/>
      </w:tabs>
    </w:pPr>
  </w:style>
  <w:style w:type="paragraph" w:styleId="List">
    <w:name w:val="List"/>
    <w:basedOn w:val="BodyText"/>
    <w:next w:val="BodyText"/>
    <w:rsid w:val="00F664D6"/>
    <w:pPr>
      <w:tabs>
        <w:tab w:val="left" w:pos="340"/>
      </w:tabs>
      <w:spacing w:before="60" w:after="60"/>
      <w:ind w:left="340" w:hanging="340"/>
    </w:pPr>
  </w:style>
  <w:style w:type="paragraph" w:styleId="ListBullet">
    <w:name w:val="List Bullet"/>
    <w:basedOn w:val="List"/>
    <w:rsid w:val="00F664D6"/>
    <w:pPr>
      <w:numPr>
        <w:numId w:val="11"/>
      </w:numPr>
      <w:tabs>
        <w:tab w:val="clear" w:pos="340"/>
      </w:tabs>
      <w:spacing w:before="40" w:after="40"/>
    </w:pPr>
  </w:style>
  <w:style w:type="paragraph" w:customStyle="1" w:styleId="Note">
    <w:name w:val="Note"/>
    <w:basedOn w:val="BodyText"/>
    <w:rsid w:val="00F66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4D6"/>
    <w:pPr>
      <w:framePr w:wrap="auto" w:hAnchor="text" w:y="6049"/>
    </w:pPr>
    <w:rPr>
      <w:color w:val="000000"/>
      <w:sz w:val="40"/>
    </w:rPr>
  </w:style>
  <w:style w:type="paragraph" w:customStyle="1" w:styleId="TOCTitle">
    <w:name w:val="TOCTitle"/>
    <w:basedOn w:val="Heading1"/>
    <w:rsid w:val="00F664D6"/>
    <w:pPr>
      <w:spacing w:after="240"/>
      <w:jc w:val="center"/>
      <w:outlineLvl w:val="9"/>
    </w:pPr>
    <w:rPr>
      <w:caps/>
    </w:rPr>
  </w:style>
  <w:style w:type="paragraph" w:customStyle="1" w:styleId="Version">
    <w:name w:val="Version"/>
    <w:rsid w:val="00F66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4D6"/>
    <w:pPr>
      <w:numPr>
        <w:numId w:val="12"/>
      </w:numPr>
      <w:tabs>
        <w:tab w:val="clear" w:pos="680"/>
      </w:tabs>
    </w:pPr>
  </w:style>
  <w:style w:type="paragraph" w:styleId="Index1">
    <w:name w:val="index 1"/>
    <w:basedOn w:val="Normal"/>
    <w:next w:val="Normal"/>
    <w:semiHidden/>
    <w:rsid w:val="00F664D6"/>
    <w:pPr>
      <w:keepNext w:val="0"/>
      <w:tabs>
        <w:tab w:val="right" w:pos="4176"/>
      </w:tabs>
      <w:ind w:left="198" w:hanging="198"/>
    </w:pPr>
    <w:rPr>
      <w:rFonts w:ascii="Garamond" w:hAnsi="Garamond"/>
    </w:rPr>
  </w:style>
  <w:style w:type="paragraph" w:styleId="IndexHeading">
    <w:name w:val="index heading"/>
    <w:basedOn w:val="Normal"/>
    <w:next w:val="Index1"/>
    <w:semiHidden/>
    <w:rsid w:val="00F664D6"/>
    <w:pPr>
      <w:spacing w:before="120" w:after="120"/>
    </w:pPr>
    <w:rPr>
      <w:rFonts w:ascii="Arial" w:hAnsi="Arial"/>
      <w:b/>
      <w:color w:val="918585"/>
      <w:sz w:val="24"/>
    </w:rPr>
  </w:style>
  <w:style w:type="paragraph" w:customStyle="1" w:styleId="Chapter">
    <w:name w:val="Chapter"/>
    <w:basedOn w:val="Normal"/>
    <w:rsid w:val="00F664D6"/>
    <w:pPr>
      <w:spacing w:before="240"/>
    </w:pPr>
    <w:rPr>
      <w:rFonts w:ascii="Times New Roman" w:hAnsi="Times New Roman"/>
      <w:smallCaps/>
      <w:spacing w:val="80"/>
      <w:sz w:val="28"/>
    </w:rPr>
  </w:style>
  <w:style w:type="paragraph" w:customStyle="1" w:styleId="InChapter">
    <w:name w:val="InChapter"/>
    <w:basedOn w:val="Heading3"/>
    <w:rsid w:val="00F664D6"/>
    <w:pPr>
      <w:spacing w:after="240"/>
      <w:outlineLvl w:val="9"/>
    </w:pPr>
    <w:rPr>
      <w:noProof/>
    </w:rPr>
  </w:style>
  <w:style w:type="paragraph" w:styleId="Index2">
    <w:name w:val="index 2"/>
    <w:basedOn w:val="Normal"/>
    <w:next w:val="Normal"/>
    <w:semiHidden/>
    <w:rsid w:val="00F664D6"/>
    <w:pPr>
      <w:tabs>
        <w:tab w:val="right" w:pos="4176"/>
      </w:tabs>
      <w:ind w:left="568" w:hanging="284"/>
    </w:pPr>
    <w:rPr>
      <w:rFonts w:ascii="Garamond" w:hAnsi="Garamond"/>
    </w:rPr>
  </w:style>
  <w:style w:type="paragraph" w:customStyle="1" w:styleId="Byline">
    <w:name w:val="Byline"/>
    <w:rsid w:val="00F66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4D6"/>
    <w:pPr>
      <w:tabs>
        <w:tab w:val="clear" w:pos="3600"/>
        <w:tab w:val="clear" w:pos="3958"/>
      </w:tabs>
      <w:jc w:val="right"/>
    </w:pPr>
  </w:style>
  <w:style w:type="character" w:styleId="Emphasis">
    <w:name w:val="Emphasis"/>
    <w:basedOn w:val="DefaultParagraphFont"/>
    <w:qFormat/>
    <w:rsid w:val="00F664D6"/>
    <w:rPr>
      <w:i/>
    </w:rPr>
  </w:style>
  <w:style w:type="paragraph" w:styleId="Caption">
    <w:name w:val="caption"/>
    <w:basedOn w:val="BodyText"/>
    <w:next w:val="Normal"/>
    <w:qFormat/>
    <w:rsid w:val="00F664D6"/>
    <w:pPr>
      <w:framePr w:w="2268" w:hSpace="181" w:vSpace="181" w:wrap="around" w:vAnchor="text" w:hAnchor="page" w:x="1135" w:y="285" w:anchorLock="1"/>
    </w:pPr>
    <w:rPr>
      <w:i/>
    </w:rPr>
  </w:style>
  <w:style w:type="paragraph" w:customStyle="1" w:styleId="MiniTOCTitle">
    <w:name w:val="MiniTOCTitle"/>
    <w:basedOn w:val="Heading4"/>
    <w:rsid w:val="00F664D6"/>
    <w:pPr>
      <w:spacing w:before="240"/>
      <w:outlineLvl w:val="9"/>
    </w:pPr>
    <w:rPr>
      <w:noProof/>
      <w:sz w:val="24"/>
    </w:rPr>
  </w:style>
  <w:style w:type="paragraph" w:customStyle="1" w:styleId="MiniTOCItem">
    <w:name w:val="MiniTOCItem"/>
    <w:basedOn w:val="ListBullet"/>
    <w:rsid w:val="00F664D6"/>
    <w:pPr>
      <w:numPr>
        <w:numId w:val="0"/>
      </w:numPr>
      <w:tabs>
        <w:tab w:val="right" w:leader="dot" w:pos="6521"/>
      </w:tabs>
      <w:spacing w:before="0" w:after="0"/>
    </w:pPr>
  </w:style>
  <w:style w:type="paragraph" w:customStyle="1" w:styleId="TOFTitle">
    <w:name w:val="TOFTitle"/>
    <w:basedOn w:val="TOCTitle"/>
    <w:rsid w:val="00F664D6"/>
  </w:style>
  <w:style w:type="paragraph" w:styleId="TableofFigures">
    <w:name w:val="table of figures"/>
    <w:basedOn w:val="Normal"/>
    <w:next w:val="Normal"/>
    <w:semiHidden/>
    <w:rsid w:val="00F664D6"/>
    <w:pPr>
      <w:tabs>
        <w:tab w:val="right" w:leader="dot" w:pos="9072"/>
      </w:tabs>
      <w:ind w:left="970" w:hanging="403"/>
    </w:pPr>
    <w:rPr>
      <w:rFonts w:ascii="Times New Roman" w:hAnsi="Times New Roman"/>
      <w:b/>
    </w:rPr>
  </w:style>
  <w:style w:type="paragraph" w:styleId="ListNumber">
    <w:name w:val="List Number"/>
    <w:basedOn w:val="List"/>
    <w:rsid w:val="00F664D6"/>
    <w:pPr>
      <w:numPr>
        <w:numId w:val="9"/>
      </w:numPr>
    </w:pPr>
  </w:style>
  <w:style w:type="character" w:customStyle="1" w:styleId="WingdingSymbols">
    <w:name w:val="Wingding Symbols"/>
    <w:rsid w:val="00F664D6"/>
    <w:rPr>
      <w:rFonts w:ascii="Wingdings" w:hAnsi="Wingdings"/>
    </w:rPr>
  </w:style>
  <w:style w:type="paragraph" w:customStyle="1" w:styleId="TableHeading">
    <w:name w:val="Table Heading"/>
    <w:basedOn w:val="HeadingBase"/>
    <w:rsid w:val="00F664D6"/>
    <w:pPr>
      <w:keepLines/>
      <w:pBdr>
        <w:bottom w:val="single" w:sz="6" w:space="1" w:color="918585"/>
      </w:pBdr>
      <w:spacing w:before="240"/>
    </w:pPr>
  </w:style>
  <w:style w:type="character" w:customStyle="1" w:styleId="HotSpot">
    <w:name w:val="HotSpot"/>
    <w:rsid w:val="00F664D6"/>
    <w:rPr>
      <w:color w:val="0033CC"/>
      <w:u w:val="none"/>
    </w:rPr>
  </w:style>
  <w:style w:type="paragraph" w:customStyle="1" w:styleId="BodyTextRight">
    <w:name w:val="Body Text Right"/>
    <w:basedOn w:val="BodyText"/>
    <w:rsid w:val="00F664D6"/>
    <w:pPr>
      <w:spacing w:before="0" w:after="0"/>
      <w:jc w:val="right"/>
    </w:pPr>
  </w:style>
  <w:style w:type="paragraph" w:styleId="Index3">
    <w:name w:val="index 3"/>
    <w:basedOn w:val="ListNumber2"/>
    <w:next w:val="Normal"/>
    <w:semiHidden/>
    <w:rsid w:val="00F664D6"/>
    <w:pPr>
      <w:numPr>
        <w:numId w:val="0"/>
      </w:numPr>
      <w:tabs>
        <w:tab w:val="right" w:leader="dot" w:pos="4176"/>
      </w:tabs>
    </w:pPr>
  </w:style>
  <w:style w:type="paragraph" w:styleId="ListNumber2">
    <w:name w:val="List Number 2"/>
    <w:basedOn w:val="List2"/>
    <w:rsid w:val="00F664D6"/>
    <w:pPr>
      <w:numPr>
        <w:numId w:val="8"/>
      </w:numPr>
      <w:tabs>
        <w:tab w:val="clear" w:pos="1060"/>
      </w:tabs>
    </w:pPr>
  </w:style>
  <w:style w:type="paragraph" w:customStyle="1" w:styleId="MarginNote">
    <w:name w:val="Margin Note"/>
    <w:basedOn w:val="BodyText"/>
    <w:rsid w:val="00F66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4D6"/>
    <w:rPr>
      <w:sz w:val="32"/>
    </w:rPr>
  </w:style>
  <w:style w:type="paragraph" w:customStyle="1" w:styleId="HeadingProcedure">
    <w:name w:val="Heading Procedure"/>
    <w:basedOn w:val="HeadingBase"/>
    <w:next w:val="Normal"/>
    <w:rsid w:val="00F664D6"/>
    <w:pPr>
      <w:tabs>
        <w:tab w:val="left" w:pos="0"/>
      </w:tabs>
      <w:spacing w:before="120" w:after="60"/>
    </w:pPr>
    <w:rPr>
      <w:i/>
      <w:color w:val="918585"/>
      <w:sz w:val="22"/>
    </w:rPr>
  </w:style>
  <w:style w:type="paragraph" w:customStyle="1" w:styleId="TableBodyText">
    <w:name w:val="Table Body Text"/>
    <w:basedOn w:val="BodyText"/>
    <w:rsid w:val="00F664D6"/>
    <w:pPr>
      <w:spacing w:before="60" w:after="60"/>
    </w:pPr>
  </w:style>
  <w:style w:type="paragraph" w:styleId="ListContinue">
    <w:name w:val="List Continue"/>
    <w:basedOn w:val="List"/>
    <w:rsid w:val="00F664D6"/>
    <w:pPr>
      <w:ind w:firstLine="0"/>
    </w:pPr>
  </w:style>
  <w:style w:type="paragraph" w:customStyle="1" w:styleId="ListNote">
    <w:name w:val="List Note"/>
    <w:basedOn w:val="List"/>
    <w:rsid w:val="00F664D6"/>
    <w:pPr>
      <w:pBdr>
        <w:top w:val="single" w:sz="6" w:space="2" w:color="918585"/>
        <w:bottom w:val="single" w:sz="6" w:space="2" w:color="918585"/>
      </w:pBdr>
      <w:tabs>
        <w:tab w:val="left" w:pos="1021"/>
      </w:tabs>
      <w:ind w:firstLine="0"/>
    </w:pPr>
  </w:style>
  <w:style w:type="paragraph" w:customStyle="1" w:styleId="Warning">
    <w:name w:val="Warning"/>
    <w:basedOn w:val="BodyText"/>
    <w:rsid w:val="00F664D6"/>
    <w:pPr>
      <w:shd w:val="clear" w:color="auto" w:fill="D9D9D9"/>
      <w:tabs>
        <w:tab w:val="left" w:pos="992"/>
      </w:tabs>
      <w:ind w:left="119" w:right="119"/>
    </w:pPr>
    <w:rPr>
      <w:sz w:val="20"/>
    </w:rPr>
  </w:style>
  <w:style w:type="paragraph" w:customStyle="1" w:styleId="MarginIcons">
    <w:name w:val="Margin Icons"/>
    <w:basedOn w:val="BodyText"/>
    <w:rsid w:val="00F66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4D6"/>
    <w:rPr>
      <w:rFonts w:ascii="Courier New" w:hAnsi="Courier New"/>
    </w:rPr>
  </w:style>
  <w:style w:type="paragraph" w:customStyle="1" w:styleId="NoteBullet">
    <w:name w:val="Note Bullet"/>
    <w:basedOn w:val="Note"/>
    <w:rsid w:val="00F664D6"/>
    <w:pPr>
      <w:tabs>
        <w:tab w:val="clear" w:pos="680"/>
      </w:tabs>
      <w:spacing w:before="60" w:after="60"/>
    </w:pPr>
  </w:style>
  <w:style w:type="paragraph" w:customStyle="1" w:styleId="SubHeading2">
    <w:name w:val="SubHeading2"/>
    <w:basedOn w:val="HeadingBase"/>
    <w:rsid w:val="00F664D6"/>
    <w:pPr>
      <w:spacing w:before="240" w:after="60"/>
    </w:pPr>
    <w:rPr>
      <w:sz w:val="20"/>
    </w:rPr>
  </w:style>
  <w:style w:type="paragraph" w:customStyle="1" w:styleId="SubHeading1">
    <w:name w:val="SubHeading1"/>
    <w:basedOn w:val="HeadingBase"/>
    <w:rsid w:val="00F664D6"/>
    <w:pPr>
      <w:spacing w:before="240" w:after="60"/>
    </w:pPr>
    <w:rPr>
      <w:color w:val="918585"/>
      <w:sz w:val="22"/>
    </w:rPr>
  </w:style>
  <w:style w:type="paragraph" w:customStyle="1" w:styleId="SideHeading">
    <w:name w:val="Side Heading"/>
    <w:basedOn w:val="HeadingBase"/>
    <w:rsid w:val="00F66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4D6"/>
    <w:pPr>
      <w:numPr>
        <w:numId w:val="10"/>
      </w:numPr>
    </w:pPr>
  </w:style>
  <w:style w:type="paragraph" w:styleId="PlainText">
    <w:name w:val="Plain Text"/>
    <w:basedOn w:val="Normal"/>
    <w:link w:val="PlainTextChar"/>
    <w:rsid w:val="00F664D6"/>
    <w:rPr>
      <w:sz w:val="20"/>
    </w:rPr>
  </w:style>
  <w:style w:type="character" w:customStyle="1" w:styleId="PlainTextChar">
    <w:name w:val="Plain Text Char"/>
    <w:basedOn w:val="DefaultParagraphFont"/>
    <w:link w:val="PlainText"/>
    <w:rsid w:val="00F664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64D6"/>
    <w:rPr>
      <w:b/>
      <w:smallCaps/>
    </w:rPr>
  </w:style>
  <w:style w:type="paragraph" w:customStyle="1" w:styleId="TableListNumber">
    <w:name w:val="Table List Number"/>
    <w:basedOn w:val="ListNumber"/>
    <w:rsid w:val="00F664D6"/>
    <w:pPr>
      <w:numPr>
        <w:numId w:val="0"/>
      </w:numPr>
    </w:pPr>
  </w:style>
  <w:style w:type="paragraph" w:styleId="TOC4">
    <w:name w:val="toc 4"/>
    <w:basedOn w:val="TOCBase"/>
    <w:next w:val="Normal"/>
    <w:semiHidden/>
    <w:rsid w:val="00F664D6"/>
    <w:pPr>
      <w:tabs>
        <w:tab w:val="right" w:leader="dot" w:pos="9071"/>
      </w:tabs>
      <w:ind w:left="1701"/>
    </w:pPr>
  </w:style>
  <w:style w:type="paragraph" w:customStyle="1" w:styleId="ListAlpha">
    <w:name w:val="List Alpha"/>
    <w:basedOn w:val="List"/>
    <w:rsid w:val="00F664D6"/>
    <w:pPr>
      <w:numPr>
        <w:numId w:val="7"/>
      </w:numPr>
    </w:pPr>
  </w:style>
  <w:style w:type="paragraph" w:customStyle="1" w:styleId="ListAlpha2">
    <w:name w:val="List Alpha 2"/>
    <w:basedOn w:val="List2"/>
    <w:rsid w:val="00F664D6"/>
    <w:pPr>
      <w:numPr>
        <w:numId w:val="6"/>
      </w:numPr>
    </w:pPr>
  </w:style>
  <w:style w:type="paragraph" w:styleId="List2">
    <w:name w:val="List 2"/>
    <w:basedOn w:val="BodyText"/>
    <w:rsid w:val="00F664D6"/>
    <w:pPr>
      <w:tabs>
        <w:tab w:val="left" w:pos="680"/>
      </w:tabs>
      <w:spacing w:before="60" w:after="60"/>
      <w:ind w:left="680" w:hanging="340"/>
    </w:pPr>
  </w:style>
  <w:style w:type="paragraph" w:styleId="List3">
    <w:name w:val="List 3"/>
    <w:basedOn w:val="BodyText"/>
    <w:rsid w:val="00F664D6"/>
    <w:pPr>
      <w:tabs>
        <w:tab w:val="left" w:pos="1021"/>
      </w:tabs>
      <w:spacing w:before="60" w:after="60"/>
      <w:ind w:left="1020" w:hanging="340"/>
    </w:pPr>
  </w:style>
  <w:style w:type="paragraph" w:styleId="List4">
    <w:name w:val="List 4"/>
    <w:basedOn w:val="BodyText"/>
    <w:rsid w:val="00F664D6"/>
    <w:pPr>
      <w:tabs>
        <w:tab w:val="left" w:pos="1361"/>
      </w:tabs>
      <w:spacing w:before="60" w:after="60"/>
      <w:ind w:left="1361" w:hanging="340"/>
    </w:pPr>
  </w:style>
  <w:style w:type="paragraph" w:styleId="List5">
    <w:name w:val="List 5"/>
    <w:basedOn w:val="BodyText"/>
    <w:rsid w:val="00F664D6"/>
    <w:pPr>
      <w:tabs>
        <w:tab w:val="left" w:pos="1701"/>
      </w:tabs>
      <w:spacing w:before="60" w:after="60"/>
      <w:ind w:left="1701" w:hanging="340"/>
    </w:pPr>
  </w:style>
  <w:style w:type="paragraph" w:styleId="ListBullet3">
    <w:name w:val="List Bullet 3"/>
    <w:basedOn w:val="List3"/>
    <w:rsid w:val="00F664D6"/>
    <w:pPr>
      <w:numPr>
        <w:numId w:val="13"/>
      </w:numPr>
      <w:tabs>
        <w:tab w:val="clear" w:pos="1021"/>
      </w:tabs>
      <w:ind w:left="1037" w:hanging="357"/>
    </w:pPr>
  </w:style>
  <w:style w:type="paragraph" w:styleId="ListBullet4">
    <w:name w:val="List Bullet 4"/>
    <w:basedOn w:val="List4"/>
    <w:rsid w:val="00F664D6"/>
    <w:pPr>
      <w:numPr>
        <w:numId w:val="1"/>
      </w:numPr>
    </w:pPr>
  </w:style>
  <w:style w:type="paragraph" w:styleId="ListBullet5">
    <w:name w:val="List Bullet 5"/>
    <w:basedOn w:val="List5"/>
    <w:rsid w:val="00F664D6"/>
    <w:pPr>
      <w:numPr>
        <w:numId w:val="2"/>
      </w:numPr>
    </w:pPr>
  </w:style>
  <w:style w:type="paragraph" w:styleId="ListContinue2">
    <w:name w:val="List Continue 2"/>
    <w:basedOn w:val="List2"/>
    <w:rsid w:val="00F664D6"/>
    <w:pPr>
      <w:ind w:firstLine="0"/>
    </w:pPr>
  </w:style>
  <w:style w:type="paragraph" w:styleId="ListContinue3">
    <w:name w:val="List Continue 3"/>
    <w:basedOn w:val="List3"/>
    <w:rsid w:val="00F664D6"/>
    <w:pPr>
      <w:ind w:left="1021" w:firstLine="0"/>
    </w:pPr>
  </w:style>
  <w:style w:type="paragraph" w:styleId="ListContinue4">
    <w:name w:val="List Continue 4"/>
    <w:basedOn w:val="List4"/>
    <w:rsid w:val="00F664D6"/>
    <w:pPr>
      <w:ind w:firstLine="0"/>
    </w:pPr>
  </w:style>
  <w:style w:type="paragraph" w:styleId="ListContinue5">
    <w:name w:val="List Continue 5"/>
    <w:basedOn w:val="List5"/>
    <w:rsid w:val="00F664D6"/>
    <w:pPr>
      <w:ind w:firstLine="0"/>
    </w:pPr>
  </w:style>
  <w:style w:type="paragraph" w:styleId="ListNumber3">
    <w:name w:val="List Number 3"/>
    <w:basedOn w:val="List3"/>
    <w:rsid w:val="00F664D6"/>
    <w:pPr>
      <w:numPr>
        <w:numId w:val="3"/>
      </w:numPr>
    </w:pPr>
  </w:style>
  <w:style w:type="paragraph" w:styleId="ListNumber4">
    <w:name w:val="List Number 4"/>
    <w:basedOn w:val="List4"/>
    <w:rsid w:val="00F664D6"/>
    <w:pPr>
      <w:numPr>
        <w:numId w:val="4"/>
      </w:numPr>
    </w:pPr>
  </w:style>
  <w:style w:type="paragraph" w:styleId="ListNumber5">
    <w:name w:val="List Number 5"/>
    <w:basedOn w:val="List5"/>
    <w:rsid w:val="00F664D6"/>
    <w:pPr>
      <w:numPr>
        <w:numId w:val="5"/>
      </w:numPr>
    </w:pPr>
  </w:style>
  <w:style w:type="paragraph" w:styleId="BlockText">
    <w:name w:val="Block Text"/>
    <w:basedOn w:val="Normal"/>
    <w:rsid w:val="00F664D6"/>
    <w:pPr>
      <w:spacing w:after="120"/>
      <w:ind w:left="1440" w:right="1440"/>
    </w:pPr>
  </w:style>
  <w:style w:type="character" w:customStyle="1" w:styleId="Subscript">
    <w:name w:val="Subscript"/>
    <w:basedOn w:val="DefaultParagraphFont"/>
    <w:rsid w:val="00F664D6"/>
    <w:rPr>
      <w:sz w:val="16"/>
      <w:vertAlign w:val="subscript"/>
    </w:rPr>
  </w:style>
  <w:style w:type="character" w:customStyle="1" w:styleId="Superscript">
    <w:name w:val="Superscript"/>
    <w:basedOn w:val="DefaultParagraphFont"/>
    <w:rsid w:val="00F664D6"/>
    <w:rPr>
      <w:sz w:val="16"/>
      <w:vertAlign w:val="superscript"/>
    </w:rPr>
  </w:style>
  <w:style w:type="character" w:customStyle="1" w:styleId="Symbols">
    <w:name w:val="Symbols"/>
    <w:basedOn w:val="DefaultParagraphFont"/>
    <w:rsid w:val="00F664D6"/>
    <w:rPr>
      <w:rFonts w:ascii="Symbol" w:hAnsi="Symbol"/>
    </w:rPr>
  </w:style>
  <w:style w:type="character" w:customStyle="1" w:styleId="MenuOptions">
    <w:name w:val="Menu Options"/>
    <w:basedOn w:val="DefaultParagraphFont"/>
    <w:rsid w:val="00F664D6"/>
    <w:rPr>
      <w:rFonts w:ascii="Arial Narrow" w:hAnsi="Arial Narrow"/>
      <w:smallCaps/>
    </w:rPr>
  </w:style>
  <w:style w:type="character" w:customStyle="1" w:styleId="Buttons">
    <w:name w:val="Buttons"/>
    <w:basedOn w:val="DefaultParagraphFont"/>
    <w:rsid w:val="00F664D6"/>
    <w:rPr>
      <w:b/>
    </w:rPr>
  </w:style>
  <w:style w:type="character" w:customStyle="1" w:styleId="Underlined">
    <w:name w:val="Underlined"/>
    <w:basedOn w:val="DefaultParagraphFont"/>
    <w:rsid w:val="00F664D6"/>
    <w:rPr>
      <w:u w:val="single"/>
    </w:rPr>
  </w:style>
  <w:style w:type="paragraph" w:customStyle="1" w:styleId="TableBodyTextRight">
    <w:name w:val="Table Body Text Right"/>
    <w:basedOn w:val="TableBodyText"/>
    <w:rsid w:val="00F664D6"/>
    <w:pPr>
      <w:widowControl w:val="0"/>
      <w:autoSpaceDE w:val="0"/>
      <w:autoSpaceDN w:val="0"/>
      <w:adjustRightInd w:val="0"/>
      <w:jc w:val="right"/>
    </w:pPr>
    <w:rPr>
      <w:rFonts w:cs="Arial"/>
      <w:szCs w:val="18"/>
    </w:rPr>
  </w:style>
  <w:style w:type="paragraph" w:customStyle="1" w:styleId="CopyrightText">
    <w:name w:val="Copyright Text"/>
    <w:basedOn w:val="BodyText"/>
    <w:rsid w:val="00F664D6"/>
    <w:rPr>
      <w:sz w:val="18"/>
    </w:rPr>
  </w:style>
  <w:style w:type="paragraph" w:customStyle="1" w:styleId="BodySmallRight">
    <w:name w:val="Body Small Right"/>
    <w:basedOn w:val="BodyTextRight"/>
    <w:rsid w:val="00F664D6"/>
    <w:rPr>
      <w:sz w:val="18"/>
      <w:szCs w:val="18"/>
    </w:rPr>
  </w:style>
  <w:style w:type="paragraph" w:customStyle="1" w:styleId="MarginEdition">
    <w:name w:val="Margin Edition"/>
    <w:basedOn w:val="MarginNote"/>
    <w:rsid w:val="00F664D6"/>
    <w:pPr>
      <w:spacing w:before="0" w:after="0"/>
    </w:pPr>
    <w:rPr>
      <w:rFonts w:ascii="Times New Roman" w:hAnsi="Times New Roman"/>
      <w:color w:val="999999"/>
    </w:rPr>
  </w:style>
  <w:style w:type="paragraph" w:customStyle="1" w:styleId="Spacer">
    <w:name w:val="Spacer"/>
    <w:basedOn w:val="Normal"/>
    <w:rsid w:val="00F664D6"/>
    <w:rPr>
      <w:sz w:val="2"/>
      <w:szCs w:val="2"/>
    </w:rPr>
  </w:style>
  <w:style w:type="character" w:customStyle="1" w:styleId="Small">
    <w:name w:val="Small"/>
    <w:basedOn w:val="DefaultParagraphFont"/>
    <w:rsid w:val="00F664D6"/>
    <w:rPr>
      <w:sz w:val="16"/>
    </w:rPr>
  </w:style>
  <w:style w:type="paragraph" w:customStyle="1" w:styleId="WideTable">
    <w:name w:val="Wide Table"/>
    <w:basedOn w:val="Normal"/>
    <w:rsid w:val="00F664D6"/>
    <w:pPr>
      <w:ind w:left="-1418"/>
    </w:pPr>
    <w:rPr>
      <w:sz w:val="2"/>
      <w:szCs w:val="2"/>
    </w:rPr>
  </w:style>
  <w:style w:type="character" w:styleId="PageNumber">
    <w:name w:val="page number"/>
    <w:basedOn w:val="DefaultParagraphFont"/>
    <w:rsid w:val="00F664D6"/>
  </w:style>
  <w:style w:type="paragraph" w:styleId="Quote">
    <w:name w:val="Quote"/>
    <w:basedOn w:val="Heading1"/>
    <w:link w:val="QuoteChar"/>
    <w:qFormat/>
    <w:rsid w:val="00F664D6"/>
    <w:rPr>
      <w:b w:val="0"/>
      <w:sz w:val="72"/>
      <w:szCs w:val="72"/>
      <w:lang w:val="en-NZ"/>
    </w:rPr>
  </w:style>
  <w:style w:type="character" w:customStyle="1" w:styleId="QuoteChar">
    <w:name w:val="Quote Char"/>
    <w:basedOn w:val="DefaultParagraphFont"/>
    <w:link w:val="Quote"/>
    <w:rsid w:val="00F66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4D6"/>
    <w:pPr>
      <w:pageBreakBefore/>
    </w:pPr>
  </w:style>
  <w:style w:type="paragraph" w:customStyle="1" w:styleId="Border">
    <w:name w:val="Border"/>
    <w:basedOn w:val="Normal"/>
    <w:qFormat/>
    <w:rsid w:val="00F66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4D6"/>
    <w:rPr>
      <w:b/>
      <w:bCs/>
      <w:i/>
      <w:iCs/>
      <w:color w:val="auto"/>
    </w:rPr>
  </w:style>
  <w:style w:type="paragraph" w:styleId="IntenseQuote">
    <w:name w:val="Intense Quote"/>
    <w:basedOn w:val="Normal"/>
    <w:next w:val="Normal"/>
    <w:link w:val="IntenseQuoteChar"/>
    <w:uiPriority w:val="30"/>
    <w:qFormat/>
    <w:rsid w:val="00F66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4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64D6"/>
    <w:rPr>
      <w:smallCaps/>
      <w:color w:val="auto"/>
      <w:u w:val="single"/>
    </w:rPr>
  </w:style>
  <w:style w:type="character" w:styleId="IntenseReference">
    <w:name w:val="Intense Reference"/>
    <w:basedOn w:val="DefaultParagraphFont"/>
    <w:uiPriority w:val="32"/>
    <w:qFormat/>
    <w:rsid w:val="00F664D6"/>
    <w:rPr>
      <w:b/>
      <w:bCs/>
      <w:smallCaps/>
      <w:color w:val="auto"/>
      <w:spacing w:val="5"/>
      <w:u w:val="single"/>
    </w:rPr>
  </w:style>
  <w:style w:type="paragraph" w:customStyle="1" w:styleId="2ColumnHeading">
    <w:name w:val="2Column Heading"/>
    <w:basedOn w:val="BodyText"/>
    <w:qFormat/>
    <w:rsid w:val="00F664D6"/>
    <w:pPr>
      <w:spacing w:after="60"/>
      <w:ind w:left="-2268"/>
    </w:pPr>
    <w:rPr>
      <w:b/>
    </w:rPr>
  </w:style>
  <w:style w:type="paragraph" w:customStyle="1" w:styleId="Heading1TOC">
    <w:name w:val="Heading1 TOC"/>
    <w:basedOn w:val="Normal"/>
    <w:qFormat/>
    <w:rsid w:val="00F664D6"/>
    <w:pPr>
      <w:spacing w:before="240" w:after="120"/>
    </w:pPr>
    <w:rPr>
      <w:rFonts w:ascii="Times New Roman" w:hAnsi="Times New Roman"/>
      <w:b/>
      <w:sz w:val="32"/>
    </w:rPr>
  </w:style>
  <w:style w:type="paragraph" w:customStyle="1" w:styleId="Heading2TOC">
    <w:name w:val="Heading2 TOC"/>
    <w:basedOn w:val="Normal"/>
    <w:qFormat/>
    <w:rsid w:val="00F664D6"/>
    <w:pPr>
      <w:spacing w:before="240" w:after="60"/>
    </w:pPr>
    <w:rPr>
      <w:rFonts w:ascii="Times New Roman" w:hAnsi="Times New Roman"/>
      <w:b/>
      <w:sz w:val="28"/>
    </w:rPr>
  </w:style>
  <w:style w:type="character" w:customStyle="1" w:styleId="Underline">
    <w:name w:val="Underline"/>
    <w:basedOn w:val="DefaultParagraphFont"/>
    <w:qFormat/>
    <w:rsid w:val="00F664D6"/>
    <w:rPr>
      <w:u w:val="single"/>
    </w:rPr>
  </w:style>
  <w:style w:type="character" w:customStyle="1" w:styleId="BoldandItalics">
    <w:name w:val="Bold and Italics"/>
    <w:qFormat/>
    <w:rsid w:val="00F664D6"/>
    <w:rPr>
      <w:b/>
      <w:i/>
      <w:u w:val="none"/>
    </w:rPr>
  </w:style>
  <w:style w:type="paragraph" w:styleId="BalloonText">
    <w:name w:val="Balloon Text"/>
    <w:basedOn w:val="Normal"/>
    <w:link w:val="BalloonTextChar"/>
    <w:rsid w:val="00F664D6"/>
    <w:rPr>
      <w:rFonts w:ascii="Tahoma" w:hAnsi="Tahoma" w:cs="Tahoma"/>
      <w:sz w:val="16"/>
      <w:szCs w:val="16"/>
    </w:rPr>
  </w:style>
  <w:style w:type="character" w:customStyle="1" w:styleId="BalloonTextChar">
    <w:name w:val="Balloon Text Char"/>
    <w:basedOn w:val="DefaultParagraphFont"/>
    <w:link w:val="BalloonText"/>
    <w:rsid w:val="00F66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4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1799</Words>
  <Characters>11537</Characters>
  <Application>Microsoft Office Word</Application>
  <DocSecurity>0</DocSecurity>
  <Lines>346</Lines>
  <Paragraphs>234</Paragraphs>
  <ScaleCrop>false</ScaleCrop>
  <Company>Author-it Software Corporation Ltd.</Company>
  <LinksUpToDate>false</LinksUpToDate>
  <CharactersWithSpaces>13201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BSBADM408A Prepare financial reports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2012-05-26T13:32:00Z</dcterms:created>
  <dcterms:modified xsi:type="dcterms:W3CDTF">2012-05-26T13:32:00Z</dcterms:modified>
</cp:coreProperties>
</file>