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DA0" w:rsidP="00B77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BSBXDB502 Adapt organisations to enhance accessibility for people with disability</w:t>
      </w:r>
      <w:r>
        <w:fldChar w:fldCharType="end"/>
      </w:r>
    </w:p>
    <w:p w:rsidR="00B77DA0" w:rsidP="00B77DA0">
      <w:pPr>
        <w:pStyle w:val="Version"/>
        <w:sectPr w:rsidSect="002F6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E91" w:rsidP="002F6E91">
      <w:pPr>
        <w:pStyle w:val="SuperHeading"/>
      </w:pPr>
      <w:r w:rsidRPr="002F6E91">
        <w:t>Assessment Requirements for BSBXDB502 Adapt organisations to enhance accessibility for people with disability</w:t>
      </w:r>
    </w:p>
    <w:p w:rsidR="00000000" w:rsidRPr="002F6E91" w:rsidP="002F6E91">
      <w:pPr>
        <w:pStyle w:val="Heading1"/>
      </w:pPr>
      <w:bookmarkStart w:id="1" w:name="O_1021954"/>
      <w:bookmarkEnd w:id="1"/>
      <w:r w:rsidRPr="002F6E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2F6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E91" w:rsidP="002F6E91">
            <w:pPr>
              <w:pStyle w:val="BodyText"/>
            </w:pPr>
            <w:r w:rsidRPr="002F6E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91">
            <w:pPr>
              <w:pStyle w:val="BodyText"/>
              <w:rPr>
                <w:lang w:val="en-NZ"/>
              </w:rPr>
            </w:pPr>
            <w:r w:rsidRPr="002F6E91">
              <w:rPr>
                <w:rStyle w:val="SpecialBold"/>
              </w:rPr>
              <w:t>Comments</w:t>
            </w:r>
          </w:p>
        </w:tc>
      </w:tr>
      <w:tr w:rsidTr="002F6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E91">
            <w:pPr>
              <w:pStyle w:val="BodyText"/>
              <w:rPr>
                <w:lang w:val="en-NZ"/>
              </w:rPr>
            </w:pPr>
            <w:r w:rsidRPr="002F6E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E91" w:rsidP="002F6E91">
            <w:pPr>
              <w:pStyle w:val="BodyText"/>
            </w:pPr>
            <w:r w:rsidRPr="002F6E91">
              <w:t>This version first released with BSB Business Services Training Package Version 4.0.</w:t>
            </w:r>
          </w:p>
        </w:tc>
      </w:tr>
    </w:tbl>
    <w:p w:rsidR="00000000" w:rsidRPr="002F6E91" w:rsidP="002F6E91">
      <w:pPr>
        <w:pStyle w:val="BodyText"/>
      </w:pPr>
    </w:p>
    <w:p w:rsidR="00000000" w:rsidRPr="002F6E91" w:rsidP="002F6E91">
      <w:pPr>
        <w:pStyle w:val="AllowPageBreak"/>
      </w:pPr>
    </w:p>
    <w:p w:rsidR="00000000" w:rsidRPr="002F6E91" w:rsidP="002F6E91">
      <w:pPr>
        <w:pStyle w:val="Heading1"/>
      </w:pPr>
      <w:bookmarkStart w:id="2" w:name="O_1021957"/>
      <w:bookmarkEnd w:id="2"/>
      <w:r w:rsidRPr="002F6E91">
        <w:t>Performance Evidence</w:t>
      </w:r>
    </w:p>
    <w:p w:rsidR="00000000" w:rsidRPr="002F6E91" w:rsidP="00B77DA0">
      <w:pPr>
        <w:pStyle w:val="BodyText"/>
      </w:pPr>
      <w:r w:rsidRPr="002F6E91">
        <w:t>The candidate must demonstrate the ability to complete the tasks outlined in the elements, performance criteria, and foundation s</w:t>
      </w:r>
      <w:r w:rsidRPr="002F6E91">
        <w:t xml:space="preserve">kills of this unit, including, on at least one occasion, evidence of the ability to: </w:t>
      </w:r>
    </w:p>
    <w:p w:rsidR="00000000" w:rsidRPr="002F6E91" w:rsidP="002F6E91">
      <w:pPr>
        <w:pStyle w:val="ListBullet"/>
      </w:pPr>
      <w:r w:rsidRPr="002F6E91">
        <w:t>determine organisational obligations under current accessibility and anti-discrimination legislation, and standards</w:t>
      </w:r>
    </w:p>
    <w:p w:rsidR="00000000" w:rsidRPr="002F6E91" w:rsidP="002F6E91">
      <w:pPr>
        <w:pStyle w:val="ListBullet"/>
      </w:pPr>
      <w:r w:rsidRPr="002F6E91">
        <w:t>determine to what extent an organisation is currently</w:t>
      </w:r>
      <w:r w:rsidRPr="002F6E91">
        <w:t xml:space="preserve"> meeting compliance requirements </w:t>
      </w:r>
    </w:p>
    <w:p w:rsidR="00000000" w:rsidRPr="002F6E91" w:rsidP="002F6E91">
      <w:pPr>
        <w:pStyle w:val="ListBullet"/>
      </w:pPr>
      <w:r w:rsidRPr="002F6E91">
        <w:t xml:space="preserve">analyse and confirm requirements for access and use for people with differing disabilities, specific to the organisational context </w:t>
      </w:r>
    </w:p>
    <w:p w:rsidR="00000000" w:rsidRPr="002F6E91" w:rsidP="002F6E91">
      <w:pPr>
        <w:pStyle w:val="ListBullet"/>
      </w:pPr>
      <w:r w:rsidRPr="002F6E91">
        <w:t xml:space="preserve">outline barriers to access that must be addressed within an organisation </w:t>
      </w:r>
    </w:p>
    <w:p w:rsidR="00000000" w:rsidRPr="002F6E91" w:rsidP="002F6E91">
      <w:pPr>
        <w:pStyle w:val="ListBullet"/>
      </w:pPr>
      <w:r w:rsidRPr="002F6E91">
        <w:t>apply the Principles of Universal Design to the environmental and operational aspects of an organisation</w:t>
      </w:r>
    </w:p>
    <w:p w:rsidR="00000000" w:rsidRPr="002F6E91" w:rsidP="002F6E91">
      <w:pPr>
        <w:pStyle w:val="ListBullet"/>
      </w:pPr>
      <w:r w:rsidRPr="002F6E91">
        <w:t xml:space="preserve">develop practical solutions that effectively address identified opportunities to improve accessibility, leveraging research findings and technological </w:t>
      </w:r>
      <w:r w:rsidRPr="002F6E91">
        <w:t xml:space="preserve">developments where appropriate </w:t>
      </w:r>
    </w:p>
    <w:p w:rsidR="00000000" w:rsidRPr="002F6E91" w:rsidP="002F6E91">
      <w:pPr>
        <w:pStyle w:val="ListBullet"/>
      </w:pPr>
      <w:r w:rsidRPr="002F6E91">
        <w:t xml:space="preserve">consult with internal and external stakeholders, such as customers, colleagues or access experts, as required to test solutions, confirm suitability, and develop implementation plan for changes </w:t>
      </w:r>
    </w:p>
    <w:p w:rsidR="00000000" w:rsidRPr="002F6E91" w:rsidP="002F6E91">
      <w:pPr>
        <w:pStyle w:val="ListBullet"/>
      </w:pPr>
      <w:r w:rsidRPr="002F6E91">
        <w:t>review and update implementat</w:t>
      </w:r>
      <w:r w:rsidRPr="002F6E91">
        <w:t>ion plan as required.</w:t>
      </w:r>
    </w:p>
    <w:p w:rsidR="00000000" w:rsidRPr="002F6E91" w:rsidP="002F6E91">
      <w:pPr>
        <w:pStyle w:val="AllowPageBreak"/>
      </w:pPr>
    </w:p>
    <w:p w:rsidR="00000000" w:rsidRPr="002F6E91" w:rsidP="002F6E91">
      <w:pPr>
        <w:pStyle w:val="Heading1"/>
      </w:pPr>
      <w:bookmarkStart w:id="3" w:name="O_1021956"/>
      <w:bookmarkEnd w:id="3"/>
      <w:r w:rsidRPr="002F6E91">
        <w:t>Knowledge Evidence</w:t>
      </w:r>
    </w:p>
    <w:p w:rsidR="00000000" w:rsidRPr="002F6E91" w:rsidP="00B77DA0">
      <w:pPr>
        <w:pStyle w:val="BodyText"/>
      </w:pPr>
      <w:r w:rsidRPr="002F6E91">
        <w:t>The candidate must be able to demonstrate knowledge to effectively complete the tasks outlined in the elements and performance criteria of this unit. This includes knowledge of:</w:t>
      </w:r>
    </w:p>
    <w:p w:rsidR="00000000" w:rsidRPr="002F6E91" w:rsidP="002F6E91">
      <w:pPr>
        <w:pStyle w:val="ListBullet"/>
      </w:pPr>
      <w:r w:rsidRPr="002F6E91">
        <w:t>current access an</w:t>
      </w:r>
      <w:r w:rsidRPr="002F6E91">
        <w:t>d anti-discrimination legislation and standards, including:</w:t>
      </w:r>
    </w:p>
    <w:p w:rsidR="00000000" w:rsidRPr="002F6E91" w:rsidP="002F6E91">
      <w:pPr>
        <w:pStyle w:val="ListBullet2"/>
      </w:pPr>
      <w:r w:rsidRPr="002F6E91">
        <w:t>Disability Discrimination Act</w:t>
      </w:r>
    </w:p>
    <w:p w:rsidR="00000000" w:rsidRPr="002F6E91" w:rsidP="002F6E91">
      <w:pPr>
        <w:pStyle w:val="ListBullet2"/>
      </w:pPr>
      <w:r w:rsidRPr="002F6E91">
        <w:t>State and Territory anti-discrimination legislation</w:t>
      </w:r>
    </w:p>
    <w:p w:rsidR="00000000" w:rsidRPr="002F6E91" w:rsidP="002F6E91">
      <w:pPr>
        <w:pStyle w:val="ListBullet2"/>
      </w:pPr>
      <w:r w:rsidRPr="002F6E91">
        <w:t>United Nations Convention on the Rights of Persons with Disabilities</w:t>
      </w:r>
    </w:p>
    <w:p w:rsidR="00000000" w:rsidRPr="002F6E91" w:rsidP="002F6E91">
      <w:pPr>
        <w:pStyle w:val="ListBullet2"/>
      </w:pPr>
      <w:r w:rsidRPr="002F6E91">
        <w:t>Disability Services Act</w:t>
      </w:r>
    </w:p>
    <w:p w:rsidR="00000000" w:rsidRPr="002F6E91" w:rsidP="002F6E91">
      <w:pPr>
        <w:pStyle w:val="ListBullet2"/>
      </w:pPr>
      <w:r w:rsidRPr="002F6E91">
        <w:t xml:space="preserve">National Disability </w:t>
      </w:r>
      <w:r w:rsidRPr="002F6E91">
        <w:t>Strategy</w:t>
      </w:r>
    </w:p>
    <w:p w:rsidR="00000000" w:rsidRPr="002F6E91" w:rsidP="002F6E91">
      <w:pPr>
        <w:pStyle w:val="ListBullet2"/>
      </w:pPr>
      <w:r w:rsidRPr="002F6E91">
        <w:t>The Web Content Accessibility Guidelines</w:t>
      </w:r>
    </w:p>
    <w:p w:rsidR="00000000" w:rsidRPr="002F6E91" w:rsidP="002F6E91">
      <w:pPr>
        <w:pStyle w:val="ListBullet"/>
      </w:pPr>
      <w:r w:rsidRPr="002F6E91">
        <w:t xml:space="preserve">accessibility compliance requirements for organisations </w:t>
      </w:r>
    </w:p>
    <w:p w:rsidR="00000000" w:rsidRPr="002F6E91" w:rsidP="002F6E91">
      <w:pPr>
        <w:pStyle w:val="ListBullet"/>
      </w:pPr>
      <w:r w:rsidRPr="002F6E91">
        <w:t xml:space="preserve">persons covered by the Disability Discrimination Act and associated accessibility requirements  </w:t>
      </w:r>
    </w:p>
    <w:p w:rsidR="00000000" w:rsidRPr="002F6E91" w:rsidP="002F6E91">
      <w:pPr>
        <w:pStyle w:val="ListBullet"/>
      </w:pPr>
      <w:r w:rsidRPr="002F6E91">
        <w:t>features of the social model of disability as compared to the medical model</w:t>
      </w:r>
    </w:p>
    <w:p w:rsidR="00000000" w:rsidRPr="002F6E91" w:rsidP="002F6E91">
      <w:pPr>
        <w:pStyle w:val="ListBullet"/>
      </w:pPr>
      <w:r w:rsidRPr="002F6E91">
        <w:t>where barriers to access and inclusion exist within the organisational environment</w:t>
      </w:r>
    </w:p>
    <w:p w:rsidR="00000000" w:rsidRPr="002F6E91" w:rsidP="002F6E91">
      <w:pPr>
        <w:pStyle w:val="ListBullet"/>
      </w:pPr>
      <w:r w:rsidRPr="002F6E91">
        <w:t>typical barriers to access within an organisation, including:</w:t>
      </w:r>
    </w:p>
    <w:p w:rsidR="00000000" w:rsidRPr="002F6E91" w:rsidP="002F6E91">
      <w:pPr>
        <w:pStyle w:val="ListBullet2"/>
      </w:pPr>
      <w:r w:rsidRPr="002F6E91">
        <w:t>premises and facilities</w:t>
      </w:r>
    </w:p>
    <w:p w:rsidR="00000000" w:rsidRPr="002F6E91" w:rsidP="002F6E91">
      <w:pPr>
        <w:pStyle w:val="ListBullet2"/>
      </w:pPr>
      <w:r w:rsidRPr="002F6E91">
        <w:t>environmen</w:t>
      </w:r>
      <w:r w:rsidRPr="002F6E91">
        <w:t>tal and sensory factors</w:t>
      </w:r>
    </w:p>
    <w:p w:rsidR="00000000" w:rsidRPr="002F6E91" w:rsidP="002F6E91">
      <w:pPr>
        <w:pStyle w:val="ListBullet2"/>
      </w:pPr>
      <w:r w:rsidRPr="002F6E91">
        <w:t>organisational information resources</w:t>
      </w:r>
    </w:p>
    <w:p w:rsidR="00000000" w:rsidRPr="002F6E91" w:rsidP="002F6E91">
      <w:pPr>
        <w:pStyle w:val="ListBullet2"/>
      </w:pPr>
      <w:r w:rsidRPr="002F6E91">
        <w:t>communication systems and contact points</w:t>
      </w:r>
    </w:p>
    <w:p w:rsidR="00000000" w:rsidRPr="002F6E91" w:rsidP="002F6E91">
      <w:pPr>
        <w:pStyle w:val="ListBullet2"/>
      </w:pPr>
      <w:r w:rsidRPr="002F6E91">
        <w:t>organisational processes</w:t>
      </w:r>
    </w:p>
    <w:p w:rsidR="00000000" w:rsidRPr="002F6E91" w:rsidP="002F6E91">
      <w:pPr>
        <w:pStyle w:val="ListBullet2"/>
      </w:pPr>
      <w:r w:rsidRPr="002F6E91">
        <w:t>operating systems</w:t>
      </w:r>
    </w:p>
    <w:p w:rsidR="00000000" w:rsidRPr="002F6E91" w:rsidP="002F6E91">
      <w:pPr>
        <w:pStyle w:val="ListBullet2"/>
      </w:pPr>
      <w:r w:rsidRPr="002F6E91">
        <w:t>technological platforms</w:t>
      </w:r>
    </w:p>
    <w:p w:rsidR="00000000" w:rsidRPr="002F6E91" w:rsidP="002F6E91">
      <w:pPr>
        <w:pStyle w:val="ListBullet2"/>
      </w:pPr>
      <w:r w:rsidRPr="002F6E91">
        <w:t xml:space="preserve">organisational culture and behaviours  </w:t>
      </w:r>
    </w:p>
    <w:p w:rsidR="00000000" w:rsidRPr="002F6E91" w:rsidP="002F6E91">
      <w:pPr>
        <w:pStyle w:val="ListBullet"/>
      </w:pPr>
      <w:r w:rsidRPr="002F6E91">
        <w:t>Principles of Universal Design</w:t>
      </w:r>
    </w:p>
    <w:p w:rsidR="00000000" w:rsidRPr="002F6E91" w:rsidP="002F6E91">
      <w:pPr>
        <w:pStyle w:val="ListBullet"/>
      </w:pPr>
      <w:r w:rsidRPr="002F6E91">
        <w:t>tools and tests</w:t>
      </w:r>
      <w:r w:rsidRPr="002F6E91">
        <w:t xml:space="preserve"> that can be utilised to test the accessibility of websites and other online content or digital platforms </w:t>
      </w:r>
    </w:p>
    <w:p w:rsidR="00000000" w:rsidRPr="002F6E91" w:rsidP="002F6E91">
      <w:pPr>
        <w:pStyle w:val="ListBullet"/>
      </w:pPr>
      <w:r w:rsidRPr="002F6E91">
        <w:t>different communication techniques and methods of presenting information, including:</w:t>
      </w:r>
    </w:p>
    <w:p w:rsidR="00000000" w:rsidRPr="002F6E91" w:rsidP="002F6E91">
      <w:pPr>
        <w:pStyle w:val="ListBullet2"/>
      </w:pPr>
      <w:r w:rsidRPr="002F6E91">
        <w:t>alternative and augmentative communication strategies</w:t>
      </w:r>
    </w:p>
    <w:p w:rsidR="00000000" w:rsidRPr="002F6E91" w:rsidP="002F6E91">
      <w:pPr>
        <w:pStyle w:val="ListBullet2"/>
      </w:pPr>
      <w:r w:rsidRPr="002F6E91">
        <w:t>use of plain English</w:t>
      </w:r>
    </w:p>
    <w:p w:rsidR="00000000" w:rsidRPr="002F6E91" w:rsidP="002F6E91">
      <w:pPr>
        <w:pStyle w:val="ListBullet"/>
      </w:pPr>
      <w:r w:rsidRPr="002F6E91">
        <w:t>assistive technologies, design developments and solutions that can help address access needs</w:t>
      </w:r>
    </w:p>
    <w:p w:rsidR="00000000" w:rsidRPr="002F6E91" w:rsidP="002F6E91">
      <w:pPr>
        <w:pStyle w:val="ListBullet"/>
      </w:pPr>
      <w:r w:rsidRPr="002F6E91">
        <w:t>access experts and resources that can assist with addressing accessibility requirements.</w:t>
      </w:r>
    </w:p>
    <w:p w:rsidR="00000000" w:rsidRPr="002F6E91" w:rsidP="002F6E91">
      <w:pPr>
        <w:pStyle w:val="AllowPageBreak"/>
      </w:pPr>
    </w:p>
    <w:p w:rsidR="00000000" w:rsidRPr="002F6E91" w:rsidP="002F6E91">
      <w:pPr>
        <w:pStyle w:val="Heading1"/>
      </w:pPr>
      <w:bookmarkStart w:id="4" w:name="O_1021955"/>
      <w:bookmarkEnd w:id="4"/>
      <w:r w:rsidRPr="002F6E91">
        <w:t>Assessment Conditions</w:t>
      </w:r>
    </w:p>
    <w:p w:rsidR="00000000" w:rsidRPr="002F6E91" w:rsidP="00B77DA0">
      <w:pPr>
        <w:pStyle w:val="BodyText"/>
      </w:pPr>
      <w:r w:rsidRPr="002F6E91">
        <w:t>Skills must</w:t>
      </w:r>
      <w:r w:rsidRPr="002F6E91">
        <w:t xml:space="preserve"> have been demonstrated in the workplace. The following conditions must be met for this unit:</w:t>
      </w:r>
    </w:p>
    <w:p w:rsidR="00000000" w:rsidRPr="002F6E91" w:rsidP="00B77DA0">
      <w:pPr>
        <w:pStyle w:val="BodyText"/>
      </w:pPr>
      <w:r w:rsidRPr="002F6E91">
        <w:t>Use of facilities, equipment and resources, including:</w:t>
      </w:r>
    </w:p>
    <w:p w:rsidR="00000000" w:rsidRPr="002F6E91" w:rsidP="002F6E91">
      <w:pPr>
        <w:pStyle w:val="ListBullet"/>
      </w:pPr>
      <w:r w:rsidRPr="002F6E91">
        <w:t>access to details regarding the environmental and operational aspects of the organisation</w:t>
      </w:r>
    </w:p>
    <w:p w:rsidR="00000000" w:rsidRPr="002F6E91" w:rsidP="002F6E91">
      <w:pPr>
        <w:pStyle w:val="ListBullet"/>
      </w:pPr>
      <w:r w:rsidRPr="002F6E91">
        <w:t>legislation, sta</w:t>
      </w:r>
      <w:r w:rsidRPr="002F6E91">
        <w:t>ndards and organisational policies relevant to accessibility and inclusion</w:t>
      </w:r>
    </w:p>
    <w:p w:rsidR="00000000" w:rsidRPr="002F6E91" w:rsidP="002F6E91">
      <w:pPr>
        <w:pStyle w:val="ListBullet"/>
      </w:pPr>
      <w:r w:rsidRPr="002F6E91">
        <w:t>internal or external organisational stakeholders to consult regarding access solutions</w:t>
      </w:r>
    </w:p>
    <w:p w:rsidR="00000000" w:rsidRPr="002F6E91" w:rsidP="002F6E91">
      <w:pPr>
        <w:pStyle w:val="ListBullet"/>
      </w:pPr>
      <w:r w:rsidRPr="002F6E91">
        <w:t>information regarding the impact and outcomes of implemented accessibility changes</w:t>
      </w:r>
    </w:p>
    <w:p w:rsidR="00000000" w:rsidRPr="002F6E91" w:rsidP="002F6E91">
      <w:pPr>
        <w:pStyle w:val="ListBullet"/>
      </w:pPr>
      <w:r w:rsidRPr="002F6E91">
        <w:t>opportuniti</w:t>
      </w:r>
      <w:r w:rsidRPr="002F6E91">
        <w:t>es for consultation or collaboration with real accessibility stakeholders, to support the implementation of access improvements.</w:t>
      </w:r>
    </w:p>
    <w:p w:rsidR="00000000" w:rsidRPr="002F6E91" w:rsidP="00B77DA0">
      <w:pPr>
        <w:pStyle w:val="BodyText"/>
      </w:pPr>
      <w:r w:rsidRPr="002F6E91">
        <w:t>Assessors of this unit must satisfy the assessor requirements in applicable vocational education and training legislation, frameworks and/or standards.</w:t>
      </w:r>
    </w:p>
    <w:p w:rsidR="00000000" w:rsidRPr="002F6E91" w:rsidP="002F6E91">
      <w:pPr>
        <w:pStyle w:val="Heading1"/>
      </w:pPr>
      <w:bookmarkStart w:id="5" w:name="O_1021953"/>
      <w:bookmarkEnd w:id="5"/>
      <w:r w:rsidRPr="002F6E91">
        <w:t>Links</w:t>
      </w:r>
    </w:p>
    <w:p w:rsidR="00000000" w:rsidRPr="002F6E91" w:rsidP="00B77DA0">
      <w:pPr>
        <w:pStyle w:val="BodyText"/>
      </w:pPr>
      <w:r w:rsidRPr="002F6E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49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6E91" w:rsidP="002F6E91"/>
    <w:sectPr w:rsidSect="002F6E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91" w:rsidRPr="00B77DA0" w:rsidP="00B77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A0" w:rsidP="002F6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DA0" w:rsidP="002F6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7DA0" w:rsidP="002F6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E91" w:rsidRPr="00B77DA0" w:rsidP="00B77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A0" w:rsidRPr="002D2AF8" w:rsidP="002F6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BSBXDB502 Adapt organisations to enhance accessibility for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77DA0" w:rsidP="002F6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B08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5A7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26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E91"/>
  </w:style>
  <w:style w:type="character" w:customStyle="1" w:styleId="Heading1Char">
    <w:name w:val="Heading 1 Char"/>
    <w:basedOn w:val="DefaultParagraphFont"/>
    <w:link w:val="Heading1"/>
    <w:rsid w:val="002F6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E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E91"/>
    <w:rPr>
      <w:b/>
      <w:spacing w:val="0"/>
    </w:rPr>
  </w:style>
  <w:style w:type="paragraph" w:styleId="ListBullet2">
    <w:name w:val="List Bullet 2"/>
    <w:basedOn w:val="List2"/>
    <w:rsid w:val="002F6E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E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E91"/>
    <w:rPr>
      <w:i/>
    </w:rPr>
  </w:style>
  <w:style w:type="paragraph" w:styleId="Caption">
    <w:name w:val="caption"/>
    <w:basedOn w:val="BodyText"/>
    <w:next w:val="Normal"/>
    <w:qFormat/>
    <w:rsid w:val="002F6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E91"/>
  </w:style>
  <w:style w:type="paragraph" w:styleId="TableofFigures">
    <w:name w:val="table of figures"/>
    <w:basedOn w:val="Normal"/>
    <w:next w:val="Normal"/>
    <w:semiHidden/>
    <w:rsid w:val="002F6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E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E91"/>
    <w:rPr>
      <w:rFonts w:ascii="Wingdings" w:hAnsi="Wingdings"/>
    </w:rPr>
  </w:style>
  <w:style w:type="paragraph" w:customStyle="1" w:styleId="TableHeading">
    <w:name w:val="Table Heading"/>
    <w:basedOn w:val="HeadingBase"/>
    <w:rsid w:val="002F6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E91"/>
    <w:rPr>
      <w:color w:val="0033CC"/>
      <w:u w:val="none"/>
    </w:rPr>
  </w:style>
  <w:style w:type="paragraph" w:customStyle="1" w:styleId="BodyTextRight">
    <w:name w:val="Body Text Right"/>
    <w:basedOn w:val="BodyText"/>
    <w:rsid w:val="002F6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E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E91"/>
    <w:rPr>
      <w:sz w:val="32"/>
    </w:rPr>
  </w:style>
  <w:style w:type="paragraph" w:customStyle="1" w:styleId="HeadingProcedure">
    <w:name w:val="Heading Procedure"/>
    <w:basedOn w:val="HeadingBase"/>
    <w:next w:val="Normal"/>
    <w:rsid w:val="002F6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E91"/>
    <w:pPr>
      <w:spacing w:before="60" w:after="60"/>
    </w:pPr>
  </w:style>
  <w:style w:type="paragraph" w:styleId="ListContinue">
    <w:name w:val="List Continue"/>
    <w:basedOn w:val="List"/>
    <w:rsid w:val="002F6E91"/>
    <w:pPr>
      <w:ind w:firstLine="0"/>
    </w:pPr>
  </w:style>
  <w:style w:type="paragraph" w:customStyle="1" w:styleId="ListNote">
    <w:name w:val="List Note"/>
    <w:basedOn w:val="List"/>
    <w:rsid w:val="002F6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E91"/>
    <w:rPr>
      <w:rFonts w:ascii="Courier New" w:hAnsi="Courier New"/>
    </w:rPr>
  </w:style>
  <w:style w:type="paragraph" w:customStyle="1" w:styleId="NoteBullet">
    <w:name w:val="Note Bullet"/>
    <w:basedOn w:val="Note"/>
    <w:rsid w:val="002F6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E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E91"/>
    <w:rPr>
      <w:b/>
      <w:smallCaps/>
    </w:rPr>
  </w:style>
  <w:style w:type="paragraph" w:customStyle="1" w:styleId="TableListNumber">
    <w:name w:val="Table List Number"/>
    <w:basedOn w:val="ListNumber"/>
    <w:rsid w:val="002F6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E91"/>
    <w:pPr>
      <w:numPr>
        <w:numId w:val="9"/>
      </w:numPr>
    </w:pPr>
  </w:style>
  <w:style w:type="paragraph" w:customStyle="1" w:styleId="ListAlpha2">
    <w:name w:val="List Alpha 2"/>
    <w:basedOn w:val="List2"/>
    <w:rsid w:val="002F6E91"/>
    <w:pPr>
      <w:numPr>
        <w:numId w:val="8"/>
      </w:numPr>
    </w:pPr>
  </w:style>
  <w:style w:type="paragraph" w:styleId="List2">
    <w:name w:val="List 2"/>
    <w:basedOn w:val="BodyText"/>
    <w:rsid w:val="002F6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E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E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E91"/>
    <w:pPr>
      <w:numPr>
        <w:numId w:val="4"/>
      </w:numPr>
    </w:pPr>
  </w:style>
  <w:style w:type="paragraph" w:styleId="ListContinue2">
    <w:name w:val="List Continue 2"/>
    <w:basedOn w:val="List2"/>
    <w:rsid w:val="002F6E91"/>
    <w:pPr>
      <w:ind w:firstLine="0"/>
    </w:pPr>
  </w:style>
  <w:style w:type="paragraph" w:styleId="ListContinue3">
    <w:name w:val="List Continue 3"/>
    <w:basedOn w:val="List3"/>
    <w:rsid w:val="002F6E91"/>
    <w:pPr>
      <w:ind w:left="1021" w:firstLine="0"/>
    </w:pPr>
  </w:style>
  <w:style w:type="paragraph" w:styleId="ListContinue4">
    <w:name w:val="List Continue 4"/>
    <w:basedOn w:val="List4"/>
    <w:rsid w:val="002F6E91"/>
    <w:pPr>
      <w:ind w:firstLine="0"/>
    </w:pPr>
  </w:style>
  <w:style w:type="paragraph" w:styleId="ListContinue5">
    <w:name w:val="List Continue 5"/>
    <w:basedOn w:val="List5"/>
    <w:rsid w:val="002F6E91"/>
    <w:pPr>
      <w:ind w:firstLine="0"/>
    </w:pPr>
  </w:style>
  <w:style w:type="paragraph" w:styleId="ListNumber3">
    <w:name w:val="List Number 3"/>
    <w:basedOn w:val="List3"/>
    <w:rsid w:val="002F6E91"/>
    <w:pPr>
      <w:numPr>
        <w:numId w:val="5"/>
      </w:numPr>
    </w:pPr>
  </w:style>
  <w:style w:type="paragraph" w:styleId="ListNumber4">
    <w:name w:val="List Number 4"/>
    <w:basedOn w:val="List4"/>
    <w:rsid w:val="002F6E91"/>
    <w:pPr>
      <w:numPr>
        <w:numId w:val="6"/>
      </w:numPr>
    </w:pPr>
  </w:style>
  <w:style w:type="paragraph" w:styleId="ListNumber5">
    <w:name w:val="List Number 5"/>
    <w:basedOn w:val="List5"/>
    <w:rsid w:val="002F6E91"/>
    <w:pPr>
      <w:numPr>
        <w:numId w:val="7"/>
      </w:numPr>
    </w:pPr>
  </w:style>
  <w:style w:type="paragraph" w:styleId="BlockText">
    <w:name w:val="Block Text"/>
    <w:basedOn w:val="Normal"/>
    <w:rsid w:val="002F6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E91"/>
    <w:rPr>
      <w:sz w:val="16"/>
      <w:vertAlign w:val="superscript"/>
    </w:rPr>
  </w:style>
  <w:style w:type="character" w:customStyle="1" w:styleId="Symbols">
    <w:name w:val="Symbols"/>
    <w:basedOn w:val="DefaultParagraphFont"/>
    <w:rsid w:val="002F6E91"/>
    <w:rPr>
      <w:rFonts w:ascii="Symbol" w:hAnsi="Symbol"/>
    </w:rPr>
  </w:style>
  <w:style w:type="character" w:customStyle="1" w:styleId="MenuOptions">
    <w:name w:val="Menu Options"/>
    <w:basedOn w:val="DefaultParagraphFont"/>
    <w:rsid w:val="002F6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E91"/>
    <w:rPr>
      <w:b/>
    </w:rPr>
  </w:style>
  <w:style w:type="character" w:customStyle="1" w:styleId="Underlined">
    <w:name w:val="Underlined"/>
    <w:basedOn w:val="DefaultParagraphFont"/>
    <w:rsid w:val="002F6E91"/>
    <w:rPr>
      <w:u w:val="single"/>
    </w:rPr>
  </w:style>
  <w:style w:type="paragraph" w:customStyle="1" w:styleId="TableBodyTextRight">
    <w:name w:val="Table Body Text Right"/>
    <w:basedOn w:val="TableBodyText"/>
    <w:rsid w:val="002F6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E91"/>
    <w:rPr>
      <w:sz w:val="18"/>
    </w:rPr>
  </w:style>
  <w:style w:type="paragraph" w:customStyle="1" w:styleId="BodySmallRight">
    <w:name w:val="Body Small Right"/>
    <w:basedOn w:val="BodyTextRight"/>
    <w:rsid w:val="002F6E91"/>
    <w:rPr>
      <w:sz w:val="18"/>
      <w:szCs w:val="18"/>
    </w:rPr>
  </w:style>
  <w:style w:type="paragraph" w:customStyle="1" w:styleId="MarginEdition">
    <w:name w:val="Margin Edition"/>
    <w:basedOn w:val="MarginNote"/>
    <w:rsid w:val="002F6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E91"/>
    <w:rPr>
      <w:sz w:val="2"/>
      <w:szCs w:val="2"/>
    </w:rPr>
  </w:style>
  <w:style w:type="character" w:customStyle="1" w:styleId="Small">
    <w:name w:val="Small"/>
    <w:basedOn w:val="DefaultParagraphFont"/>
    <w:rsid w:val="002F6E91"/>
    <w:rPr>
      <w:sz w:val="16"/>
    </w:rPr>
  </w:style>
  <w:style w:type="paragraph" w:customStyle="1" w:styleId="WideTable">
    <w:name w:val="Wide Table"/>
    <w:basedOn w:val="Normal"/>
    <w:rsid w:val="002F6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E91"/>
  </w:style>
  <w:style w:type="paragraph" w:styleId="Quote">
    <w:name w:val="Quote"/>
    <w:basedOn w:val="Heading1"/>
    <w:link w:val="QuoteChar"/>
    <w:qFormat/>
    <w:rsid w:val="002F6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E91"/>
    <w:pPr>
      <w:pageBreakBefore/>
    </w:pPr>
  </w:style>
  <w:style w:type="paragraph" w:customStyle="1" w:styleId="Border">
    <w:name w:val="Border"/>
    <w:basedOn w:val="Normal"/>
    <w:qFormat/>
    <w:rsid w:val="002F6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E91"/>
    <w:rPr>
      <w:u w:val="single"/>
    </w:rPr>
  </w:style>
  <w:style w:type="character" w:customStyle="1" w:styleId="BoldandItalics">
    <w:name w:val="Bold and Italics"/>
    <w:qFormat/>
    <w:rsid w:val="002F6E91"/>
    <w:rPr>
      <w:b/>
      <w:i/>
      <w:u w:val="none"/>
    </w:rPr>
  </w:style>
  <w:style w:type="paragraph" w:styleId="BalloonText">
    <w:name w:val="Balloon Text"/>
    <w:basedOn w:val="Normal"/>
    <w:link w:val="BalloonTextChar"/>
    <w:rsid w:val="002F6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E91"/>
    <w:pPr>
      <w:spacing w:before="0" w:after="0"/>
    </w:pPr>
  </w:style>
  <w:style w:type="paragraph" w:customStyle="1" w:styleId="BodyTextBold">
    <w:name w:val="Body Text Bold"/>
    <w:basedOn w:val="BodyText"/>
    <w:qFormat/>
    <w:rsid w:val="002F6E91"/>
    <w:rPr>
      <w:b/>
    </w:rPr>
  </w:style>
  <w:style w:type="character" w:styleId="Hyperlink">
    <w:name w:val="Hyperlink"/>
    <w:basedOn w:val="DefaultParagraphFont"/>
    <w:uiPriority w:val="99"/>
    <w:unhideWhenUsed/>
    <w:rsid w:val="00B77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3792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BSBXDB502 Adapt organisations to enhance accessibility for people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2022-01-25T00:57:00Z</dcterms:created>
  <dcterms:modified xsi:type="dcterms:W3CDTF">2022-01-25T00:57:00Z</dcterms:modified>
</cp:coreProperties>
</file>