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C7D" w:rsidP="00564C7D">
      <w:pPr>
        <w:pStyle w:val="Title"/>
      </w:pPr>
      <w:r>
        <w:fldChar w:fldCharType="begin"/>
      </w:r>
      <w:r>
        <w:instrText xml:space="preserve"> TITLE   \* MERGEFORMAT </w:instrText>
      </w:r>
      <w:r>
        <w:fldChar w:fldCharType="separate"/>
      </w:r>
      <w:r>
        <w:t>BSBWHS616 Apply safe design principles to control WHS risks</w:t>
      </w:r>
      <w:r>
        <w:fldChar w:fldCharType="end"/>
      </w:r>
    </w:p>
    <w:p w:rsidR="00564C7D" w:rsidP="00564C7D">
      <w:pPr>
        <w:pStyle w:val="Version"/>
        <w:sectPr w:rsidSect="00E561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1EB" w:rsidP="00E561EB">
      <w:pPr>
        <w:pStyle w:val="SuperHeading"/>
      </w:pPr>
      <w:r w:rsidRPr="00E561EB">
        <w:t>BSBWHS616 Apply safe design principles to control WHS risks</w:t>
      </w:r>
    </w:p>
    <w:p w:rsidR="00000000" w:rsidRPr="00E561EB" w:rsidP="00E561EB">
      <w:pPr>
        <w:pStyle w:val="Heading1"/>
      </w:pPr>
      <w:bookmarkStart w:id="1" w:name="O_1056191"/>
      <w:bookmarkEnd w:id="1"/>
      <w:r w:rsidRPr="00E561EB">
        <w:t>Modification History</w:t>
      </w:r>
    </w:p>
    <w:tbl>
      <w:tblPr>
        <w:tblW w:w="0" w:type="auto"/>
        <w:tblLayout w:type="fixed"/>
        <w:tblCellMar>
          <w:left w:w="62" w:type="dxa"/>
          <w:right w:w="62" w:type="dxa"/>
        </w:tblCellMar>
        <w:tblLook w:val="0000"/>
      </w:tblPr>
      <w:tblGrid>
        <w:gridCol w:w="3024"/>
        <w:gridCol w:w="5873"/>
      </w:tblGrid>
      <w:tr w:rsidTr="00E561EB">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1EB" w:rsidP="00E561EB">
            <w:pPr>
              <w:pStyle w:val="BodyText"/>
            </w:pPr>
            <w:r w:rsidRPr="00E561E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EB">
            <w:pPr>
              <w:pStyle w:val="BodyText"/>
              <w:rPr>
                <w:lang w:val="en-NZ"/>
              </w:rPr>
            </w:pPr>
            <w:r w:rsidRPr="00E561EB">
              <w:rPr>
                <w:rStyle w:val="SpecialBold"/>
              </w:rPr>
              <w:t>Comments</w:t>
            </w:r>
          </w:p>
        </w:tc>
      </w:tr>
      <w:tr w:rsidTr="00E561EB">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EB">
            <w:pPr>
              <w:pStyle w:val="BodyText"/>
              <w:rPr>
                <w:lang w:val="en-NZ"/>
              </w:rPr>
            </w:pPr>
            <w:r w:rsidRPr="00E561E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1EB" w:rsidP="00E561EB">
            <w:pPr>
              <w:pStyle w:val="BodyText"/>
            </w:pPr>
            <w:r w:rsidRPr="00E561EB">
              <w:t>This version first released with BSB Business Services Training Package Version 5.0.</w:t>
            </w:r>
          </w:p>
        </w:tc>
      </w:tr>
    </w:tbl>
    <w:p w:rsidR="00000000" w:rsidRPr="00E561EB" w:rsidP="00E561EB">
      <w:pPr>
        <w:pStyle w:val="BodyText"/>
      </w:pPr>
    </w:p>
    <w:p w:rsidR="00000000" w:rsidRPr="00E561EB" w:rsidP="00E561EB">
      <w:pPr>
        <w:pStyle w:val="AllowPageBreak"/>
      </w:pPr>
    </w:p>
    <w:p w:rsidR="00000000" w:rsidRPr="00E561EB" w:rsidP="00E561EB">
      <w:pPr>
        <w:pStyle w:val="Heading1"/>
      </w:pPr>
      <w:bookmarkStart w:id="2" w:name="O_1056197"/>
      <w:bookmarkEnd w:id="2"/>
      <w:r w:rsidRPr="00E561EB">
        <w:t>Application</w:t>
      </w:r>
    </w:p>
    <w:p w:rsidR="00000000" w:rsidRPr="00E561EB" w:rsidP="00564C7D">
      <w:pPr>
        <w:pStyle w:val="BodyText"/>
      </w:pPr>
      <w:r w:rsidRPr="00E561EB">
        <w:t>This unit describes the skills and knowledge required to apply safe des</w:t>
      </w:r>
      <w:r w:rsidRPr="00E561EB">
        <w:t>ign principles to control work health and safety (WHS) risks in a product’s life cycle. It involves engaging at different points of the supply chain to provide advice based on safe design principles. The central feature of safe design is the application of</w:t>
      </w:r>
      <w:r w:rsidRPr="00E561EB">
        <w:t xml:space="preserve"> relevant information and data about human experience, capabilities and behaviour to the design of objects, facilities, procedures and environments that people use.</w:t>
      </w:r>
    </w:p>
    <w:p w:rsidR="00000000" w:rsidRPr="00E561EB" w:rsidP="00564C7D">
      <w:pPr>
        <w:pStyle w:val="BodyText"/>
      </w:pPr>
      <w:r w:rsidRPr="00E561EB">
        <w:t>The unit applies to those who apply the principles of safe design in their organisation, wh</w:t>
      </w:r>
      <w:r w:rsidRPr="00E561EB">
        <w:t>ich may be at one or more stages of the product’s life cycle, including procurement, installation, operation and disposal. Products may refer to plant, tools and equipment. The application of safe design principles aims to eliminate or minimise hazards and</w:t>
      </w:r>
      <w:r w:rsidRPr="00E561EB">
        <w:t xml:space="preserve"> their associated risks before an existing product, or a product being developed or modified, is introduced into the workplace.</w:t>
      </w:r>
    </w:p>
    <w:p w:rsidR="00000000" w:rsidRPr="00E561EB" w:rsidP="00E561EB">
      <w:pPr>
        <w:pStyle w:val="BodyTextBold"/>
      </w:pPr>
      <w:r w:rsidRPr="00E561EB">
        <w:t>NOTES</w:t>
      </w:r>
    </w:p>
    <w:p w:rsidR="00000000" w:rsidRPr="00E561EB" w:rsidP="00564C7D">
      <w:pPr>
        <w:pStyle w:val="List"/>
      </w:pPr>
      <w:r w:rsidRPr="00E561EB">
        <w:t>1.</w:t>
      </w:r>
      <w:r>
        <w:tab/>
      </w:r>
      <w:r w:rsidRPr="00E561EB">
        <w:t>The terms ‘occupational health and safety’ (OHS) and ‘work health and safety’ (WHS) are equivalent, and generally eith</w:t>
      </w:r>
      <w:r w:rsidRPr="00E561EB">
        <w:t xml:space="preserve">er can be used in the workplace. In jurisdictions where </w:t>
      </w:r>
      <w:r w:rsidRPr="00E561EB">
        <w:rPr>
          <w:rStyle w:val="Emphasis"/>
        </w:rPr>
        <w:t>model WHS laws</w:t>
      </w:r>
      <w:r w:rsidRPr="00E561EB">
        <w:t xml:space="preserve"> have not been implemented, registered training organisations (RTOs) are advised to contextualise this unit of competency by referring to existing WHS legislative requirements.</w:t>
      </w:r>
    </w:p>
    <w:p w:rsidR="00000000" w:rsidRPr="00E561EB" w:rsidP="00564C7D">
      <w:pPr>
        <w:pStyle w:val="List"/>
      </w:pPr>
      <w:r w:rsidRPr="00E561EB">
        <w:t>2.</w:t>
      </w:r>
      <w:r>
        <w:tab/>
      </w:r>
      <w:r w:rsidRPr="00E561EB">
        <w:t>For th</w:t>
      </w:r>
      <w:r w:rsidRPr="00E561EB">
        <w:t xml:space="preserve">e purposes of this unit of competency ‘safe design’ refers to a process defined as the integration of hazard identification and risk assessment methods to eliminate or minimise the risk of injury throughout the life cycle of plant, tool or equipment being </w:t>
      </w:r>
      <w:r w:rsidRPr="00E561EB">
        <w:t>designed.</w:t>
      </w:r>
    </w:p>
    <w:p w:rsidR="00000000" w:rsidRPr="00E561EB" w:rsidP="00564C7D">
      <w:pPr>
        <w:pStyle w:val="List"/>
      </w:pPr>
      <w:r w:rsidRPr="00E561EB">
        <w:t>3.</w:t>
      </w:r>
      <w:r>
        <w:tab/>
      </w:r>
      <w:r w:rsidRPr="00E561EB">
        <w:t>For the purposes of this unit of competency a ‘product’ refers to any plant, tool or equipment.</w:t>
      </w:r>
    </w:p>
    <w:p w:rsidR="00000000" w:rsidRPr="00E561EB" w:rsidP="00564C7D">
      <w:pPr>
        <w:pStyle w:val="List"/>
      </w:pPr>
      <w:r w:rsidRPr="00E561EB">
        <w:t>4.</w:t>
      </w:r>
      <w:r>
        <w:tab/>
      </w:r>
      <w:r w:rsidRPr="00E561EB">
        <w:t xml:space="preserve">The </w:t>
      </w:r>
      <w:r w:rsidRPr="00E561EB">
        <w:rPr>
          <w:rStyle w:val="Emphasis"/>
        </w:rPr>
        <w:t>model WHS laws</w:t>
      </w:r>
      <w:r w:rsidRPr="00E561EB">
        <w:t xml:space="preserve"> include the model WHS Act, model WHS Regulations and model WHS Codes of Practice. See Safe Work Australia for further informa</w:t>
      </w:r>
      <w:r w:rsidRPr="00E561EB">
        <w:t>tion.</w:t>
      </w:r>
    </w:p>
    <w:p w:rsidR="00000000" w:rsidRPr="00E561EB" w:rsidP="00E561EB">
      <w:pPr>
        <w:pStyle w:val="BodyText"/>
      </w:pPr>
    </w:p>
    <w:p w:rsidR="00000000" w:rsidRPr="00E561EB" w:rsidP="00564C7D">
      <w:pPr>
        <w:pStyle w:val="BodyText"/>
      </w:pPr>
      <w:r w:rsidRPr="00E561EB">
        <w:t>No licensing, legislative or certification requirements apply to this unit at the time of publication.</w:t>
      </w:r>
    </w:p>
    <w:p w:rsidR="00000000" w:rsidRPr="00E561EB" w:rsidP="00E561EB">
      <w:pPr>
        <w:pStyle w:val="Heading1"/>
      </w:pPr>
      <w:bookmarkStart w:id="3" w:name="O_1056196"/>
      <w:bookmarkEnd w:id="3"/>
      <w:r w:rsidRPr="00E561EB">
        <w:t>Unit Sector</w:t>
      </w:r>
    </w:p>
    <w:p w:rsidR="00000000" w:rsidRPr="00E561EB" w:rsidP="00564C7D">
      <w:pPr>
        <w:pStyle w:val="BodyText"/>
      </w:pPr>
      <w:r w:rsidRPr="00E561EB">
        <w:t>Regulation, Licensing and Risk – Work Health and Safety</w:t>
      </w:r>
    </w:p>
    <w:p w:rsidR="00000000" w:rsidRPr="00E561EB" w:rsidP="00E561EB">
      <w:pPr>
        <w:pStyle w:val="Heading1"/>
      </w:pPr>
      <w:bookmarkStart w:id="4" w:name="O_1056195"/>
      <w:bookmarkEnd w:id="4"/>
      <w:r w:rsidRPr="00E561EB">
        <w:t>Elements and Performance Criteria</w:t>
      </w:r>
    </w:p>
    <w:tbl>
      <w:tblPr>
        <w:tblW w:w="0" w:type="auto"/>
        <w:tblCellMar>
          <w:left w:w="62" w:type="dxa"/>
          <w:right w:w="62" w:type="dxa"/>
        </w:tblCellMar>
        <w:tblLook w:val="0000"/>
      </w:tblPr>
      <w:tblGrid>
        <w:gridCol w:w="2582"/>
        <w:gridCol w:w="6614"/>
      </w:tblGrid>
      <w:tr w:rsidTr="00564C7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61EB" w:rsidP="00E561EB">
            <w:pPr>
              <w:pStyle w:val="BodyText"/>
            </w:pPr>
            <w:r w:rsidRPr="00E561EB">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61EB">
            <w:pPr>
              <w:pStyle w:val="BodyText"/>
              <w:rPr>
                <w:lang w:val="en-NZ"/>
              </w:rPr>
            </w:pPr>
            <w:r w:rsidRPr="00E561EB">
              <w:rPr>
                <w:rStyle w:val="SpecialBold"/>
              </w:rPr>
              <w:t>PERFORMANCE CRITERIA</w:t>
            </w:r>
          </w:p>
        </w:tc>
      </w:tr>
      <w:tr w:rsidTr="00564C7D">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61EB" w:rsidP="00E561EB">
            <w:pPr>
              <w:pStyle w:val="BodyText"/>
            </w:pPr>
            <w:r w:rsidRPr="00E561EB">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61EB">
            <w:pPr>
              <w:pStyle w:val="BodyText"/>
              <w:rPr>
                <w:lang w:val="en-NZ"/>
              </w:rPr>
            </w:pPr>
            <w:r w:rsidRPr="00E561EB">
              <w:rPr>
                <w:rStyle w:val="Emphasis"/>
              </w:rPr>
              <w:t>Performance criteria describe the performance needed to demonstrate achievement of the element.</w:t>
            </w:r>
          </w:p>
        </w:tc>
      </w:tr>
      <w:tr w:rsidTr="00564C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EB">
            <w:pPr>
              <w:pStyle w:val="BodyText"/>
              <w:rPr>
                <w:lang w:val="en-NZ"/>
              </w:rPr>
            </w:pPr>
            <w:r w:rsidRPr="00E561EB">
              <w:t>1 Advise on WHS principles that support safe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1EB" w:rsidP="00E561EB">
            <w:pPr>
              <w:pStyle w:val="BodyText"/>
            </w:pPr>
            <w:r w:rsidRPr="00E561EB">
              <w:t>1.1 Advise decision-makers of their</w:t>
            </w:r>
            <w:r w:rsidRPr="00E561EB">
              <w:t xml:space="preserve"> duties under WHS laws to manage WHS risks throughout a product’s life cycle</w:t>
            </w:r>
          </w:p>
          <w:p w:rsidR="00000000" w:rsidRPr="00E561EB" w:rsidP="00E561EB">
            <w:pPr>
              <w:pStyle w:val="BodyText"/>
            </w:pPr>
            <w:r w:rsidRPr="00E561EB">
              <w:t xml:space="preserve">1.2 Source and make available to decision-makers the most current information and data on WHS principles, materials, technology and systems that apply to product design </w:t>
            </w:r>
          </w:p>
          <w:p w:rsidR="00000000" w:rsidRPr="00E561EB" w:rsidP="00E561EB">
            <w:pPr>
              <w:pStyle w:val="BodyText"/>
            </w:pPr>
            <w:r w:rsidRPr="00E561EB">
              <w:t>1.3 Advis</w:t>
            </w:r>
            <w:r w:rsidRPr="00E561EB">
              <w:t>e on methods and tools that can support WHS hazard identification and WHS risk assessment throughout a product’s life cycle</w:t>
            </w:r>
          </w:p>
          <w:p w:rsidR="00000000" w:rsidRPr="00E561EB" w:rsidP="00E561EB">
            <w:pPr>
              <w:pStyle w:val="BodyText"/>
            </w:pPr>
            <w:r w:rsidRPr="00E561EB">
              <w:t>1.4 Identify and address learning and development needs of decision-makers to manage WHS risks that may arise during a product’s lif</w:t>
            </w:r>
            <w:r w:rsidRPr="00E561EB">
              <w:t>e cycle, including during its design phase</w:t>
            </w:r>
          </w:p>
          <w:p w:rsidR="00000000" w:rsidRPr="00E561EB" w:rsidP="00E561EB">
            <w:pPr>
              <w:pStyle w:val="BodyText"/>
            </w:pPr>
            <w:r w:rsidRPr="00E561EB">
              <w:t>1.5 Advise on consultation with known and/or potential users of the product during the design phase, according to organisational policies and procedures</w:t>
            </w:r>
          </w:p>
          <w:p w:rsidR="00000000" w:rsidP="00E561EB">
            <w:pPr>
              <w:pStyle w:val="BodyText"/>
              <w:rPr>
                <w:lang w:val="en-NZ"/>
              </w:rPr>
            </w:pPr>
            <w:r w:rsidRPr="00E561EB">
              <w:t>1.6 Identify situations where specialist and other advisers may be required to support safe design activities</w:t>
            </w:r>
          </w:p>
        </w:tc>
      </w:tr>
      <w:tr w:rsidTr="00564C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EB">
            <w:pPr>
              <w:pStyle w:val="BodyText"/>
              <w:rPr>
                <w:lang w:val="en-NZ"/>
              </w:rPr>
            </w:pPr>
            <w:r w:rsidRPr="00E561EB">
              <w:t>2 Advise on systematic approach to WHS risk management for safe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1EB" w:rsidP="00E561EB">
            <w:pPr>
              <w:pStyle w:val="BodyText"/>
            </w:pPr>
            <w:r w:rsidRPr="00E561EB">
              <w:t>2.1 Advise on selection and implementation of required WHS risk controls i</w:t>
            </w:r>
            <w:r w:rsidRPr="00E561EB">
              <w:t>n design, based on the hierarchy of control measures</w:t>
            </w:r>
          </w:p>
          <w:p w:rsidR="00000000" w:rsidRPr="00E561EB" w:rsidP="00E561EB">
            <w:pPr>
              <w:pStyle w:val="BodyText"/>
            </w:pPr>
            <w:r w:rsidRPr="00E561EB">
              <w:t>2.2 Advise on documentation requirements relating to decision-making during risk assessment process</w:t>
            </w:r>
          </w:p>
          <w:p w:rsidR="00000000" w:rsidRPr="00E561EB" w:rsidP="00E561EB">
            <w:pPr>
              <w:pStyle w:val="BodyText"/>
            </w:pPr>
            <w:r w:rsidRPr="00E561EB">
              <w:t>2.3 Advise on establishment of a residual WHS risk register and distribution of this information to tho</w:t>
            </w:r>
            <w:r w:rsidRPr="00E561EB">
              <w:t>se involved in downstream or subsequent product life-cycle stages</w:t>
            </w:r>
          </w:p>
          <w:p w:rsidR="00000000" w:rsidRPr="00E561EB" w:rsidP="00E561EB">
            <w:pPr>
              <w:pStyle w:val="BodyText"/>
            </w:pPr>
            <w:r w:rsidRPr="00E561EB">
              <w:t>2.4 Advise on monitoring the design as it evolves, to identify and manage potential WHS hazards that may arise during product life cycle and their associated risks</w:t>
            </w:r>
          </w:p>
          <w:p w:rsidR="00000000" w:rsidP="00E561EB">
            <w:pPr>
              <w:pStyle w:val="BodyText"/>
              <w:rPr>
                <w:lang w:val="en-NZ"/>
              </w:rPr>
            </w:pPr>
            <w:r w:rsidRPr="00E561EB">
              <w:t>2.5 Identify and address l</w:t>
            </w:r>
            <w:r w:rsidRPr="00E561EB">
              <w:t>earning and development needs of decision-makers in relation to managing design-related WHS risks in a product’s life cycle</w:t>
            </w:r>
          </w:p>
        </w:tc>
      </w:tr>
      <w:tr w:rsidTr="00564C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EB">
            <w:pPr>
              <w:pStyle w:val="BodyText"/>
              <w:rPr>
                <w:lang w:val="en-NZ"/>
              </w:rPr>
            </w:pPr>
            <w:r w:rsidRPr="00E561EB">
              <w:t xml:space="preserve">3 Advise on consultation processes in product’s life </w:t>
            </w:r>
            <w:r w:rsidRPr="00E561EB">
              <w:t>cycle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1EB" w:rsidP="00E561EB">
            <w:pPr>
              <w:pStyle w:val="BodyText"/>
            </w:pPr>
            <w:r w:rsidRPr="00E561EB">
              <w:t>3.1 Support decision-makers in considering the needs of those using or i</w:t>
            </w:r>
            <w:r w:rsidRPr="00E561EB">
              <w:t>nteracting with product throughout its life cycle</w:t>
            </w:r>
          </w:p>
          <w:p w:rsidR="00000000" w:rsidRPr="00E561EB" w:rsidP="00E561EB">
            <w:pPr>
              <w:pStyle w:val="BodyText"/>
            </w:pPr>
            <w:r w:rsidRPr="00E561EB">
              <w:t>3.2 Facilitate involvement of technical experts as required according to organisational processes and procedures</w:t>
            </w:r>
          </w:p>
          <w:p w:rsidR="00000000" w:rsidRPr="00E561EB" w:rsidP="00E561EB">
            <w:pPr>
              <w:pStyle w:val="BodyText"/>
            </w:pPr>
            <w:r w:rsidRPr="00E561EB">
              <w:t>3.3 Advise on consultation arrangements with required personnel during all phases of design p</w:t>
            </w:r>
            <w:r w:rsidRPr="00E561EB">
              <w:t>rocess to identify WHS hazards and control WHS risks that may occur throughout a product’s life cycle</w:t>
            </w:r>
          </w:p>
          <w:p w:rsidR="00000000" w:rsidP="00E561EB">
            <w:pPr>
              <w:pStyle w:val="BodyText"/>
              <w:rPr>
                <w:lang w:val="en-NZ"/>
              </w:rPr>
            </w:pPr>
            <w:r w:rsidRPr="00E561EB">
              <w:t>3.4 Advise on communicating residual WHS risks in product to those who will use or interact with the product throughout its life cycle</w:t>
            </w:r>
          </w:p>
        </w:tc>
      </w:tr>
      <w:tr w:rsidTr="00564C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EB">
            <w:pPr>
              <w:pStyle w:val="BodyText"/>
              <w:rPr>
                <w:lang w:val="en-NZ"/>
              </w:rPr>
            </w:pPr>
            <w:r w:rsidRPr="00E561EB">
              <w:t>4 Advise on procur</w:t>
            </w:r>
            <w:r w:rsidRPr="00E561EB">
              <w:t>ement systems to minimise ‘purchased’ WHS hazards and their associated risks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1EB" w:rsidP="00E561EB">
            <w:pPr>
              <w:pStyle w:val="BodyText"/>
            </w:pPr>
            <w:r w:rsidRPr="00E561EB">
              <w:t>4.1 Advise decision-makers involved in purchasing and contractual arrangements to include requirements to identify WHS hazards and control WHS risks, and to provide information an</w:t>
            </w:r>
            <w:r w:rsidRPr="00E561EB">
              <w:t>d data on residual WHS risks as part of procurement process</w:t>
            </w:r>
          </w:p>
          <w:p w:rsidR="00000000" w:rsidRPr="00E561EB" w:rsidP="00E561EB">
            <w:pPr>
              <w:pStyle w:val="BodyText"/>
            </w:pPr>
            <w:r w:rsidRPr="00E561EB">
              <w:t>4.2 Advise on including a requirement to carry out a safe design approach in the design brief or draft specifications</w:t>
            </w:r>
          </w:p>
        </w:tc>
      </w:tr>
    </w:tbl>
    <w:p w:rsidR="00000000" w:rsidRPr="00E561EB" w:rsidP="00E561EB">
      <w:pPr>
        <w:pStyle w:val="BodyText"/>
      </w:pPr>
    </w:p>
    <w:p w:rsidR="00000000" w:rsidRPr="00E561EB" w:rsidP="00E561EB">
      <w:pPr>
        <w:pStyle w:val="AllowPageBreak"/>
      </w:pPr>
    </w:p>
    <w:p w:rsidR="00000000" w:rsidRPr="00E561EB" w:rsidP="00E561EB">
      <w:pPr>
        <w:pStyle w:val="Heading1"/>
      </w:pPr>
      <w:bookmarkStart w:id="5" w:name="O_1056194"/>
      <w:bookmarkEnd w:id="5"/>
      <w:r w:rsidRPr="00E561EB">
        <w:t>Foundation Skills</w:t>
      </w:r>
    </w:p>
    <w:p w:rsidR="00000000" w:rsidRPr="00564C7D" w:rsidP="00564C7D">
      <w:pPr>
        <w:pStyle w:val="BodyText"/>
        <w:rPr>
          <w:i/>
        </w:rPr>
      </w:pPr>
      <w:r w:rsidRPr="00564C7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071"/>
        <w:gridCol w:w="3929"/>
      </w:tblGrid>
      <w:tr w:rsidTr="00E561EB">
        <w:tblPrEx>
          <w:tblW w:w="0" w:type="auto"/>
          <w:tblLayout w:type="fixed"/>
          <w:tblCellMar>
            <w:left w:w="62" w:type="dxa"/>
            <w:right w:w="62" w:type="dxa"/>
          </w:tblCellMar>
          <w:tblLook w:val="0000"/>
        </w:tblPrEx>
        <w:trPr>
          <w:tblHeader/>
        </w:trPr>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1EB" w:rsidP="00E561EB">
            <w:pPr>
              <w:pStyle w:val="BodyTextBold"/>
            </w:pPr>
            <w:r w:rsidRPr="00E561EB">
              <w:rPr>
                <w:rStyle w:val="SpecialBold"/>
              </w:rPr>
              <w:t>Skill</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EB">
            <w:pPr>
              <w:pStyle w:val="BodyTextBold"/>
              <w:rPr>
                <w:lang w:val="en-NZ"/>
              </w:rPr>
            </w:pPr>
            <w:r w:rsidRPr="00E561EB">
              <w:rPr>
                <w:rStyle w:val="SpecialBold"/>
              </w:rPr>
              <w:t>Description</w:t>
            </w:r>
          </w:p>
        </w:tc>
      </w:tr>
      <w:tr w:rsidTr="00E561EB">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EB">
            <w:pPr>
              <w:pStyle w:val="BodyText"/>
              <w:rPr>
                <w:lang w:val="en-NZ"/>
              </w:rPr>
            </w:pPr>
            <w:r w:rsidRPr="00E561EB">
              <w:t>Reading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EB">
            <w:pPr>
              <w:pStyle w:val="ListBullet"/>
              <w:rPr>
                <w:lang w:val="en-NZ"/>
              </w:rPr>
            </w:pPr>
            <w:r w:rsidRPr="00E561EB">
              <w:t>Identifies, interprets and analyses legislative and organisational t</w:t>
            </w:r>
            <w:r w:rsidRPr="00E561EB">
              <w:t>exts relevant to safe design</w:t>
            </w:r>
          </w:p>
        </w:tc>
      </w:tr>
      <w:tr w:rsidTr="00E561EB">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EB">
            <w:pPr>
              <w:pStyle w:val="BodyText"/>
              <w:rPr>
                <w:lang w:val="en-NZ"/>
              </w:rPr>
            </w:pPr>
            <w:r w:rsidRPr="00E561EB">
              <w:t>Writing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EB">
            <w:pPr>
              <w:pStyle w:val="ListBullet"/>
              <w:rPr>
                <w:lang w:val="en-NZ"/>
              </w:rPr>
            </w:pPr>
            <w:r w:rsidRPr="00E561EB">
              <w:t>Develops advice and recommendations about safe design, matching style of writing to purpose and audience</w:t>
            </w:r>
          </w:p>
        </w:tc>
      </w:tr>
      <w:tr w:rsidTr="00E561EB">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EB">
            <w:pPr>
              <w:pStyle w:val="BodyText"/>
              <w:rPr>
                <w:lang w:val="en-NZ"/>
              </w:rPr>
            </w:pPr>
            <w:r w:rsidRPr="00E561EB">
              <w:t>Oral communication</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1EB" w:rsidP="00E561EB">
            <w:pPr>
              <w:pStyle w:val="ListBullet"/>
            </w:pPr>
            <w:r w:rsidRPr="00E561EB">
              <w:t>Presents information and advice using language appropriate to audience</w:t>
            </w:r>
          </w:p>
          <w:p w:rsidR="00000000" w:rsidP="00E561EB">
            <w:pPr>
              <w:pStyle w:val="ListBullet"/>
              <w:rPr>
                <w:lang w:val="en-NZ"/>
              </w:rPr>
            </w:pPr>
            <w:r w:rsidRPr="00E561EB">
              <w:t xml:space="preserve">Uses questioning and active listening to seek information and confirm understanding </w:t>
            </w:r>
          </w:p>
        </w:tc>
      </w:tr>
      <w:tr w:rsidTr="00E561EB">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EB">
            <w:pPr>
              <w:pStyle w:val="BodyText"/>
              <w:rPr>
                <w:lang w:val="en-NZ"/>
              </w:rPr>
            </w:pPr>
            <w:r w:rsidRPr="00E561EB">
              <w:t>Numeracy</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1EB" w:rsidP="00E561EB">
            <w:pPr>
              <w:pStyle w:val="ListBullet"/>
            </w:pPr>
            <w:r w:rsidRPr="00E561EB">
              <w:t>Selects from and applies a range of mathematical strategies to interpret and analyse mathematical information embedded in a range of texts</w:t>
            </w:r>
          </w:p>
          <w:p w:rsidR="00000000" w:rsidRPr="00E561EB" w:rsidP="00E561EB">
            <w:pPr>
              <w:pStyle w:val="ListBullet"/>
            </w:pPr>
            <w:r w:rsidRPr="00E561EB">
              <w:t xml:space="preserve">Applies mathematical </w:t>
            </w:r>
            <w:r w:rsidRPr="00E561EB">
              <w:t>processes to assess risk levels</w:t>
            </w:r>
          </w:p>
          <w:p w:rsidR="00000000" w:rsidP="00E561EB">
            <w:pPr>
              <w:pStyle w:val="ListBullet"/>
              <w:rPr>
                <w:lang w:val="en-NZ"/>
              </w:rPr>
            </w:pPr>
            <w:r w:rsidRPr="00E561EB">
              <w:t>Uses oral and written mathematical language and representation to communicate advice on WHS risk management in safe product design</w:t>
            </w:r>
          </w:p>
        </w:tc>
      </w:tr>
      <w:tr w:rsidTr="00E561EB">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EB">
            <w:pPr>
              <w:pStyle w:val="BodyText"/>
              <w:rPr>
                <w:lang w:val="en-NZ"/>
              </w:rPr>
            </w:pPr>
            <w:r w:rsidRPr="00E561EB">
              <w:t>Navigate the world of work</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1EB" w:rsidP="00E561EB">
            <w:pPr>
              <w:pStyle w:val="ListBullet"/>
            </w:pPr>
            <w:r w:rsidRPr="00E561EB">
              <w:t xml:space="preserve">Applies legal responsibilities to WHS product design compliance </w:t>
            </w:r>
            <w:r w:rsidRPr="00E561EB">
              <w:t>contexts</w:t>
            </w:r>
          </w:p>
          <w:p w:rsidR="00000000" w:rsidP="00E561EB">
            <w:pPr>
              <w:pStyle w:val="ListBullet"/>
              <w:rPr>
                <w:lang w:val="en-NZ"/>
              </w:rPr>
            </w:pPr>
            <w:r w:rsidRPr="00E561EB">
              <w:t>Keeps up to date on changes to WHS laws relevant to own role and responsibilities, and considers their implications when advising on compliance in relation to product design</w:t>
            </w:r>
          </w:p>
        </w:tc>
      </w:tr>
      <w:tr w:rsidTr="00E561EB">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EB">
            <w:pPr>
              <w:pStyle w:val="BodyText"/>
              <w:rPr>
                <w:lang w:val="en-NZ"/>
              </w:rPr>
            </w:pPr>
            <w:r w:rsidRPr="00E561EB">
              <w:t>Interact with others</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1EB" w:rsidP="00E561EB">
            <w:pPr>
              <w:pStyle w:val="ListBullet"/>
            </w:pPr>
            <w:r w:rsidRPr="00E561EB">
              <w:t>Actively identifies requirements of communication exchanges, selecting appropriate channels, format, tone and content to suit purpose and audience</w:t>
            </w:r>
          </w:p>
          <w:p w:rsidR="00000000" w:rsidRPr="00E561EB" w:rsidP="00E561EB">
            <w:pPr>
              <w:pStyle w:val="ListBullet"/>
            </w:pPr>
            <w:r w:rsidRPr="00E561EB">
              <w:t>Monitors impact of communication exchanges when providing advice that relates to safe design</w:t>
            </w:r>
          </w:p>
          <w:p w:rsidR="00000000" w:rsidP="00E561EB">
            <w:pPr>
              <w:pStyle w:val="ListBullet"/>
              <w:rPr>
                <w:lang w:val="en-NZ"/>
              </w:rPr>
            </w:pPr>
            <w:r w:rsidRPr="00E561EB">
              <w:t>Collaborates wit</w:t>
            </w:r>
            <w:r w:rsidRPr="00E561EB">
              <w:t>h others to achieve joint outcomes, playing an active role in facilitating effective group interaction, influencing direction and taking a leadership role</w:t>
            </w:r>
          </w:p>
        </w:tc>
      </w:tr>
      <w:tr w:rsidTr="00E561EB">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1EB">
            <w:pPr>
              <w:pStyle w:val="BodyText"/>
              <w:rPr>
                <w:lang w:val="en-NZ"/>
              </w:rPr>
            </w:pPr>
            <w:r w:rsidRPr="00E561EB">
              <w:t>Get the work done</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1EB" w:rsidP="00E561EB">
            <w:pPr>
              <w:pStyle w:val="ListBullet"/>
            </w:pPr>
            <w:r w:rsidRPr="00E561EB">
              <w:t>Uses logical planning processes and understanding of context to organise training</w:t>
            </w:r>
            <w:r w:rsidRPr="00E561EB">
              <w:t xml:space="preserve"> and identify specialist needs</w:t>
            </w:r>
          </w:p>
          <w:p w:rsidR="00000000" w:rsidRPr="00E561EB" w:rsidP="00E561EB">
            <w:pPr>
              <w:pStyle w:val="ListBullet"/>
            </w:pPr>
            <w:r w:rsidRPr="00E561EB">
              <w:t>Uses systematic and analytical processes in complex, non-routine situations: sets goals, gathers relevant information, identifies and evaluates options against agreed criteria, and seeks input and advice from others before ta</w:t>
            </w:r>
            <w:r w:rsidRPr="00E561EB">
              <w:t xml:space="preserve">king necessary action </w:t>
            </w:r>
          </w:p>
          <w:p w:rsidR="00000000" w:rsidRPr="00E561EB" w:rsidP="00E561EB">
            <w:pPr>
              <w:pStyle w:val="ListBullet"/>
            </w:pPr>
            <w:r w:rsidRPr="00E561EB">
              <w:t>Identifies the potential of new approaches to product life-cycle risk management to enhance safe design work practices and outcomes</w:t>
            </w:r>
          </w:p>
          <w:p w:rsidR="00000000" w:rsidRPr="00E561EB" w:rsidP="00E561EB">
            <w:pPr>
              <w:pStyle w:val="ListBullet"/>
            </w:pPr>
            <w:r w:rsidRPr="00E561EB">
              <w:t>Uses digital systems and tools to access, record, organise, analyse, display and share information</w:t>
            </w:r>
          </w:p>
        </w:tc>
      </w:tr>
    </w:tbl>
    <w:p w:rsidR="00000000" w:rsidRPr="00E561EB" w:rsidP="00E561EB">
      <w:pPr>
        <w:pStyle w:val="BodyText"/>
      </w:pPr>
    </w:p>
    <w:p w:rsidR="00000000" w:rsidRPr="00E561EB" w:rsidP="00E561EB">
      <w:pPr>
        <w:pStyle w:val="AllowPageBreak"/>
      </w:pPr>
    </w:p>
    <w:p w:rsidR="00000000" w:rsidRPr="00E561EB" w:rsidP="00E561EB">
      <w:pPr>
        <w:pStyle w:val="Heading1"/>
      </w:pPr>
      <w:bookmarkStart w:id="6" w:name="O_1056192"/>
      <w:bookmarkEnd w:id="6"/>
      <w:r w:rsidRPr="00E561EB">
        <w:t>Unit Mapping Information</w:t>
      </w:r>
    </w:p>
    <w:p w:rsidR="00000000" w:rsidRPr="00E561EB" w:rsidP="00564C7D">
      <w:pPr>
        <w:pStyle w:val="BodyText"/>
      </w:pPr>
      <w:r w:rsidRPr="00E561EB">
        <w:t>Supersedes and is equivalent to BSBWHS609 Advise on the application of safe design principles to control WHS risks.</w:t>
      </w:r>
    </w:p>
    <w:p w:rsidR="00000000" w:rsidRPr="00E561EB" w:rsidP="00E561EB">
      <w:pPr>
        <w:pStyle w:val="Heading1"/>
      </w:pPr>
      <w:bookmarkStart w:id="7" w:name="O_1056185"/>
      <w:bookmarkEnd w:id="7"/>
      <w:r w:rsidRPr="00E561EB">
        <w:t>Links</w:t>
      </w:r>
    </w:p>
    <w:p w:rsidR="00000000" w:rsidRPr="00E561EB" w:rsidP="00564C7D">
      <w:pPr>
        <w:pStyle w:val="BodyText"/>
      </w:pPr>
      <w:r w:rsidRPr="00E561EB">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826C3A">
        <w:rPr>
          <w:rStyle w:val="Hyperlink"/>
        </w:rPr>
        <w:t>https://vetnet.gov.au/Pages/TrainingDocs.aspx?q=11ef6853-ceed-4ba7-9d87-4da407e23c10</w:t>
      </w:r>
      <w:r>
        <w:fldChar w:fldCharType="end"/>
      </w:r>
    </w:p>
    <w:p w:rsidR="00000000" w:rsidRPr="00E561EB" w:rsidP="00E561EB"/>
    <w:sectPr w:rsidSect="00E561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1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1EB" w:rsidRPr="00564C7D" w:rsidP="00564C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1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C7D" w:rsidP="00E561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4C7D" w:rsidP="00E561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64C7D" w:rsidP="00E561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1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C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61EB" w:rsidRPr="00564C7D" w:rsidP="00564C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1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C7D" w:rsidRPr="002D2AF8" w:rsidP="00E561EB">
    <w:pPr>
      <w:pStyle w:val="Header"/>
      <w:framePr w:wrap="around"/>
    </w:pPr>
    <w:r>
      <w:fldChar w:fldCharType="begin"/>
    </w:r>
    <w:r>
      <w:instrText xml:space="preserve"> TITLE   \* MERGEFORMAT </w:instrText>
    </w:r>
    <w:r>
      <w:fldChar w:fldCharType="separate"/>
    </w:r>
    <w:r>
      <w:t>BSBWHS616 Apply safe design principles to control WHS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564C7D" w:rsidP="00E561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22B5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C820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1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1EB"/>
    <w:pPr>
      <w:spacing w:before="360" w:after="60"/>
      <w:outlineLvl w:val="0"/>
    </w:pPr>
    <w:rPr>
      <w:sz w:val="32"/>
    </w:rPr>
  </w:style>
  <w:style w:type="paragraph" w:styleId="Heading2">
    <w:name w:val="heading 2"/>
    <w:basedOn w:val="HeadingBase"/>
    <w:next w:val="BodyText"/>
    <w:link w:val="Heading2Char"/>
    <w:qFormat/>
    <w:rsid w:val="00E561EB"/>
    <w:pPr>
      <w:keepLines/>
      <w:spacing w:before="240" w:after="120"/>
      <w:outlineLvl w:val="1"/>
    </w:pPr>
    <w:rPr>
      <w:sz w:val="28"/>
      <w:szCs w:val="40"/>
    </w:rPr>
  </w:style>
  <w:style w:type="paragraph" w:styleId="Heading3">
    <w:name w:val="heading 3"/>
    <w:basedOn w:val="HeadingBase"/>
    <w:next w:val="BodyText"/>
    <w:link w:val="Heading3Char"/>
    <w:qFormat/>
    <w:rsid w:val="00E561EB"/>
    <w:pPr>
      <w:spacing w:before="180" w:after="120"/>
      <w:outlineLvl w:val="2"/>
    </w:pPr>
    <w:rPr>
      <w:spacing w:val="-10"/>
      <w:kern w:val="32"/>
    </w:rPr>
  </w:style>
  <w:style w:type="paragraph" w:styleId="Heading4">
    <w:name w:val="heading 4"/>
    <w:basedOn w:val="HeadingBase"/>
    <w:next w:val="BodyText"/>
    <w:link w:val="Heading4Char"/>
    <w:qFormat/>
    <w:rsid w:val="00E561EB"/>
    <w:pPr>
      <w:spacing w:before="160" w:after="120"/>
      <w:outlineLvl w:val="3"/>
    </w:pPr>
    <w:rPr>
      <w:sz w:val="22"/>
    </w:rPr>
  </w:style>
  <w:style w:type="paragraph" w:styleId="Heading5">
    <w:name w:val="heading 5"/>
    <w:basedOn w:val="HeadingBase"/>
    <w:next w:val="Normal"/>
    <w:link w:val="Heading5Char"/>
    <w:qFormat/>
    <w:rsid w:val="00E561EB"/>
    <w:pPr>
      <w:spacing w:before="80"/>
      <w:outlineLvl w:val="4"/>
    </w:pPr>
    <w:rPr>
      <w:color w:val="918585"/>
      <w:sz w:val="20"/>
    </w:rPr>
  </w:style>
  <w:style w:type="paragraph" w:styleId="Heading6">
    <w:name w:val="heading 6"/>
    <w:basedOn w:val="HeadingBase"/>
    <w:next w:val="Normal"/>
    <w:link w:val="Heading6Char"/>
    <w:qFormat/>
    <w:rsid w:val="00E561EB"/>
    <w:pPr>
      <w:spacing w:before="60"/>
      <w:outlineLvl w:val="5"/>
    </w:pPr>
    <w:rPr>
      <w:color w:val="918585"/>
      <w:sz w:val="20"/>
    </w:rPr>
  </w:style>
  <w:style w:type="paragraph" w:styleId="Heading7">
    <w:name w:val="heading 7"/>
    <w:basedOn w:val="Normal"/>
    <w:next w:val="Normal"/>
    <w:link w:val="Heading7Char"/>
    <w:qFormat/>
    <w:rsid w:val="00E561EB"/>
    <w:pPr>
      <w:ind w:left="720"/>
      <w:outlineLvl w:val="6"/>
    </w:pPr>
    <w:rPr>
      <w:i/>
    </w:rPr>
  </w:style>
  <w:style w:type="paragraph" w:styleId="Heading8">
    <w:name w:val="heading 8"/>
    <w:basedOn w:val="Normal"/>
    <w:next w:val="Normal"/>
    <w:link w:val="Heading8Char"/>
    <w:qFormat/>
    <w:rsid w:val="00E561EB"/>
    <w:pPr>
      <w:ind w:left="720"/>
      <w:outlineLvl w:val="7"/>
    </w:pPr>
    <w:rPr>
      <w:i/>
    </w:rPr>
  </w:style>
  <w:style w:type="paragraph" w:styleId="Heading9">
    <w:name w:val="heading 9"/>
    <w:basedOn w:val="Normal"/>
    <w:next w:val="Normal"/>
    <w:link w:val="Heading9Char"/>
    <w:qFormat/>
    <w:rsid w:val="00E561EB"/>
    <w:pPr>
      <w:ind w:left="720"/>
      <w:outlineLvl w:val="8"/>
    </w:pPr>
    <w:rPr>
      <w:i/>
    </w:rPr>
  </w:style>
  <w:style w:type="character" w:default="1" w:styleId="DefaultParagraphFont">
    <w:name w:val="Default Paragraph Font"/>
    <w:uiPriority w:val="1"/>
    <w:unhideWhenUsed/>
    <w:rsid w:val="00E561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1EB"/>
  </w:style>
  <w:style w:type="character" w:customStyle="1" w:styleId="Heading1Char">
    <w:name w:val="Heading 1 Char"/>
    <w:basedOn w:val="DefaultParagraphFont"/>
    <w:link w:val="Heading1"/>
    <w:rsid w:val="00E561EB"/>
    <w:rPr>
      <w:rFonts w:ascii="Times New Roman" w:eastAsia="Times New Roman" w:hAnsi="Times New Roman" w:cs="Times New Roman"/>
      <w:b/>
      <w:sz w:val="32"/>
      <w:szCs w:val="20"/>
      <w:lang w:eastAsia="en-US"/>
    </w:rPr>
  </w:style>
  <w:style w:type="paragraph" w:styleId="BodyText">
    <w:name w:val="Body Text"/>
    <w:basedOn w:val="Normal"/>
    <w:link w:val="BodyTextChar"/>
    <w:rsid w:val="00E561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1EB"/>
    <w:rPr>
      <w:rFonts w:ascii="Times New Roman" w:eastAsia="Times New Roman" w:hAnsi="Times New Roman" w:cs="Times New Roman"/>
      <w:sz w:val="24"/>
      <w:lang w:eastAsia="en-US"/>
    </w:rPr>
  </w:style>
  <w:style w:type="paragraph" w:styleId="ListBullet">
    <w:name w:val="List Bullet"/>
    <w:basedOn w:val="List"/>
    <w:rsid w:val="00E561EB"/>
    <w:pPr>
      <w:numPr>
        <w:numId w:val="11"/>
      </w:numPr>
      <w:tabs>
        <w:tab w:val="clear" w:pos="340"/>
      </w:tabs>
      <w:spacing w:before="40" w:after="40"/>
    </w:pPr>
  </w:style>
  <w:style w:type="character" w:customStyle="1" w:styleId="SpecialBold">
    <w:name w:val="Special Bold"/>
    <w:basedOn w:val="DefaultParagraphFont"/>
    <w:rsid w:val="00E561EB"/>
    <w:rPr>
      <w:b/>
      <w:spacing w:val="0"/>
    </w:rPr>
  </w:style>
  <w:style w:type="character" w:styleId="Emphasis">
    <w:name w:val="Emphasis"/>
    <w:basedOn w:val="DefaultParagraphFont"/>
    <w:qFormat/>
    <w:rsid w:val="00E561EB"/>
    <w:rPr>
      <w:i/>
    </w:rPr>
  </w:style>
  <w:style w:type="paragraph" w:customStyle="1" w:styleId="SuperHeading">
    <w:name w:val="SuperHeading"/>
    <w:basedOn w:val="Normal"/>
    <w:rsid w:val="00E561EB"/>
    <w:pPr>
      <w:spacing w:before="240" w:after="120"/>
      <w:outlineLvl w:val="0"/>
    </w:pPr>
    <w:rPr>
      <w:rFonts w:ascii="Times New Roman" w:hAnsi="Times New Roman"/>
      <w:b/>
      <w:sz w:val="32"/>
    </w:rPr>
  </w:style>
  <w:style w:type="paragraph" w:customStyle="1" w:styleId="AllowPageBreak">
    <w:name w:val="AllowPageBreak"/>
    <w:rsid w:val="00E561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561EB"/>
    <w:rPr>
      <w:b/>
    </w:rPr>
  </w:style>
  <w:style w:type="character" w:customStyle="1" w:styleId="Heading2Char">
    <w:name w:val="Heading 2 Char"/>
    <w:basedOn w:val="DefaultParagraphFont"/>
    <w:link w:val="Heading2"/>
    <w:rsid w:val="00E561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1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1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1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1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1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1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1EB"/>
    <w:rPr>
      <w:rFonts w:ascii="Courier New" w:eastAsia="Times New Roman" w:hAnsi="Courier New" w:cs="Times New Roman"/>
      <w:i/>
      <w:szCs w:val="20"/>
      <w:lang w:eastAsia="en-US"/>
    </w:rPr>
  </w:style>
  <w:style w:type="paragraph" w:customStyle="1" w:styleId="HeadingBase">
    <w:name w:val="Heading Base"/>
    <w:rsid w:val="00E561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1EB"/>
    <w:pPr>
      <w:tabs>
        <w:tab w:val="right" w:leader="dot" w:pos="9072"/>
      </w:tabs>
      <w:ind w:left="567"/>
    </w:pPr>
    <w:rPr>
      <w:szCs w:val="22"/>
    </w:rPr>
  </w:style>
  <w:style w:type="paragraph" w:customStyle="1" w:styleId="TOCBase">
    <w:name w:val="TOC Base"/>
    <w:rsid w:val="00E561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1EB"/>
    <w:pPr>
      <w:tabs>
        <w:tab w:val="right" w:leader="dot" w:pos="9072"/>
      </w:tabs>
      <w:spacing w:before="40" w:after="40"/>
      <w:ind w:left="284"/>
    </w:pPr>
    <w:rPr>
      <w:rFonts w:ascii="Times New Roman" w:hAnsi="Times New Roman"/>
    </w:rPr>
  </w:style>
  <w:style w:type="paragraph" w:styleId="TOC1">
    <w:name w:val="toc 1"/>
    <w:basedOn w:val="TOCBase"/>
    <w:next w:val="Normal"/>
    <w:rsid w:val="00E561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1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1EB"/>
    <w:rPr>
      <w:rFonts w:ascii="Times New Roman" w:eastAsia="Times New Roman" w:hAnsi="Times New Roman" w:cs="Times New Roman"/>
      <w:sz w:val="16"/>
      <w:lang w:eastAsia="en-US"/>
    </w:rPr>
  </w:style>
  <w:style w:type="paragraph" w:styleId="Title">
    <w:name w:val="Title"/>
    <w:basedOn w:val="HeadingBase"/>
    <w:link w:val="TitleChar"/>
    <w:qFormat/>
    <w:rsid w:val="00E561EB"/>
    <w:pPr>
      <w:spacing w:before="5040"/>
      <w:jc w:val="center"/>
    </w:pPr>
    <w:rPr>
      <w:sz w:val="48"/>
      <w:szCs w:val="72"/>
      <w:lang w:val="en-US"/>
    </w:rPr>
  </w:style>
  <w:style w:type="character" w:customStyle="1" w:styleId="TitleChar">
    <w:name w:val="Title Char"/>
    <w:basedOn w:val="DefaultParagraphFont"/>
    <w:link w:val="Title"/>
    <w:rsid w:val="00E561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1EB"/>
    <w:pPr>
      <w:tabs>
        <w:tab w:val="left" w:pos="3600"/>
        <w:tab w:val="left" w:pos="3958"/>
      </w:tabs>
    </w:pPr>
  </w:style>
  <w:style w:type="paragraph" w:styleId="List">
    <w:name w:val="List"/>
    <w:basedOn w:val="BodyText"/>
    <w:next w:val="BodyText"/>
    <w:rsid w:val="00E561EB"/>
    <w:pPr>
      <w:tabs>
        <w:tab w:val="left" w:pos="340"/>
      </w:tabs>
      <w:spacing w:before="60" w:after="60"/>
      <w:ind w:left="340" w:hanging="340"/>
    </w:pPr>
  </w:style>
  <w:style w:type="paragraph" w:customStyle="1" w:styleId="Note">
    <w:name w:val="Note"/>
    <w:basedOn w:val="BodyText"/>
    <w:rsid w:val="00E561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1EB"/>
    <w:pPr>
      <w:framePr w:wrap="auto" w:hAnchor="text" w:y="6049"/>
    </w:pPr>
    <w:rPr>
      <w:color w:val="000000"/>
      <w:sz w:val="40"/>
    </w:rPr>
  </w:style>
  <w:style w:type="paragraph" w:customStyle="1" w:styleId="TOCTitle">
    <w:name w:val="TOCTitle"/>
    <w:basedOn w:val="Heading1"/>
    <w:rsid w:val="00E561EB"/>
    <w:pPr>
      <w:spacing w:after="240"/>
      <w:jc w:val="center"/>
      <w:outlineLvl w:val="9"/>
    </w:pPr>
    <w:rPr>
      <w:caps/>
    </w:rPr>
  </w:style>
  <w:style w:type="paragraph" w:customStyle="1" w:styleId="Version">
    <w:name w:val="Version"/>
    <w:rsid w:val="00E561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61EB"/>
    <w:pPr>
      <w:numPr>
        <w:numId w:val="12"/>
      </w:numPr>
      <w:tabs>
        <w:tab w:val="clear" w:pos="680"/>
      </w:tabs>
    </w:pPr>
  </w:style>
  <w:style w:type="paragraph" w:styleId="Index1">
    <w:name w:val="index 1"/>
    <w:basedOn w:val="Normal"/>
    <w:next w:val="Normal"/>
    <w:semiHidden/>
    <w:rsid w:val="00E561EB"/>
    <w:pPr>
      <w:keepNext w:val="0"/>
      <w:tabs>
        <w:tab w:val="right" w:pos="4176"/>
      </w:tabs>
      <w:ind w:left="198" w:hanging="198"/>
    </w:pPr>
    <w:rPr>
      <w:rFonts w:ascii="Garamond" w:hAnsi="Garamond"/>
    </w:rPr>
  </w:style>
  <w:style w:type="paragraph" w:styleId="IndexHeading">
    <w:name w:val="index heading"/>
    <w:basedOn w:val="Normal"/>
    <w:next w:val="Index1"/>
    <w:semiHidden/>
    <w:rsid w:val="00E561EB"/>
    <w:pPr>
      <w:spacing w:before="120" w:after="120"/>
    </w:pPr>
    <w:rPr>
      <w:rFonts w:ascii="Arial" w:hAnsi="Arial"/>
      <w:b/>
      <w:color w:val="918585"/>
      <w:sz w:val="24"/>
    </w:rPr>
  </w:style>
  <w:style w:type="paragraph" w:styleId="Header">
    <w:name w:val="header"/>
    <w:basedOn w:val="Normal"/>
    <w:link w:val="HeaderChar"/>
    <w:rsid w:val="00E561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1EB"/>
    <w:rPr>
      <w:rFonts w:ascii="Times New Roman" w:eastAsia="Times New Roman" w:hAnsi="Times New Roman" w:cs="Times New Roman"/>
      <w:sz w:val="16"/>
      <w:szCs w:val="20"/>
      <w:lang w:val="en-GB" w:eastAsia="en-US"/>
    </w:rPr>
  </w:style>
  <w:style w:type="paragraph" w:customStyle="1" w:styleId="Chapter">
    <w:name w:val="Chapter"/>
    <w:basedOn w:val="Normal"/>
    <w:rsid w:val="00E561EB"/>
    <w:pPr>
      <w:spacing w:before="240"/>
    </w:pPr>
    <w:rPr>
      <w:rFonts w:ascii="Times New Roman" w:hAnsi="Times New Roman"/>
      <w:smallCaps/>
      <w:spacing w:val="80"/>
      <w:sz w:val="28"/>
    </w:rPr>
  </w:style>
  <w:style w:type="paragraph" w:customStyle="1" w:styleId="InChapter">
    <w:name w:val="InChapter"/>
    <w:basedOn w:val="Heading3"/>
    <w:rsid w:val="00E561EB"/>
    <w:pPr>
      <w:spacing w:after="240"/>
      <w:outlineLvl w:val="9"/>
    </w:pPr>
    <w:rPr>
      <w:noProof/>
    </w:rPr>
  </w:style>
  <w:style w:type="paragraph" w:styleId="Index2">
    <w:name w:val="index 2"/>
    <w:basedOn w:val="Normal"/>
    <w:next w:val="Normal"/>
    <w:semiHidden/>
    <w:rsid w:val="00E561EB"/>
    <w:pPr>
      <w:tabs>
        <w:tab w:val="right" w:pos="4176"/>
      </w:tabs>
      <w:ind w:left="568" w:hanging="284"/>
    </w:pPr>
    <w:rPr>
      <w:rFonts w:ascii="Garamond" w:hAnsi="Garamond"/>
    </w:rPr>
  </w:style>
  <w:style w:type="paragraph" w:customStyle="1" w:styleId="Byline">
    <w:name w:val="Byline"/>
    <w:rsid w:val="00E561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1EB"/>
    <w:pPr>
      <w:tabs>
        <w:tab w:val="clear" w:pos="3600"/>
        <w:tab w:val="clear" w:pos="3958"/>
      </w:tabs>
      <w:jc w:val="right"/>
    </w:pPr>
  </w:style>
  <w:style w:type="paragraph" w:styleId="Caption">
    <w:name w:val="caption"/>
    <w:basedOn w:val="BodyText"/>
    <w:next w:val="Normal"/>
    <w:qFormat/>
    <w:rsid w:val="00E561EB"/>
    <w:pPr>
      <w:framePr w:w="2268" w:hSpace="181" w:vSpace="181" w:wrap="around" w:vAnchor="text" w:hAnchor="page" w:x="1135" w:y="285" w:anchorLock="1"/>
    </w:pPr>
    <w:rPr>
      <w:i/>
    </w:rPr>
  </w:style>
  <w:style w:type="paragraph" w:customStyle="1" w:styleId="MiniTOCTitle">
    <w:name w:val="MiniTOCTitle"/>
    <w:basedOn w:val="Heading4"/>
    <w:rsid w:val="00E561EB"/>
    <w:pPr>
      <w:spacing w:before="240"/>
      <w:outlineLvl w:val="9"/>
    </w:pPr>
    <w:rPr>
      <w:noProof/>
      <w:sz w:val="24"/>
    </w:rPr>
  </w:style>
  <w:style w:type="paragraph" w:customStyle="1" w:styleId="MiniTOCItem">
    <w:name w:val="MiniTOCItem"/>
    <w:basedOn w:val="ListBullet"/>
    <w:rsid w:val="00E561EB"/>
    <w:pPr>
      <w:numPr>
        <w:numId w:val="0"/>
      </w:numPr>
      <w:tabs>
        <w:tab w:val="right" w:leader="dot" w:pos="6521"/>
      </w:tabs>
      <w:spacing w:before="0" w:after="0"/>
    </w:pPr>
  </w:style>
  <w:style w:type="paragraph" w:customStyle="1" w:styleId="TOFTitle">
    <w:name w:val="TOFTitle"/>
    <w:basedOn w:val="TOCTitle"/>
    <w:rsid w:val="00E561EB"/>
  </w:style>
  <w:style w:type="paragraph" w:styleId="TableofFigures">
    <w:name w:val="table of figures"/>
    <w:basedOn w:val="Normal"/>
    <w:next w:val="Normal"/>
    <w:semiHidden/>
    <w:rsid w:val="00E561EB"/>
    <w:pPr>
      <w:tabs>
        <w:tab w:val="right" w:leader="dot" w:pos="9072"/>
      </w:tabs>
      <w:ind w:left="970" w:hanging="403"/>
    </w:pPr>
    <w:rPr>
      <w:rFonts w:ascii="Times New Roman" w:hAnsi="Times New Roman"/>
      <w:b/>
    </w:rPr>
  </w:style>
  <w:style w:type="paragraph" w:styleId="ListNumber">
    <w:name w:val="List Number"/>
    <w:basedOn w:val="List"/>
    <w:rsid w:val="00E561EB"/>
    <w:pPr>
      <w:numPr>
        <w:numId w:val="14"/>
      </w:numPr>
      <w:tabs>
        <w:tab w:val="clear" w:pos="340"/>
      </w:tabs>
    </w:pPr>
  </w:style>
  <w:style w:type="character" w:customStyle="1" w:styleId="WingdingSymbols">
    <w:name w:val="Wingding Symbols"/>
    <w:rsid w:val="00E561EB"/>
    <w:rPr>
      <w:rFonts w:ascii="Wingdings" w:hAnsi="Wingdings"/>
    </w:rPr>
  </w:style>
  <w:style w:type="paragraph" w:customStyle="1" w:styleId="TableHeading">
    <w:name w:val="Table Heading"/>
    <w:basedOn w:val="HeadingBase"/>
    <w:rsid w:val="00E561EB"/>
    <w:pPr>
      <w:keepLines/>
      <w:pBdr>
        <w:bottom w:val="single" w:sz="6" w:space="1" w:color="918585"/>
      </w:pBdr>
      <w:spacing w:before="240"/>
    </w:pPr>
  </w:style>
  <w:style w:type="character" w:customStyle="1" w:styleId="HotSpot">
    <w:name w:val="HotSpot"/>
    <w:rsid w:val="00E561EB"/>
    <w:rPr>
      <w:color w:val="0033CC"/>
      <w:u w:val="none"/>
    </w:rPr>
  </w:style>
  <w:style w:type="paragraph" w:customStyle="1" w:styleId="BodyTextRight">
    <w:name w:val="Body Text Right"/>
    <w:basedOn w:val="BodyText"/>
    <w:rsid w:val="00E561EB"/>
    <w:pPr>
      <w:spacing w:before="0" w:after="0"/>
      <w:jc w:val="right"/>
    </w:pPr>
  </w:style>
  <w:style w:type="paragraph" w:styleId="Index3">
    <w:name w:val="index 3"/>
    <w:basedOn w:val="ListNumber2"/>
    <w:next w:val="Normal"/>
    <w:semiHidden/>
    <w:rsid w:val="00E561EB"/>
    <w:pPr>
      <w:numPr>
        <w:numId w:val="0"/>
      </w:numPr>
      <w:tabs>
        <w:tab w:val="right" w:leader="dot" w:pos="4176"/>
      </w:tabs>
    </w:pPr>
  </w:style>
  <w:style w:type="paragraph" w:styleId="ListNumber2">
    <w:name w:val="List Number 2"/>
    <w:basedOn w:val="List2"/>
    <w:rsid w:val="00E561EB"/>
    <w:pPr>
      <w:numPr>
        <w:numId w:val="9"/>
      </w:numPr>
      <w:tabs>
        <w:tab w:val="clear" w:pos="1060"/>
      </w:tabs>
    </w:pPr>
  </w:style>
  <w:style w:type="paragraph" w:customStyle="1" w:styleId="MarginNote">
    <w:name w:val="Margin Note"/>
    <w:basedOn w:val="BodyText"/>
    <w:rsid w:val="00E561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1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1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1EB"/>
    <w:rPr>
      <w:sz w:val="32"/>
    </w:rPr>
  </w:style>
  <w:style w:type="paragraph" w:customStyle="1" w:styleId="HeadingProcedure">
    <w:name w:val="Heading Procedure"/>
    <w:basedOn w:val="HeadingBase"/>
    <w:next w:val="Normal"/>
    <w:rsid w:val="00E561EB"/>
    <w:pPr>
      <w:tabs>
        <w:tab w:val="left" w:pos="0"/>
      </w:tabs>
      <w:spacing w:before="120" w:after="60"/>
    </w:pPr>
    <w:rPr>
      <w:i/>
      <w:color w:val="918585"/>
      <w:sz w:val="22"/>
    </w:rPr>
  </w:style>
  <w:style w:type="paragraph" w:customStyle="1" w:styleId="TableBodyText">
    <w:name w:val="Table Body Text"/>
    <w:basedOn w:val="BodyText"/>
    <w:rsid w:val="00E561EB"/>
    <w:pPr>
      <w:spacing w:before="60" w:after="60"/>
    </w:pPr>
  </w:style>
  <w:style w:type="paragraph" w:styleId="ListContinue">
    <w:name w:val="List Continue"/>
    <w:basedOn w:val="List"/>
    <w:rsid w:val="00E561EB"/>
    <w:pPr>
      <w:ind w:firstLine="0"/>
    </w:pPr>
  </w:style>
  <w:style w:type="paragraph" w:customStyle="1" w:styleId="ListNote">
    <w:name w:val="List Note"/>
    <w:basedOn w:val="List"/>
    <w:rsid w:val="00E561EB"/>
    <w:pPr>
      <w:pBdr>
        <w:top w:val="single" w:sz="6" w:space="2" w:color="918585"/>
        <w:bottom w:val="single" w:sz="6" w:space="2" w:color="918585"/>
      </w:pBdr>
      <w:tabs>
        <w:tab w:val="left" w:pos="1021"/>
      </w:tabs>
      <w:ind w:firstLine="0"/>
    </w:pPr>
  </w:style>
  <w:style w:type="paragraph" w:customStyle="1" w:styleId="Warning">
    <w:name w:val="Warning"/>
    <w:basedOn w:val="BodyText"/>
    <w:rsid w:val="00E561EB"/>
    <w:pPr>
      <w:shd w:val="clear" w:color="auto" w:fill="D9D9D9"/>
      <w:tabs>
        <w:tab w:val="left" w:pos="992"/>
      </w:tabs>
      <w:ind w:left="119" w:right="119"/>
    </w:pPr>
    <w:rPr>
      <w:sz w:val="20"/>
    </w:rPr>
  </w:style>
  <w:style w:type="paragraph" w:customStyle="1" w:styleId="MarginIcons">
    <w:name w:val="Margin Icons"/>
    <w:basedOn w:val="BodyText"/>
    <w:rsid w:val="00E561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1EB"/>
    <w:rPr>
      <w:rFonts w:ascii="Courier New" w:hAnsi="Courier New"/>
    </w:rPr>
  </w:style>
  <w:style w:type="paragraph" w:customStyle="1" w:styleId="NoteBullet">
    <w:name w:val="Note Bullet"/>
    <w:basedOn w:val="Note"/>
    <w:rsid w:val="00E561EB"/>
    <w:pPr>
      <w:tabs>
        <w:tab w:val="clear" w:pos="680"/>
      </w:tabs>
      <w:spacing w:before="60" w:after="60"/>
    </w:pPr>
  </w:style>
  <w:style w:type="paragraph" w:customStyle="1" w:styleId="SubHeading2">
    <w:name w:val="SubHeading2"/>
    <w:basedOn w:val="HeadingBase"/>
    <w:rsid w:val="00E561EB"/>
    <w:pPr>
      <w:spacing w:before="240" w:after="60"/>
    </w:pPr>
    <w:rPr>
      <w:sz w:val="20"/>
    </w:rPr>
  </w:style>
  <w:style w:type="paragraph" w:customStyle="1" w:styleId="SubHeading1">
    <w:name w:val="SubHeading1"/>
    <w:basedOn w:val="HeadingBase"/>
    <w:rsid w:val="00E561EB"/>
    <w:pPr>
      <w:spacing w:before="240" w:after="60"/>
    </w:pPr>
    <w:rPr>
      <w:color w:val="918585"/>
      <w:sz w:val="22"/>
    </w:rPr>
  </w:style>
  <w:style w:type="paragraph" w:customStyle="1" w:styleId="SideHeading">
    <w:name w:val="Side Heading"/>
    <w:basedOn w:val="HeadingBase"/>
    <w:rsid w:val="00E561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1EB"/>
    <w:pPr>
      <w:numPr>
        <w:numId w:val="10"/>
      </w:numPr>
    </w:pPr>
  </w:style>
  <w:style w:type="paragraph" w:styleId="PlainText">
    <w:name w:val="Plain Text"/>
    <w:basedOn w:val="Normal"/>
    <w:link w:val="PlainTextChar"/>
    <w:rsid w:val="00E561EB"/>
    <w:rPr>
      <w:sz w:val="20"/>
    </w:rPr>
  </w:style>
  <w:style w:type="character" w:customStyle="1" w:styleId="PlainTextChar">
    <w:name w:val="Plain Text Char"/>
    <w:basedOn w:val="DefaultParagraphFont"/>
    <w:link w:val="PlainText"/>
    <w:rsid w:val="00E561EB"/>
    <w:rPr>
      <w:rFonts w:ascii="Courier New" w:eastAsia="Times New Roman" w:hAnsi="Courier New" w:cs="Times New Roman"/>
      <w:sz w:val="20"/>
      <w:szCs w:val="20"/>
      <w:lang w:eastAsia="en-US"/>
    </w:rPr>
  </w:style>
  <w:style w:type="character" w:customStyle="1" w:styleId="MenuOption">
    <w:name w:val="Menu Option"/>
    <w:basedOn w:val="DefaultParagraphFont"/>
    <w:rsid w:val="00E561EB"/>
    <w:rPr>
      <w:b/>
      <w:smallCaps/>
    </w:rPr>
  </w:style>
  <w:style w:type="paragraph" w:customStyle="1" w:styleId="TableListNumber">
    <w:name w:val="Table List Number"/>
    <w:basedOn w:val="ListNumber"/>
    <w:rsid w:val="00E561EB"/>
    <w:pPr>
      <w:numPr>
        <w:numId w:val="0"/>
      </w:numPr>
    </w:pPr>
  </w:style>
  <w:style w:type="paragraph" w:styleId="TOC4">
    <w:name w:val="toc 4"/>
    <w:basedOn w:val="TOCBase"/>
    <w:next w:val="Normal"/>
    <w:semiHidden/>
    <w:rsid w:val="00E561EB"/>
    <w:pPr>
      <w:tabs>
        <w:tab w:val="right" w:leader="dot" w:pos="9071"/>
      </w:tabs>
      <w:ind w:left="1701"/>
    </w:pPr>
  </w:style>
  <w:style w:type="paragraph" w:customStyle="1" w:styleId="ListAlpha">
    <w:name w:val="List Alpha"/>
    <w:basedOn w:val="List"/>
    <w:rsid w:val="00E561EB"/>
    <w:pPr>
      <w:numPr>
        <w:numId w:val="8"/>
      </w:numPr>
    </w:pPr>
  </w:style>
  <w:style w:type="paragraph" w:customStyle="1" w:styleId="ListAlpha2">
    <w:name w:val="List Alpha 2"/>
    <w:basedOn w:val="List2"/>
    <w:rsid w:val="00E561EB"/>
    <w:pPr>
      <w:numPr>
        <w:numId w:val="7"/>
      </w:numPr>
    </w:pPr>
  </w:style>
  <w:style w:type="paragraph" w:styleId="List2">
    <w:name w:val="List 2"/>
    <w:basedOn w:val="BodyText"/>
    <w:rsid w:val="00E561EB"/>
    <w:pPr>
      <w:tabs>
        <w:tab w:val="left" w:pos="680"/>
      </w:tabs>
      <w:spacing w:before="60" w:after="60"/>
      <w:ind w:left="680" w:hanging="340"/>
    </w:pPr>
  </w:style>
  <w:style w:type="paragraph" w:styleId="List3">
    <w:name w:val="List 3"/>
    <w:basedOn w:val="BodyText"/>
    <w:rsid w:val="00E561EB"/>
    <w:pPr>
      <w:tabs>
        <w:tab w:val="left" w:pos="1021"/>
      </w:tabs>
      <w:spacing w:before="60" w:after="60"/>
      <w:ind w:left="1020" w:hanging="340"/>
    </w:pPr>
  </w:style>
  <w:style w:type="paragraph" w:styleId="List4">
    <w:name w:val="List 4"/>
    <w:basedOn w:val="BodyText"/>
    <w:rsid w:val="00E561EB"/>
    <w:pPr>
      <w:tabs>
        <w:tab w:val="left" w:pos="1361"/>
      </w:tabs>
      <w:spacing w:before="60" w:after="60"/>
      <w:ind w:left="1361" w:hanging="340"/>
    </w:pPr>
  </w:style>
  <w:style w:type="paragraph" w:styleId="List5">
    <w:name w:val="List 5"/>
    <w:basedOn w:val="BodyText"/>
    <w:rsid w:val="00E561EB"/>
    <w:pPr>
      <w:tabs>
        <w:tab w:val="left" w:pos="1701"/>
      </w:tabs>
      <w:spacing w:before="60" w:after="60"/>
      <w:ind w:left="1701" w:hanging="340"/>
    </w:pPr>
  </w:style>
  <w:style w:type="paragraph" w:styleId="ListBullet3">
    <w:name w:val="List Bullet 3"/>
    <w:basedOn w:val="List3"/>
    <w:rsid w:val="00E561EB"/>
    <w:pPr>
      <w:numPr>
        <w:numId w:val="13"/>
      </w:numPr>
      <w:tabs>
        <w:tab w:val="clear" w:pos="1021"/>
      </w:tabs>
      <w:ind w:left="1037" w:hanging="357"/>
    </w:pPr>
  </w:style>
  <w:style w:type="paragraph" w:styleId="ListBullet4">
    <w:name w:val="List Bullet 4"/>
    <w:basedOn w:val="List4"/>
    <w:rsid w:val="00E561EB"/>
    <w:pPr>
      <w:numPr>
        <w:numId w:val="2"/>
      </w:numPr>
      <w:tabs>
        <w:tab w:val="clear" w:pos="1361"/>
      </w:tabs>
    </w:pPr>
  </w:style>
  <w:style w:type="paragraph" w:styleId="ListBullet5">
    <w:name w:val="List Bullet 5"/>
    <w:basedOn w:val="List5"/>
    <w:rsid w:val="00E561EB"/>
    <w:pPr>
      <w:numPr>
        <w:numId w:val="3"/>
      </w:numPr>
    </w:pPr>
  </w:style>
  <w:style w:type="paragraph" w:styleId="ListContinue2">
    <w:name w:val="List Continue 2"/>
    <w:basedOn w:val="List2"/>
    <w:rsid w:val="00E561EB"/>
    <w:pPr>
      <w:ind w:firstLine="0"/>
    </w:pPr>
  </w:style>
  <w:style w:type="paragraph" w:styleId="ListContinue3">
    <w:name w:val="List Continue 3"/>
    <w:basedOn w:val="List3"/>
    <w:rsid w:val="00E561EB"/>
    <w:pPr>
      <w:ind w:left="1021" w:firstLine="0"/>
    </w:pPr>
  </w:style>
  <w:style w:type="paragraph" w:styleId="ListContinue4">
    <w:name w:val="List Continue 4"/>
    <w:basedOn w:val="List4"/>
    <w:rsid w:val="00E561EB"/>
    <w:pPr>
      <w:ind w:firstLine="0"/>
    </w:pPr>
  </w:style>
  <w:style w:type="paragraph" w:styleId="ListContinue5">
    <w:name w:val="List Continue 5"/>
    <w:basedOn w:val="List5"/>
    <w:rsid w:val="00E561EB"/>
    <w:pPr>
      <w:ind w:firstLine="0"/>
    </w:pPr>
  </w:style>
  <w:style w:type="paragraph" w:styleId="ListNumber3">
    <w:name w:val="List Number 3"/>
    <w:basedOn w:val="List3"/>
    <w:rsid w:val="00E561EB"/>
    <w:pPr>
      <w:numPr>
        <w:numId w:val="4"/>
      </w:numPr>
    </w:pPr>
  </w:style>
  <w:style w:type="paragraph" w:styleId="ListNumber4">
    <w:name w:val="List Number 4"/>
    <w:basedOn w:val="List4"/>
    <w:rsid w:val="00E561EB"/>
    <w:pPr>
      <w:numPr>
        <w:numId w:val="5"/>
      </w:numPr>
    </w:pPr>
  </w:style>
  <w:style w:type="paragraph" w:styleId="ListNumber5">
    <w:name w:val="List Number 5"/>
    <w:basedOn w:val="List5"/>
    <w:rsid w:val="00E561EB"/>
    <w:pPr>
      <w:numPr>
        <w:numId w:val="6"/>
      </w:numPr>
    </w:pPr>
  </w:style>
  <w:style w:type="paragraph" w:styleId="BlockText">
    <w:name w:val="Block Text"/>
    <w:basedOn w:val="Normal"/>
    <w:rsid w:val="00E561EB"/>
    <w:pPr>
      <w:spacing w:after="120"/>
      <w:ind w:left="1440" w:right="1440"/>
    </w:pPr>
  </w:style>
  <w:style w:type="character" w:customStyle="1" w:styleId="Subscript">
    <w:name w:val="Subscript"/>
    <w:basedOn w:val="DefaultParagraphFont"/>
    <w:rsid w:val="00E561EB"/>
    <w:rPr>
      <w:sz w:val="16"/>
      <w:vertAlign w:val="subscript"/>
    </w:rPr>
  </w:style>
  <w:style w:type="character" w:customStyle="1" w:styleId="Superscript">
    <w:name w:val="Superscript"/>
    <w:basedOn w:val="DefaultParagraphFont"/>
    <w:rsid w:val="00E561EB"/>
    <w:rPr>
      <w:sz w:val="16"/>
      <w:vertAlign w:val="superscript"/>
    </w:rPr>
  </w:style>
  <w:style w:type="character" w:customStyle="1" w:styleId="Symbols">
    <w:name w:val="Symbols"/>
    <w:basedOn w:val="DefaultParagraphFont"/>
    <w:rsid w:val="00E561EB"/>
    <w:rPr>
      <w:rFonts w:ascii="Symbol" w:hAnsi="Symbol"/>
    </w:rPr>
  </w:style>
  <w:style w:type="character" w:customStyle="1" w:styleId="MenuOptions">
    <w:name w:val="Menu Options"/>
    <w:basedOn w:val="DefaultParagraphFont"/>
    <w:rsid w:val="00E561EB"/>
    <w:rPr>
      <w:rFonts w:ascii="Arial Narrow" w:hAnsi="Arial Narrow"/>
      <w:smallCaps/>
    </w:rPr>
  </w:style>
  <w:style w:type="character" w:customStyle="1" w:styleId="Buttons">
    <w:name w:val="Buttons"/>
    <w:basedOn w:val="DefaultParagraphFont"/>
    <w:rsid w:val="00E561EB"/>
    <w:rPr>
      <w:b/>
    </w:rPr>
  </w:style>
  <w:style w:type="character" w:customStyle="1" w:styleId="Underlined">
    <w:name w:val="Underlined"/>
    <w:basedOn w:val="DefaultParagraphFont"/>
    <w:rsid w:val="00E561EB"/>
    <w:rPr>
      <w:u w:val="single"/>
    </w:rPr>
  </w:style>
  <w:style w:type="paragraph" w:customStyle="1" w:styleId="TableBodyTextRight">
    <w:name w:val="Table Body Text Right"/>
    <w:basedOn w:val="TableBodyText"/>
    <w:rsid w:val="00E561EB"/>
    <w:pPr>
      <w:widowControl w:val="0"/>
      <w:autoSpaceDE w:val="0"/>
      <w:autoSpaceDN w:val="0"/>
      <w:adjustRightInd w:val="0"/>
      <w:jc w:val="right"/>
    </w:pPr>
    <w:rPr>
      <w:rFonts w:cs="Arial"/>
      <w:szCs w:val="18"/>
    </w:rPr>
  </w:style>
  <w:style w:type="paragraph" w:customStyle="1" w:styleId="CopyrightText">
    <w:name w:val="Copyright Text"/>
    <w:basedOn w:val="BodyText"/>
    <w:rsid w:val="00E561EB"/>
    <w:rPr>
      <w:sz w:val="18"/>
    </w:rPr>
  </w:style>
  <w:style w:type="paragraph" w:customStyle="1" w:styleId="BodySmallRight">
    <w:name w:val="Body Small Right"/>
    <w:basedOn w:val="BodyTextRight"/>
    <w:rsid w:val="00E561EB"/>
    <w:rPr>
      <w:sz w:val="18"/>
      <w:szCs w:val="18"/>
    </w:rPr>
  </w:style>
  <w:style w:type="paragraph" w:customStyle="1" w:styleId="MarginEdition">
    <w:name w:val="Margin Edition"/>
    <w:basedOn w:val="MarginNote"/>
    <w:rsid w:val="00E561EB"/>
    <w:pPr>
      <w:spacing w:before="0" w:after="0"/>
    </w:pPr>
    <w:rPr>
      <w:rFonts w:ascii="Times New Roman" w:hAnsi="Times New Roman"/>
      <w:color w:val="999999"/>
    </w:rPr>
  </w:style>
  <w:style w:type="paragraph" w:customStyle="1" w:styleId="Spacer">
    <w:name w:val="Spacer"/>
    <w:basedOn w:val="Normal"/>
    <w:rsid w:val="00E561EB"/>
    <w:rPr>
      <w:sz w:val="2"/>
      <w:szCs w:val="2"/>
    </w:rPr>
  </w:style>
  <w:style w:type="character" w:customStyle="1" w:styleId="Small">
    <w:name w:val="Small"/>
    <w:basedOn w:val="DefaultParagraphFont"/>
    <w:rsid w:val="00E561EB"/>
    <w:rPr>
      <w:sz w:val="16"/>
    </w:rPr>
  </w:style>
  <w:style w:type="paragraph" w:customStyle="1" w:styleId="WideTable">
    <w:name w:val="Wide Table"/>
    <w:basedOn w:val="Normal"/>
    <w:rsid w:val="00E561EB"/>
    <w:pPr>
      <w:ind w:left="-1418"/>
    </w:pPr>
    <w:rPr>
      <w:sz w:val="2"/>
      <w:szCs w:val="2"/>
    </w:rPr>
  </w:style>
  <w:style w:type="character" w:styleId="PageNumber">
    <w:name w:val="page number"/>
    <w:basedOn w:val="DefaultParagraphFont"/>
    <w:rsid w:val="00E561EB"/>
  </w:style>
  <w:style w:type="paragraph" w:styleId="Quote">
    <w:name w:val="Quote"/>
    <w:basedOn w:val="Heading1"/>
    <w:link w:val="QuoteChar"/>
    <w:qFormat/>
    <w:rsid w:val="00E561EB"/>
    <w:rPr>
      <w:b w:val="0"/>
      <w:sz w:val="72"/>
      <w:szCs w:val="72"/>
      <w:lang w:val="en-NZ"/>
    </w:rPr>
  </w:style>
  <w:style w:type="character" w:customStyle="1" w:styleId="QuoteChar">
    <w:name w:val="Quote Char"/>
    <w:basedOn w:val="DefaultParagraphFont"/>
    <w:link w:val="Quote"/>
    <w:rsid w:val="00E561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1EB"/>
    <w:pPr>
      <w:pageBreakBefore/>
    </w:pPr>
  </w:style>
  <w:style w:type="paragraph" w:customStyle="1" w:styleId="Border">
    <w:name w:val="Border"/>
    <w:basedOn w:val="Normal"/>
    <w:qFormat/>
    <w:rsid w:val="00E561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1EB"/>
    <w:rPr>
      <w:b/>
      <w:bCs/>
      <w:i/>
      <w:iCs/>
      <w:color w:val="auto"/>
    </w:rPr>
  </w:style>
  <w:style w:type="paragraph" w:styleId="IntenseQuote">
    <w:name w:val="Intense Quote"/>
    <w:basedOn w:val="Normal"/>
    <w:next w:val="Normal"/>
    <w:link w:val="IntenseQuoteChar"/>
    <w:uiPriority w:val="30"/>
    <w:qFormat/>
    <w:rsid w:val="00E561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1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1EB"/>
    <w:rPr>
      <w:smallCaps/>
      <w:color w:val="auto"/>
      <w:u w:val="single"/>
    </w:rPr>
  </w:style>
  <w:style w:type="character" w:styleId="IntenseReference">
    <w:name w:val="Intense Reference"/>
    <w:basedOn w:val="DefaultParagraphFont"/>
    <w:uiPriority w:val="32"/>
    <w:qFormat/>
    <w:rsid w:val="00E561EB"/>
    <w:rPr>
      <w:b/>
      <w:bCs/>
      <w:smallCaps/>
      <w:color w:val="auto"/>
      <w:spacing w:val="5"/>
      <w:u w:val="single"/>
    </w:rPr>
  </w:style>
  <w:style w:type="paragraph" w:customStyle="1" w:styleId="2ColumnHeading">
    <w:name w:val="2Column Heading"/>
    <w:basedOn w:val="BodyText"/>
    <w:qFormat/>
    <w:rsid w:val="00E561EB"/>
    <w:pPr>
      <w:spacing w:after="60"/>
      <w:ind w:left="-2268"/>
    </w:pPr>
    <w:rPr>
      <w:b/>
    </w:rPr>
  </w:style>
  <w:style w:type="paragraph" w:customStyle="1" w:styleId="Heading1TOC">
    <w:name w:val="Heading1 TOC"/>
    <w:basedOn w:val="Normal"/>
    <w:qFormat/>
    <w:rsid w:val="00E561EB"/>
    <w:pPr>
      <w:spacing w:before="240" w:after="120"/>
    </w:pPr>
    <w:rPr>
      <w:rFonts w:ascii="Times New Roman" w:hAnsi="Times New Roman"/>
      <w:b/>
      <w:sz w:val="32"/>
    </w:rPr>
  </w:style>
  <w:style w:type="paragraph" w:customStyle="1" w:styleId="Heading2TOC">
    <w:name w:val="Heading2 TOC"/>
    <w:basedOn w:val="Normal"/>
    <w:qFormat/>
    <w:rsid w:val="00E561EB"/>
    <w:pPr>
      <w:spacing w:before="240" w:after="60"/>
    </w:pPr>
    <w:rPr>
      <w:rFonts w:ascii="Times New Roman" w:hAnsi="Times New Roman"/>
      <w:b/>
      <w:sz w:val="28"/>
    </w:rPr>
  </w:style>
  <w:style w:type="character" w:customStyle="1" w:styleId="Underline">
    <w:name w:val="Underline"/>
    <w:basedOn w:val="DefaultParagraphFont"/>
    <w:qFormat/>
    <w:rsid w:val="00E561EB"/>
    <w:rPr>
      <w:u w:val="single"/>
    </w:rPr>
  </w:style>
  <w:style w:type="character" w:customStyle="1" w:styleId="BoldandItalics">
    <w:name w:val="Bold and Italics"/>
    <w:qFormat/>
    <w:rsid w:val="00E561EB"/>
    <w:rPr>
      <w:b/>
      <w:i/>
      <w:u w:val="none"/>
    </w:rPr>
  </w:style>
  <w:style w:type="paragraph" w:styleId="BalloonText">
    <w:name w:val="Balloon Text"/>
    <w:basedOn w:val="Normal"/>
    <w:link w:val="BalloonTextChar"/>
    <w:rsid w:val="00E561EB"/>
    <w:rPr>
      <w:rFonts w:ascii="Tahoma" w:hAnsi="Tahoma" w:cs="Tahoma"/>
      <w:sz w:val="16"/>
      <w:szCs w:val="16"/>
    </w:rPr>
  </w:style>
  <w:style w:type="character" w:customStyle="1" w:styleId="BalloonTextChar">
    <w:name w:val="Balloon Text Char"/>
    <w:basedOn w:val="DefaultParagraphFont"/>
    <w:link w:val="BalloonText"/>
    <w:rsid w:val="00E561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1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1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1EB"/>
    <w:rPr>
      <w:b/>
      <w:color w:val="660033"/>
      <w:spacing w:val="0"/>
    </w:rPr>
  </w:style>
  <w:style w:type="paragraph" w:customStyle="1" w:styleId="Nameditemlist">
    <w:name w:val="Named item list"/>
    <w:basedOn w:val="BodyText"/>
    <w:qFormat/>
    <w:rsid w:val="00E561EB"/>
    <w:pPr>
      <w:tabs>
        <w:tab w:val="left" w:pos="2835"/>
      </w:tabs>
      <w:ind w:left="2835" w:hanging="2835"/>
    </w:pPr>
  </w:style>
  <w:style w:type="paragraph" w:customStyle="1" w:styleId="BodyTextnopadding">
    <w:name w:val="Body Text no padding"/>
    <w:basedOn w:val="BodyText"/>
    <w:qFormat/>
    <w:rsid w:val="00E561EB"/>
    <w:pPr>
      <w:spacing w:before="0" w:after="0"/>
    </w:pPr>
  </w:style>
  <w:style w:type="character" w:styleId="Hyperlink">
    <w:name w:val="Hyperlink"/>
    <w:basedOn w:val="DefaultParagraphFont"/>
    <w:uiPriority w:val="99"/>
    <w:unhideWhenUsed/>
    <w:rsid w:val="00564C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1168</Words>
  <Characters>6839</Characters>
  <Application>Microsoft Office Word</Application>
  <DocSecurity>0</DocSecurity>
  <Lines>220</Lines>
  <Paragraphs>90</Paragraphs>
  <ScaleCrop>false</ScaleCrop>
  <Company>Author-it Software Corporation Ltd.</Company>
  <LinksUpToDate>false</LinksUpToDate>
  <CharactersWithSpaces>7917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BSBWHS616 Apply safe design principles to control WHS risks</dc:title>
  <dc:subject>Approved</dc:subject>
  <dc:creator>PwC’s Skills for Australia</dc:creator>
  <cp:keywords>Release: 1</cp:keywords>
  <dc:description>Review Date: 12 April 2008</dc:description>
  <cp:lastModifiedBy>HSD_TPCMSd.prod</cp:lastModifiedBy>
  <cp:revision>3</cp:revision>
  <dcterms:created xsi:type="dcterms:W3CDTF">2022-11-21T08:52:00Z</dcterms:created>
  <dcterms:modified xsi:type="dcterms:W3CDTF">2022-11-21T08:52:00Z</dcterms:modified>
</cp:coreProperties>
</file>