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254F" w:rsidP="003F254F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BSBWHS616 Apply safe design principles to control WHS risks</w:t>
      </w:r>
      <w:r>
        <w:fldChar w:fldCharType="end"/>
      </w:r>
    </w:p>
    <w:p w:rsidR="003F254F" w:rsidP="003F254F">
      <w:pPr>
        <w:pStyle w:val="Version"/>
        <w:sectPr w:rsidSect="00B908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084C" w:rsidP="00B9084C">
      <w:pPr>
        <w:pStyle w:val="SuperHeading"/>
      </w:pPr>
      <w:r w:rsidRPr="00B9084C">
        <w:t>Assessment Requirements for BSBWHS616 Apply safe design principles to control WHS risks</w:t>
      </w:r>
    </w:p>
    <w:p w:rsidR="00000000" w:rsidRPr="00B9084C" w:rsidP="00B9084C">
      <w:pPr>
        <w:pStyle w:val="Heading1"/>
      </w:pPr>
      <w:bookmarkStart w:id="1" w:name="O_1056187"/>
      <w:bookmarkEnd w:id="1"/>
      <w:r w:rsidRPr="00B908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4"/>
        <w:gridCol w:w="5873"/>
      </w:tblGrid>
      <w:tr w:rsidTr="00B90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84C" w:rsidP="00B9084C">
            <w:pPr>
              <w:pStyle w:val="BodyText"/>
            </w:pPr>
            <w:r w:rsidRPr="00B9084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84C">
            <w:pPr>
              <w:pStyle w:val="BodyText"/>
              <w:rPr>
                <w:lang w:val="en-NZ"/>
              </w:rPr>
            </w:pPr>
            <w:r w:rsidRPr="00B9084C">
              <w:rPr>
                <w:rStyle w:val="SpecialBold"/>
              </w:rPr>
              <w:t>Comments</w:t>
            </w:r>
          </w:p>
        </w:tc>
      </w:tr>
      <w:tr w:rsidTr="00B90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84C">
            <w:pPr>
              <w:pStyle w:val="BodyText"/>
              <w:rPr>
                <w:lang w:val="en-NZ"/>
              </w:rPr>
            </w:pPr>
            <w:r w:rsidRPr="00B9084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84C" w:rsidP="00B9084C">
            <w:pPr>
              <w:pStyle w:val="BodyText"/>
            </w:pPr>
            <w:r w:rsidRPr="00B9084C">
              <w:t>This version first released with BSB Business Services Training Package Version 5.0.</w:t>
            </w:r>
          </w:p>
        </w:tc>
      </w:tr>
    </w:tbl>
    <w:p w:rsidR="00000000" w:rsidRPr="00B9084C" w:rsidP="00B9084C">
      <w:pPr>
        <w:pStyle w:val="BodyText"/>
      </w:pPr>
    </w:p>
    <w:p w:rsidR="00000000" w:rsidRPr="00B9084C" w:rsidP="00B9084C">
      <w:pPr>
        <w:pStyle w:val="AllowPageBreak"/>
      </w:pPr>
    </w:p>
    <w:p w:rsidR="00000000" w:rsidRPr="00B9084C" w:rsidP="00B9084C">
      <w:pPr>
        <w:pStyle w:val="Heading1"/>
      </w:pPr>
      <w:bookmarkStart w:id="2" w:name="O_1056190"/>
      <w:bookmarkEnd w:id="2"/>
      <w:r w:rsidRPr="00B9084C">
        <w:t>Performance Evidence</w:t>
      </w:r>
    </w:p>
    <w:p w:rsidR="00000000" w:rsidRPr="00B9084C" w:rsidP="003F254F">
      <w:pPr>
        <w:pStyle w:val="BodyText"/>
      </w:pPr>
      <w:r w:rsidRPr="00B9084C">
        <w:t>The candidate must demonstrate the ability to complete the tasks outlined in the elements, performance criteria and foundation skills of this unit, and to:</w:t>
      </w:r>
    </w:p>
    <w:p w:rsidR="00000000" w:rsidRPr="00B9084C" w:rsidP="00B9084C">
      <w:pPr>
        <w:pStyle w:val="ListBullet"/>
      </w:pPr>
      <w:r w:rsidRPr="00B9084C">
        <w:t xml:space="preserve">apply safe design principles to control work health and safety (WHS) </w:t>
      </w:r>
      <w:r w:rsidRPr="00B9084C">
        <w:t>risks that may occur throughout the life cycle of at least two different products.</w:t>
      </w:r>
    </w:p>
    <w:p w:rsidR="00000000" w:rsidRPr="00B9084C" w:rsidP="00B9084C">
      <w:pPr>
        <w:pStyle w:val="BodyText"/>
      </w:pPr>
    </w:p>
    <w:p w:rsidR="00000000" w:rsidRPr="00B9084C" w:rsidP="003F254F">
      <w:pPr>
        <w:pStyle w:val="BodyText"/>
      </w:pPr>
      <w:r w:rsidRPr="00B9084C">
        <w:t>During the above, the candidate must:</w:t>
      </w:r>
    </w:p>
    <w:p w:rsidR="00000000" w:rsidRPr="00B9084C" w:rsidP="00B9084C">
      <w:pPr>
        <w:pStyle w:val="ListBullet"/>
      </w:pPr>
      <w:r w:rsidRPr="00B9084C">
        <w:t>provide advice based on WHS legislative requirements and safe design principles in relation to:</w:t>
      </w:r>
    </w:p>
    <w:p w:rsidR="00000000" w:rsidRPr="00B9084C" w:rsidP="00B9084C">
      <w:pPr>
        <w:pStyle w:val="ListBullet2"/>
      </w:pPr>
      <w:r w:rsidRPr="00B9084C">
        <w:t>developing a systematic WHS risk-management approach to safe design</w:t>
      </w:r>
    </w:p>
    <w:p w:rsidR="00000000" w:rsidRPr="00B9084C" w:rsidP="00B9084C">
      <w:pPr>
        <w:pStyle w:val="ListBullet2"/>
      </w:pPr>
      <w:r w:rsidRPr="00B9084C">
        <w:t xml:space="preserve">consultation processes relating to safe design in a product’s life cycle </w:t>
      </w:r>
    </w:p>
    <w:p w:rsidR="003F254F" w:rsidP="00B9084C">
      <w:pPr>
        <w:pStyle w:val="ListBullet2"/>
      </w:pPr>
      <w:r w:rsidRPr="00B9084C">
        <w:t>procurement systems to minimise ‘purchased’ WHS hazards and their associated risks.</w:t>
      </w:r>
    </w:p>
    <w:p w:rsidR="003F254F" w:rsidP="00B9084C">
      <w:pPr>
        <w:pStyle w:val="ListBullet2"/>
      </w:pPr>
    </w:p>
    <w:p w:rsidR="00000000" w:rsidRPr="00B9084C" w:rsidP="00B9084C">
      <w:pPr>
        <w:pStyle w:val="Heading1"/>
      </w:pPr>
      <w:bookmarkStart w:id="3" w:name="O_1056189"/>
      <w:bookmarkEnd w:id="3"/>
      <w:r w:rsidRPr="00B9084C">
        <w:t xml:space="preserve">Knowledge </w:t>
      </w:r>
      <w:r w:rsidRPr="00B9084C">
        <w:t>Evidence</w:t>
      </w:r>
    </w:p>
    <w:p w:rsidR="00000000" w:rsidRPr="00B9084C" w:rsidP="003F254F">
      <w:pPr>
        <w:pStyle w:val="BodyText"/>
      </w:pPr>
      <w:r w:rsidRPr="00B9084C">
        <w:t>The candidate must demonstrate the knowledge to complete the tasks outlined in the elements, performance criteria and foundation skills of this unit. This includes knowledge of:</w:t>
      </w:r>
    </w:p>
    <w:p w:rsidR="00000000" w:rsidRPr="00B9084C" w:rsidP="00B9084C">
      <w:pPr>
        <w:pStyle w:val="ListBullet"/>
      </w:pPr>
      <w:r w:rsidRPr="00B9084C">
        <w:t>commonwealth and state/territory WHS laws, publications and guidelin</w:t>
      </w:r>
      <w:r w:rsidRPr="00B9084C">
        <w:t>es relating to consultation, participation and safe design, including:</w:t>
      </w:r>
    </w:p>
    <w:p w:rsidR="00000000" w:rsidRPr="00B9084C" w:rsidP="00B9084C">
      <w:pPr>
        <w:pStyle w:val="ListBullet2"/>
      </w:pPr>
      <w:r w:rsidRPr="00B9084C">
        <w:t>Safe Work Australia codes of practice and guidance information that relate to safe design</w:t>
      </w:r>
    </w:p>
    <w:p w:rsidR="00000000" w:rsidRPr="00B9084C" w:rsidP="00B9084C">
      <w:pPr>
        <w:pStyle w:val="ListBullet2"/>
      </w:pPr>
      <w:r w:rsidRPr="00B9084C">
        <w:t>requirements for managing WHS risks and implementing controls at each life-cycle stage of a pr</w:t>
      </w:r>
      <w:r w:rsidRPr="00B9084C">
        <w:t>oduct</w:t>
      </w:r>
    </w:p>
    <w:p w:rsidR="00000000" w:rsidRPr="00B9084C" w:rsidP="00B9084C">
      <w:pPr>
        <w:pStyle w:val="ListBullet2"/>
      </w:pPr>
      <w:r w:rsidRPr="00B9084C">
        <w:t>requirements relating to consultation processes</w:t>
      </w:r>
    </w:p>
    <w:p w:rsidR="00000000" w:rsidRPr="00B9084C" w:rsidP="00B9084C">
      <w:pPr>
        <w:pStyle w:val="ListBullet2"/>
      </w:pPr>
      <w:r w:rsidRPr="00B9084C">
        <w:t>legislative duties of persons conducting a business or undertaking (PCBUs) or officers who are designers or are responsible for safe design processes</w:t>
      </w:r>
    </w:p>
    <w:p w:rsidR="00000000" w:rsidRPr="00B9084C" w:rsidP="00B9084C">
      <w:pPr>
        <w:pStyle w:val="ListBullet"/>
      </w:pPr>
      <w:r w:rsidRPr="00B9084C">
        <w:t>factors involved in selecting WHS risk controls for</w:t>
      </w:r>
      <w:r w:rsidRPr="00B9084C">
        <w:t xml:space="preserve"> product design, including:</w:t>
      </w:r>
    </w:p>
    <w:p w:rsidR="00000000" w:rsidRPr="00B9084C" w:rsidP="00B9084C">
      <w:pPr>
        <w:pStyle w:val="ListBullet2"/>
      </w:pPr>
      <w:r w:rsidRPr="00B9084C">
        <w:t>ensuring that level and reliability of risk control is commensurate with likelihood and impact of risk</w:t>
      </w:r>
    </w:p>
    <w:p w:rsidR="00000000" w:rsidRPr="00B9084C" w:rsidP="00B9084C">
      <w:pPr>
        <w:pStyle w:val="ListBullet2"/>
      </w:pPr>
      <w:r w:rsidRPr="00B9084C">
        <w:t>impact on safety of alterations to product during its life</w:t>
      </w:r>
    </w:p>
    <w:p w:rsidR="00000000" w:rsidRPr="00B9084C" w:rsidP="00B9084C">
      <w:pPr>
        <w:pStyle w:val="ListBullet2"/>
      </w:pPr>
      <w:r w:rsidRPr="00B9084C">
        <w:t>minimising impact of possible failure or defect by ensuring controls include fail-safe action</w:t>
      </w:r>
    </w:p>
    <w:p w:rsidR="00000000" w:rsidRPr="00B9084C" w:rsidP="00B9084C">
      <w:pPr>
        <w:pStyle w:val="ListBullet"/>
      </w:pPr>
      <w:r w:rsidRPr="00B9084C">
        <w:t>WHS principles, materials, technology and systems that apply to product design</w:t>
      </w:r>
    </w:p>
    <w:p w:rsidR="00000000" w:rsidRPr="00B9084C" w:rsidP="00B9084C">
      <w:pPr>
        <w:pStyle w:val="ListBullet"/>
      </w:pPr>
      <w:r w:rsidRPr="00B9084C">
        <w:t>internal and external sources of WHS information and data, and procedures for acce</w:t>
      </w:r>
      <w:r w:rsidRPr="00B9084C">
        <w:t>ssing them</w:t>
      </w:r>
    </w:p>
    <w:p w:rsidR="00000000" w:rsidRPr="00B9084C" w:rsidP="00B9084C">
      <w:pPr>
        <w:pStyle w:val="ListBullet"/>
      </w:pPr>
      <w:r w:rsidRPr="00B9084C">
        <w:t>human cognitive and perceptual capabilities and other basic factors relevant to the safe design of products in the performance evidence</w:t>
      </w:r>
    </w:p>
    <w:p w:rsidR="00000000" w:rsidRPr="00B9084C" w:rsidP="00B9084C">
      <w:pPr>
        <w:pStyle w:val="ListBullet"/>
      </w:pPr>
      <w:r w:rsidRPr="00B9084C">
        <w:t>factors affecting safe design, including work-related psychosocial factors, occupational violence, shift work</w:t>
      </w:r>
      <w:r w:rsidRPr="00B9084C">
        <w:t>, repetitive work, awkward postures, lighting, thermal environment and work layout</w:t>
      </w:r>
    </w:p>
    <w:p w:rsidR="00000000" w:rsidRPr="00B9084C" w:rsidP="00B9084C">
      <w:pPr>
        <w:pStyle w:val="ListBullet"/>
      </w:pPr>
      <w:r w:rsidRPr="00B9084C">
        <w:t>principles of anthropometry and biomechanics as they relate to safe design principles to control WHS risks</w:t>
      </w:r>
    </w:p>
    <w:p w:rsidR="00000000" w:rsidRPr="00B9084C" w:rsidP="00B9084C">
      <w:pPr>
        <w:pStyle w:val="ListBullet"/>
      </w:pPr>
      <w:r w:rsidRPr="00B9084C">
        <w:t>communication and consultation processes, and key personnel relate</w:t>
      </w:r>
      <w:r w:rsidRPr="00B9084C">
        <w:t>d to communication</w:t>
      </w:r>
    </w:p>
    <w:p w:rsidR="00000000" w:rsidRPr="00B9084C" w:rsidP="00B9084C">
      <w:pPr>
        <w:pStyle w:val="ListBullet"/>
      </w:pPr>
      <w:r w:rsidRPr="00B9084C">
        <w:t>hierarchy of control measures and criteria for choosing between different WHS risk controls</w:t>
      </w:r>
    </w:p>
    <w:p w:rsidR="00000000" w:rsidRPr="00B9084C" w:rsidP="00B9084C">
      <w:pPr>
        <w:pStyle w:val="ListBullet"/>
      </w:pPr>
      <w:r w:rsidRPr="00B9084C">
        <w:t>key personnel, including change agents, within workplace management structure</w:t>
      </w:r>
    </w:p>
    <w:p w:rsidR="00000000" w:rsidRPr="00B9084C" w:rsidP="00B9084C">
      <w:pPr>
        <w:pStyle w:val="ListBullet"/>
      </w:pPr>
      <w:r w:rsidRPr="00B9084C">
        <w:t>legal liability in relation to providing advice</w:t>
      </w:r>
    </w:p>
    <w:p w:rsidR="00000000" w:rsidRPr="00B9084C" w:rsidP="00B9084C">
      <w:pPr>
        <w:pStyle w:val="ListBullet"/>
      </w:pPr>
      <w:r w:rsidRPr="00B9084C">
        <w:t>organisational beha</w:t>
      </w:r>
      <w:r w:rsidRPr="00B9084C">
        <w:t>viour and culture as they impact on WHS, and on change</w:t>
      </w:r>
    </w:p>
    <w:p w:rsidR="003F254F" w:rsidP="00B9084C">
      <w:pPr>
        <w:pStyle w:val="ListBullet"/>
      </w:pPr>
      <w:r w:rsidRPr="00B9084C">
        <w:t>WHS risk management and the principles and practices of a systematic approach to WHS management.</w:t>
      </w:r>
    </w:p>
    <w:p w:rsidR="003F254F" w:rsidP="00B9084C">
      <w:pPr>
        <w:pStyle w:val="ListBullet"/>
      </w:pPr>
    </w:p>
    <w:p w:rsidR="00000000" w:rsidRPr="00B9084C" w:rsidP="00B9084C">
      <w:pPr>
        <w:pStyle w:val="Heading1"/>
      </w:pPr>
      <w:bookmarkStart w:id="4" w:name="O_1056188"/>
      <w:bookmarkEnd w:id="4"/>
      <w:r w:rsidRPr="00B9084C">
        <w:t>Assessment Conditions</w:t>
      </w:r>
    </w:p>
    <w:p w:rsidR="00000000" w:rsidRPr="00B9084C" w:rsidP="003F254F">
      <w:pPr>
        <w:pStyle w:val="BodyText"/>
      </w:pPr>
      <w:r w:rsidRPr="00B9084C">
        <w:t>Assessment must comply with WHS laws, legal responsibilities and duty of care required for this unit. It must be conducted in a safe environment where evidence gathered demonstrates consistent performance of typical activities undertaken by individuals car</w:t>
      </w:r>
      <w:r w:rsidRPr="00B9084C">
        <w:t>rying out WHS duties in the workplace, and must include access to:</w:t>
      </w:r>
    </w:p>
    <w:p w:rsidR="00000000" w:rsidRPr="00B9084C" w:rsidP="00B9084C">
      <w:pPr>
        <w:pStyle w:val="ListBullet"/>
      </w:pPr>
      <w:r w:rsidRPr="00B9084C">
        <w:t>reports from other parties consulted about WHS risk in a product’s life cycle</w:t>
      </w:r>
    </w:p>
    <w:p w:rsidR="00000000" w:rsidRPr="00B9084C" w:rsidP="00B9084C">
      <w:pPr>
        <w:pStyle w:val="ListBullet"/>
      </w:pPr>
      <w:r w:rsidRPr="00B9084C">
        <w:t>legislation, standards, guidelines, research and industry data required to demonstrate the performance evidenc</w:t>
      </w:r>
      <w:r w:rsidRPr="00B9084C">
        <w:t>e</w:t>
      </w:r>
    </w:p>
    <w:p w:rsidR="00000000" w:rsidRPr="00B9084C" w:rsidP="00B9084C">
      <w:pPr>
        <w:pStyle w:val="ListBullet"/>
      </w:pPr>
      <w:r w:rsidRPr="00B9084C">
        <w:t>case studies and, where possible, real situations</w:t>
      </w:r>
    </w:p>
    <w:p w:rsidR="00000000" w:rsidRPr="00B9084C" w:rsidP="00B9084C">
      <w:pPr>
        <w:pStyle w:val="ListBullet"/>
      </w:pPr>
      <w:r w:rsidRPr="00B9084C">
        <w:t>opportunities for interaction with others.</w:t>
      </w:r>
    </w:p>
    <w:p w:rsidR="00000000" w:rsidRPr="00B9084C" w:rsidP="00B9084C">
      <w:pPr>
        <w:pStyle w:val="BodyText"/>
      </w:pPr>
    </w:p>
    <w:p w:rsidR="003F254F" w:rsidP="003F254F">
      <w:pPr>
        <w:pStyle w:val="BodyText"/>
      </w:pPr>
      <w:r w:rsidRPr="00B9084C">
        <w:t>Assessors of this unit must satisfy the assessor requirements in applicable vocational education and training legislation, frameworks and/or standards.</w:t>
      </w:r>
    </w:p>
    <w:p w:rsidR="00000000" w:rsidRPr="00B9084C" w:rsidP="00B9084C">
      <w:pPr>
        <w:pStyle w:val="Heading1"/>
      </w:pPr>
      <w:bookmarkStart w:id="5" w:name="O_1056186"/>
      <w:bookmarkEnd w:id="5"/>
      <w:r w:rsidRPr="00B9084C">
        <w:t>Links</w:t>
      </w:r>
    </w:p>
    <w:p w:rsidR="00000000" w:rsidRPr="00B9084C" w:rsidP="003F254F">
      <w:pPr>
        <w:pStyle w:val="BodyText"/>
      </w:pPr>
      <w:r w:rsidRPr="00B9084C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E4DD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9084C" w:rsidP="00B9084C"/>
    <w:sectPr w:rsidSect="00B908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8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84C" w:rsidRPr="003F254F" w:rsidP="003F254F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8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54F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8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5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084C" w:rsidRPr="003F254F" w:rsidP="003F25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8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54F" w:rsidP="00B908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E6DB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8019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16ED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8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08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08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08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08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08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08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08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08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08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08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084C"/>
  </w:style>
  <w:style w:type="character" w:customStyle="1" w:styleId="Heading1Char">
    <w:name w:val="Heading 1 Char"/>
    <w:basedOn w:val="DefaultParagraphFont"/>
    <w:link w:val="Heading1"/>
    <w:rsid w:val="00B908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08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08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084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084C"/>
    <w:rPr>
      <w:b/>
      <w:spacing w:val="0"/>
    </w:rPr>
  </w:style>
  <w:style w:type="paragraph" w:styleId="ListBullet2">
    <w:name w:val="List Bullet 2"/>
    <w:basedOn w:val="List2"/>
    <w:rsid w:val="00B9084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908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08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08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08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08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08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08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08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08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08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08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08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08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08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08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08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08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08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08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08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08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08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08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08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08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08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08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08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08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08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08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08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08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08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084C"/>
    <w:rPr>
      <w:i/>
    </w:rPr>
  </w:style>
  <w:style w:type="paragraph" w:styleId="Caption">
    <w:name w:val="caption"/>
    <w:basedOn w:val="BodyText"/>
    <w:next w:val="Normal"/>
    <w:qFormat/>
    <w:rsid w:val="00B908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08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08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084C"/>
  </w:style>
  <w:style w:type="paragraph" w:styleId="TableofFigures">
    <w:name w:val="table of figures"/>
    <w:basedOn w:val="Normal"/>
    <w:next w:val="Normal"/>
    <w:semiHidden/>
    <w:rsid w:val="00B908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08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9084C"/>
    <w:rPr>
      <w:rFonts w:ascii="Wingdings" w:hAnsi="Wingdings"/>
    </w:rPr>
  </w:style>
  <w:style w:type="paragraph" w:customStyle="1" w:styleId="TableHeading">
    <w:name w:val="Table Heading"/>
    <w:basedOn w:val="HeadingBase"/>
    <w:rsid w:val="00B908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084C"/>
    <w:rPr>
      <w:color w:val="0033CC"/>
      <w:u w:val="none"/>
    </w:rPr>
  </w:style>
  <w:style w:type="paragraph" w:customStyle="1" w:styleId="BodyTextRight">
    <w:name w:val="Body Text Right"/>
    <w:basedOn w:val="BodyText"/>
    <w:rsid w:val="00B908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08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08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08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08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08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084C"/>
    <w:rPr>
      <w:sz w:val="32"/>
    </w:rPr>
  </w:style>
  <w:style w:type="paragraph" w:customStyle="1" w:styleId="HeadingProcedure">
    <w:name w:val="Heading Procedure"/>
    <w:basedOn w:val="HeadingBase"/>
    <w:next w:val="Normal"/>
    <w:rsid w:val="00B908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084C"/>
    <w:pPr>
      <w:spacing w:before="60" w:after="60"/>
    </w:pPr>
  </w:style>
  <w:style w:type="paragraph" w:styleId="ListContinue">
    <w:name w:val="List Continue"/>
    <w:basedOn w:val="List"/>
    <w:rsid w:val="00B9084C"/>
    <w:pPr>
      <w:ind w:firstLine="0"/>
    </w:pPr>
  </w:style>
  <w:style w:type="paragraph" w:customStyle="1" w:styleId="ListNote">
    <w:name w:val="List Note"/>
    <w:basedOn w:val="List"/>
    <w:rsid w:val="00B908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08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08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084C"/>
    <w:rPr>
      <w:rFonts w:ascii="Courier New" w:hAnsi="Courier New"/>
    </w:rPr>
  </w:style>
  <w:style w:type="paragraph" w:customStyle="1" w:styleId="NoteBullet">
    <w:name w:val="Note Bullet"/>
    <w:basedOn w:val="Note"/>
    <w:rsid w:val="00B908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08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08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08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08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08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08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084C"/>
    <w:rPr>
      <w:b/>
      <w:smallCaps/>
    </w:rPr>
  </w:style>
  <w:style w:type="paragraph" w:customStyle="1" w:styleId="TableListNumber">
    <w:name w:val="Table List Number"/>
    <w:basedOn w:val="ListNumber"/>
    <w:rsid w:val="00B908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08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084C"/>
    <w:pPr>
      <w:numPr>
        <w:numId w:val="9"/>
      </w:numPr>
    </w:pPr>
  </w:style>
  <w:style w:type="paragraph" w:customStyle="1" w:styleId="ListAlpha2">
    <w:name w:val="List Alpha 2"/>
    <w:basedOn w:val="List2"/>
    <w:rsid w:val="00B9084C"/>
    <w:pPr>
      <w:numPr>
        <w:numId w:val="8"/>
      </w:numPr>
    </w:pPr>
  </w:style>
  <w:style w:type="paragraph" w:styleId="List2">
    <w:name w:val="List 2"/>
    <w:basedOn w:val="BodyText"/>
    <w:rsid w:val="00B908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08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08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08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08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08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9084C"/>
    <w:pPr>
      <w:numPr>
        <w:numId w:val="4"/>
      </w:numPr>
    </w:pPr>
  </w:style>
  <w:style w:type="paragraph" w:styleId="ListContinue2">
    <w:name w:val="List Continue 2"/>
    <w:basedOn w:val="List2"/>
    <w:rsid w:val="00B9084C"/>
    <w:pPr>
      <w:ind w:firstLine="0"/>
    </w:pPr>
  </w:style>
  <w:style w:type="paragraph" w:styleId="ListContinue3">
    <w:name w:val="List Continue 3"/>
    <w:basedOn w:val="List3"/>
    <w:rsid w:val="00B9084C"/>
    <w:pPr>
      <w:ind w:left="1021" w:firstLine="0"/>
    </w:pPr>
  </w:style>
  <w:style w:type="paragraph" w:styleId="ListContinue4">
    <w:name w:val="List Continue 4"/>
    <w:basedOn w:val="List4"/>
    <w:rsid w:val="00B9084C"/>
    <w:pPr>
      <w:ind w:firstLine="0"/>
    </w:pPr>
  </w:style>
  <w:style w:type="paragraph" w:styleId="ListContinue5">
    <w:name w:val="List Continue 5"/>
    <w:basedOn w:val="List5"/>
    <w:rsid w:val="00B9084C"/>
    <w:pPr>
      <w:ind w:firstLine="0"/>
    </w:pPr>
  </w:style>
  <w:style w:type="paragraph" w:styleId="ListNumber3">
    <w:name w:val="List Number 3"/>
    <w:basedOn w:val="List3"/>
    <w:rsid w:val="00B9084C"/>
    <w:pPr>
      <w:numPr>
        <w:numId w:val="5"/>
      </w:numPr>
    </w:pPr>
  </w:style>
  <w:style w:type="paragraph" w:styleId="ListNumber4">
    <w:name w:val="List Number 4"/>
    <w:basedOn w:val="List4"/>
    <w:rsid w:val="00B9084C"/>
    <w:pPr>
      <w:numPr>
        <w:numId w:val="6"/>
      </w:numPr>
    </w:pPr>
  </w:style>
  <w:style w:type="paragraph" w:styleId="ListNumber5">
    <w:name w:val="List Number 5"/>
    <w:basedOn w:val="List5"/>
    <w:rsid w:val="00B9084C"/>
    <w:pPr>
      <w:numPr>
        <w:numId w:val="7"/>
      </w:numPr>
    </w:pPr>
  </w:style>
  <w:style w:type="paragraph" w:styleId="BlockText">
    <w:name w:val="Block Text"/>
    <w:basedOn w:val="Normal"/>
    <w:rsid w:val="00B908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08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084C"/>
    <w:rPr>
      <w:sz w:val="16"/>
      <w:vertAlign w:val="superscript"/>
    </w:rPr>
  </w:style>
  <w:style w:type="character" w:customStyle="1" w:styleId="Symbols">
    <w:name w:val="Symbols"/>
    <w:basedOn w:val="DefaultParagraphFont"/>
    <w:rsid w:val="00B9084C"/>
    <w:rPr>
      <w:rFonts w:ascii="Symbol" w:hAnsi="Symbol"/>
    </w:rPr>
  </w:style>
  <w:style w:type="character" w:customStyle="1" w:styleId="MenuOptions">
    <w:name w:val="Menu Options"/>
    <w:basedOn w:val="DefaultParagraphFont"/>
    <w:rsid w:val="00B908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084C"/>
    <w:rPr>
      <w:b/>
    </w:rPr>
  </w:style>
  <w:style w:type="character" w:customStyle="1" w:styleId="Underlined">
    <w:name w:val="Underlined"/>
    <w:basedOn w:val="DefaultParagraphFont"/>
    <w:rsid w:val="00B9084C"/>
    <w:rPr>
      <w:u w:val="single"/>
    </w:rPr>
  </w:style>
  <w:style w:type="paragraph" w:customStyle="1" w:styleId="TableBodyTextRight">
    <w:name w:val="Table Body Text Right"/>
    <w:basedOn w:val="TableBodyText"/>
    <w:rsid w:val="00B908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084C"/>
    <w:rPr>
      <w:sz w:val="18"/>
    </w:rPr>
  </w:style>
  <w:style w:type="paragraph" w:customStyle="1" w:styleId="BodySmallRight">
    <w:name w:val="Body Small Right"/>
    <w:basedOn w:val="BodyTextRight"/>
    <w:rsid w:val="00B9084C"/>
    <w:rPr>
      <w:sz w:val="18"/>
      <w:szCs w:val="18"/>
    </w:rPr>
  </w:style>
  <w:style w:type="paragraph" w:customStyle="1" w:styleId="MarginEdition">
    <w:name w:val="Margin Edition"/>
    <w:basedOn w:val="MarginNote"/>
    <w:rsid w:val="00B908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084C"/>
    <w:rPr>
      <w:sz w:val="2"/>
      <w:szCs w:val="2"/>
    </w:rPr>
  </w:style>
  <w:style w:type="character" w:customStyle="1" w:styleId="Small">
    <w:name w:val="Small"/>
    <w:basedOn w:val="DefaultParagraphFont"/>
    <w:rsid w:val="00B9084C"/>
    <w:rPr>
      <w:sz w:val="16"/>
    </w:rPr>
  </w:style>
  <w:style w:type="paragraph" w:customStyle="1" w:styleId="WideTable">
    <w:name w:val="Wide Table"/>
    <w:basedOn w:val="Normal"/>
    <w:rsid w:val="00B908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084C"/>
  </w:style>
  <w:style w:type="paragraph" w:styleId="Quote">
    <w:name w:val="Quote"/>
    <w:basedOn w:val="Heading1"/>
    <w:link w:val="QuoteChar"/>
    <w:qFormat/>
    <w:rsid w:val="00B908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08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084C"/>
    <w:pPr>
      <w:pageBreakBefore/>
    </w:pPr>
  </w:style>
  <w:style w:type="paragraph" w:customStyle="1" w:styleId="Border">
    <w:name w:val="Border"/>
    <w:basedOn w:val="Normal"/>
    <w:qFormat/>
    <w:rsid w:val="00B908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08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08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08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08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08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08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08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08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084C"/>
    <w:rPr>
      <w:u w:val="single"/>
    </w:rPr>
  </w:style>
  <w:style w:type="character" w:customStyle="1" w:styleId="BoldandItalics">
    <w:name w:val="Bold and Italics"/>
    <w:qFormat/>
    <w:rsid w:val="00B9084C"/>
    <w:rPr>
      <w:b/>
      <w:i/>
      <w:u w:val="none"/>
    </w:rPr>
  </w:style>
  <w:style w:type="paragraph" w:styleId="BalloonText">
    <w:name w:val="Balloon Text"/>
    <w:basedOn w:val="Normal"/>
    <w:link w:val="BalloonTextChar"/>
    <w:rsid w:val="00B908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08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08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08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08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08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084C"/>
    <w:pPr>
      <w:spacing w:before="0" w:after="0"/>
    </w:pPr>
  </w:style>
  <w:style w:type="paragraph" w:customStyle="1" w:styleId="BodyTextBold">
    <w:name w:val="Body Text Bold"/>
    <w:basedOn w:val="BodyText"/>
    <w:qFormat/>
    <w:rsid w:val="00B9084C"/>
    <w:rPr>
      <w:b/>
    </w:rPr>
  </w:style>
  <w:style w:type="character" w:styleId="Hyperlink">
    <w:name w:val="Hyperlink"/>
    <w:basedOn w:val="DefaultParagraphFont"/>
    <w:uiPriority w:val="99"/>
    <w:unhideWhenUsed/>
    <w:rsid w:val="003F25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583</Words>
  <Characters>3683</Characters>
  <Application>Microsoft Office Word</Application>
  <DocSecurity>0</DocSecurity>
  <Lines>85</Lines>
  <Paragraphs>56</Paragraphs>
  <ScaleCrop>false</ScaleCrop>
  <Company>Author-it Software Corporation Ltd.</Company>
  <LinksUpToDate>false</LinksUpToDate>
  <CharactersWithSpaces>4210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BSBWHS616 Apply safe design principles to control WHS risks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2022-11-21T09:06:00Z</dcterms:created>
  <dcterms:modified xsi:type="dcterms:W3CDTF">2022-11-21T09:06:00Z</dcterms:modified>
</cp:coreProperties>
</file>