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2E5" w:rsidP="00C42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BSBWHS611 Develop and implement strategies that support work-related psychological health and safety</w:t>
      </w:r>
      <w:r>
        <w:fldChar w:fldCharType="end"/>
      </w:r>
    </w:p>
    <w:p w:rsidR="00C422E5" w:rsidP="00C422E5">
      <w:pPr>
        <w:pStyle w:val="Version"/>
        <w:sectPr w:rsidSect="00B06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892" w:rsidP="00B06892">
      <w:pPr>
        <w:pStyle w:val="SuperHeading"/>
      </w:pPr>
      <w:r w:rsidRPr="00B06892">
        <w:t>BSBWHS611 Develop and implement strategies that support work-related psychological health and safety</w:t>
      </w:r>
    </w:p>
    <w:p w:rsidR="00000000" w:rsidRPr="00B06892" w:rsidP="00B06892">
      <w:pPr>
        <w:pStyle w:val="Heading1"/>
      </w:pPr>
      <w:bookmarkStart w:id="1" w:name="O_1056127"/>
      <w:bookmarkEnd w:id="1"/>
      <w:r w:rsidRPr="00B06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B0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rPr>
                <w:rStyle w:val="SpecialBold"/>
              </w:rPr>
              <w:t>Comments</w:t>
            </w:r>
          </w:p>
        </w:tc>
      </w:tr>
      <w:tr w:rsidTr="00B0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t>This version first released with BSB Business Services Training Package Version 5.0.</w:t>
            </w:r>
          </w:p>
        </w:tc>
      </w:tr>
    </w:tbl>
    <w:p w:rsidR="00000000" w:rsidRPr="00B06892" w:rsidP="00B06892">
      <w:pPr>
        <w:pStyle w:val="BodyText"/>
      </w:pPr>
    </w:p>
    <w:p w:rsidR="00000000" w:rsidRPr="00B06892" w:rsidP="00B06892">
      <w:pPr>
        <w:pStyle w:val="AllowPageBreak"/>
      </w:pPr>
    </w:p>
    <w:p w:rsidR="00000000" w:rsidRPr="00B06892" w:rsidP="00B06892">
      <w:pPr>
        <w:pStyle w:val="Heading1"/>
      </w:pPr>
      <w:bookmarkStart w:id="2" w:name="O_1056132"/>
      <w:bookmarkEnd w:id="2"/>
      <w:r w:rsidRPr="00B06892">
        <w:t>Application</w:t>
      </w:r>
    </w:p>
    <w:p w:rsidR="00000000" w:rsidRPr="00B06892" w:rsidP="00C422E5">
      <w:pPr>
        <w:pStyle w:val="BodyText"/>
      </w:pPr>
      <w:r w:rsidRPr="00B06892">
        <w:t xml:space="preserve">This unit describes the skills and knowledge required to develop, implement and evaluate strategies that support work-related psychological health and safety and the control of work-related psychosocial hazards. </w:t>
      </w:r>
    </w:p>
    <w:p w:rsidR="00000000" w:rsidRPr="00B06892" w:rsidP="00C422E5">
      <w:pPr>
        <w:pStyle w:val="BodyText"/>
      </w:pPr>
      <w:r w:rsidRPr="00B06892">
        <w:t>The unit app</w:t>
      </w:r>
      <w:r w:rsidRPr="00B06892">
        <w:t xml:space="preserve">lies to those who are in a position to apply the principles of work-related psychological health and safety risk management to develop appropriate strategies in their organisation. These people work in a range of WHS roles across all industries, and apply </w:t>
      </w:r>
      <w:r w:rsidRPr="00B06892">
        <w:t>a substantial knowledge base and well-developed skills in a wide variety of WHS contexts.</w:t>
      </w:r>
    </w:p>
    <w:p w:rsidR="00000000" w:rsidRPr="00B06892" w:rsidP="00B06892">
      <w:pPr>
        <w:pStyle w:val="BodyTextBold"/>
      </w:pPr>
      <w:r w:rsidRPr="00B06892">
        <w:t>NOTES</w:t>
      </w:r>
    </w:p>
    <w:p w:rsidR="00000000" w:rsidRPr="00B06892" w:rsidP="00C422E5">
      <w:pPr>
        <w:pStyle w:val="List"/>
      </w:pPr>
      <w:r w:rsidRPr="00B06892">
        <w:t>1.</w:t>
      </w:r>
      <w:r>
        <w:tab/>
      </w:r>
      <w:r w:rsidRPr="00B06892">
        <w:t>The terms ‘occupational health and safety’ (OHS) and ‘work health and safety’ (WHS) are equivalent, and generally either can be used in the workplace. In ju</w:t>
      </w:r>
      <w:r w:rsidRPr="00B06892">
        <w:t xml:space="preserve">risdictions where </w:t>
      </w:r>
      <w:r w:rsidRPr="00B06892">
        <w:rPr>
          <w:rStyle w:val="Emphasis"/>
        </w:rPr>
        <w:t>model WHS laws</w:t>
      </w:r>
      <w:r w:rsidRPr="00B06892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B06892" w:rsidP="00C422E5">
      <w:pPr>
        <w:pStyle w:val="List"/>
      </w:pPr>
      <w:r w:rsidRPr="00B06892">
        <w:t>2.</w:t>
      </w:r>
      <w:r>
        <w:tab/>
      </w:r>
      <w:r w:rsidRPr="00B06892">
        <w:t xml:space="preserve">The </w:t>
      </w:r>
      <w:r w:rsidRPr="00B06892">
        <w:rPr>
          <w:rStyle w:val="Emphasis"/>
        </w:rPr>
        <w:t>model WHS laws</w:t>
      </w:r>
      <w:r w:rsidRPr="00B06892">
        <w:t xml:space="preserve"> include the model WHS Act</w:t>
      </w:r>
      <w:r w:rsidRPr="00B06892">
        <w:t>, model WHS Regulations and model WHS Codes of Practice. See Safe Work Australia (SWA) for further information.</w:t>
      </w:r>
    </w:p>
    <w:p w:rsidR="00000000" w:rsidRPr="00B06892" w:rsidP="00C422E5">
      <w:pPr>
        <w:pStyle w:val="List"/>
      </w:pPr>
      <w:r w:rsidRPr="00B06892">
        <w:t>3.</w:t>
      </w:r>
      <w:r>
        <w:tab/>
      </w:r>
      <w:r w:rsidRPr="00B06892">
        <w:t>Safe Work Australia national guidance material refers to ‘psychosocial hazards or factors’ as ‘anything in the design or management of work t</w:t>
      </w:r>
      <w:r w:rsidRPr="00B06892">
        <w:t xml:space="preserve">hat increases the risk of work-related stress’ and states that ‘work-related stress if prolonged and/or severe can cause both psychological and physical injury’. (SWA, </w:t>
      </w:r>
      <w:r w:rsidRPr="00B06892">
        <w:rPr>
          <w:rStyle w:val="Emphasis"/>
        </w:rPr>
        <w:t>Work-related psychological health and safety: A systematic approach to meeting your duti</w:t>
      </w:r>
      <w:r w:rsidRPr="00B06892">
        <w:rPr>
          <w:rStyle w:val="Emphasis"/>
        </w:rPr>
        <w:t>es</w:t>
      </w:r>
      <w:r w:rsidRPr="00B06892">
        <w:t>)</w:t>
      </w:r>
    </w:p>
    <w:p w:rsidR="00000000" w:rsidRPr="00B06892" w:rsidP="00B06892">
      <w:pPr>
        <w:pStyle w:val="BodyText"/>
      </w:pPr>
    </w:p>
    <w:p w:rsidR="00000000" w:rsidRPr="00B06892" w:rsidP="00C422E5">
      <w:pPr>
        <w:pStyle w:val="BodyText"/>
      </w:pPr>
      <w:r w:rsidRPr="00B06892">
        <w:t>No licensing, legislative or certification requirements apply to this unit at the time of publication.</w:t>
      </w:r>
    </w:p>
    <w:p w:rsidR="00000000" w:rsidRPr="00B06892" w:rsidP="00B06892">
      <w:pPr>
        <w:pStyle w:val="Heading1"/>
      </w:pPr>
      <w:bookmarkStart w:id="3" w:name="O_1056131"/>
      <w:bookmarkEnd w:id="3"/>
      <w:r w:rsidRPr="00B06892">
        <w:t>Unit Sector</w:t>
      </w:r>
    </w:p>
    <w:p w:rsidR="00000000" w:rsidRPr="00B06892" w:rsidP="00C422E5">
      <w:pPr>
        <w:pStyle w:val="BodyText"/>
      </w:pPr>
      <w:r w:rsidRPr="00B06892">
        <w:t>Regulation, Licensing and Risk – Work Health and Safety</w:t>
      </w:r>
    </w:p>
    <w:p w:rsidR="00000000" w:rsidRPr="00B06892" w:rsidP="00B06892">
      <w:pPr>
        <w:pStyle w:val="Heading1"/>
      </w:pPr>
      <w:bookmarkStart w:id="4" w:name="O_1056130"/>
      <w:bookmarkEnd w:id="4"/>
      <w:r w:rsidRPr="00B068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rPr>
                <w:rStyle w:val="SpecialBold"/>
              </w:rPr>
              <w:t>PERFORMANCE CRITERIA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1. Develop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t xml:space="preserve">1.1 Access and </w:t>
            </w:r>
            <w:r w:rsidRPr="00B06892">
              <w:t>assess information and data relevant to creating and sustaining a psychologically healthy and safe workplace</w:t>
            </w:r>
          </w:p>
          <w:p w:rsidR="00000000" w:rsidRPr="00B06892" w:rsidP="00B06892">
            <w:pPr>
              <w:pStyle w:val="BodyText"/>
            </w:pPr>
            <w:r w:rsidRPr="00B06892">
              <w:t>1.2 Review organisation’s work-related psychosocial hazard register, associated risk assessments and identified risk controls</w:t>
            </w:r>
          </w:p>
          <w:p w:rsidR="00000000" w:rsidRPr="00B06892" w:rsidP="00B06892">
            <w:pPr>
              <w:pStyle w:val="BodyText"/>
            </w:pPr>
            <w:r w:rsidRPr="00B06892">
              <w:t>1.3 Review complaints</w:t>
            </w:r>
            <w:r w:rsidRPr="00B06892">
              <w:t xml:space="preserve"> and incidents relating to work-related psychological health and safety, and associated psychosocial hazards </w:t>
            </w:r>
          </w:p>
          <w:p w:rsidR="00000000" w:rsidRPr="00B06892" w:rsidP="00B06892">
            <w:pPr>
              <w:pStyle w:val="BodyText"/>
            </w:pPr>
            <w:r w:rsidRPr="00B06892">
              <w:t>1.4 Collaborate with others to develop strategies that maintain work-related psychological health and safety</w:t>
            </w:r>
          </w:p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 xml:space="preserve">1.5 Document strategies according to </w:t>
            </w:r>
            <w:r w:rsidRPr="00B06892">
              <w:t>organisational policies and procedures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2. Implement developed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t xml:space="preserve">2.1 Consult with required personnel to confirm their roles and responsibilities in relation to work-related psychological health and safety strategies </w:t>
            </w:r>
          </w:p>
          <w:p w:rsidR="00000000" w:rsidRPr="00B06892" w:rsidP="00B06892">
            <w:pPr>
              <w:pStyle w:val="BodyText"/>
            </w:pPr>
            <w:r w:rsidRPr="00B06892">
              <w:t>2.2 Communicate work-related psychological health and safety strategies to required personnel</w:t>
            </w:r>
          </w:p>
          <w:p w:rsidR="00000000" w:rsidRPr="00B06892" w:rsidP="00B06892">
            <w:pPr>
              <w:pStyle w:val="BodyText"/>
            </w:pPr>
            <w:r w:rsidRPr="00B06892">
              <w:t>2.3 Identi</w:t>
            </w:r>
            <w:r w:rsidRPr="00B06892">
              <w:t>fy, disseminate and promote current information and data relating to implemented strategies</w:t>
            </w:r>
          </w:p>
          <w:p w:rsidR="00000000" w:rsidRPr="00B06892" w:rsidP="00B06892">
            <w:pPr>
              <w:pStyle w:val="BodyText"/>
            </w:pPr>
            <w:r w:rsidRPr="00B06892">
              <w:t>2.4 Identify situations where specialist support is required and access support as needed</w:t>
            </w:r>
          </w:p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2.5 Identify and address training needs for relevant stakeholders in ident</w:t>
            </w:r>
            <w:r w:rsidRPr="00B06892">
              <w:t>ifying and managing risks to work-related psychological health and safety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3. Evaluate implemented strategies that support work-related psychological health and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t>3.1 Establish processes and procedures for evaluating effectiveness of implemented work-</w:t>
            </w:r>
            <w:r w:rsidRPr="00B06892">
              <w:t>related psychological health and safety strategies</w:t>
            </w:r>
          </w:p>
          <w:p w:rsidR="00000000" w:rsidRPr="00B06892" w:rsidP="00B06892">
            <w:pPr>
              <w:pStyle w:val="BodyText"/>
            </w:pPr>
            <w:r w:rsidRPr="00B06892">
              <w:t>3.2 Seek feedback on implemented strategies from internal and, as required, external stakeholders</w:t>
            </w:r>
          </w:p>
          <w:p w:rsidR="00000000" w:rsidRPr="00B06892" w:rsidP="00B06892">
            <w:pPr>
              <w:pStyle w:val="BodyText"/>
            </w:pPr>
            <w:r w:rsidRPr="00B06892">
              <w:t>3.3 Apply established evaluation processes and procedures</w:t>
            </w:r>
          </w:p>
          <w:p w:rsidR="00000000" w:rsidRPr="00B06892" w:rsidP="00B06892">
            <w:pPr>
              <w:pStyle w:val="BodyText"/>
            </w:pPr>
            <w:r w:rsidRPr="00B06892">
              <w:t>3.4 Adjust strategy components in response to eva</w:t>
            </w:r>
            <w:r w:rsidRPr="00B06892">
              <w:t>luation outcomes and feedback received</w:t>
            </w:r>
          </w:p>
          <w:p w:rsidR="00000000" w:rsidRPr="00B06892" w:rsidP="00B06892">
            <w:pPr>
              <w:pStyle w:val="BodyText"/>
            </w:pPr>
            <w:r w:rsidRPr="00B06892">
              <w:t>3.5 Document and communicate evaluation outcomes to required personnel according to organisational policies and procedures</w:t>
            </w:r>
          </w:p>
          <w:p w:rsidR="00000000" w:rsidRPr="00B06892" w:rsidP="00B06892">
            <w:pPr>
              <w:pStyle w:val="BodyText"/>
            </w:pPr>
            <w:r w:rsidRPr="00B06892">
              <w:t xml:space="preserve">3.6 Document required enhancements to work-related psychological </w:t>
            </w:r>
            <w:r w:rsidRPr="00B06892">
              <w:t xml:space="preserve">health and safety strategies </w:t>
            </w:r>
            <w:r w:rsidRPr="00B06892">
              <w:t xml:space="preserve">arising from evaluation activities </w:t>
            </w:r>
          </w:p>
        </w:tc>
      </w:tr>
    </w:tbl>
    <w:p w:rsidR="00000000" w:rsidRPr="00B06892" w:rsidP="00B06892">
      <w:pPr>
        <w:pStyle w:val="BodyText"/>
      </w:pPr>
    </w:p>
    <w:p w:rsidR="00000000" w:rsidRPr="00B06892" w:rsidP="00B06892">
      <w:pPr>
        <w:pStyle w:val="AllowPageBreak"/>
      </w:pPr>
    </w:p>
    <w:p w:rsidR="00000000" w:rsidRPr="00B06892" w:rsidP="00B06892">
      <w:pPr>
        <w:pStyle w:val="Heading1"/>
      </w:pPr>
      <w:bookmarkStart w:id="5" w:name="O_1056129"/>
      <w:bookmarkEnd w:id="5"/>
      <w:r w:rsidRPr="00B06892">
        <w:t>Foundation Skills</w:t>
      </w:r>
    </w:p>
    <w:p w:rsidR="00000000" w:rsidRPr="00C422E5" w:rsidP="00C422E5">
      <w:pPr>
        <w:pStyle w:val="BodyText"/>
        <w:rPr>
          <w:i/>
        </w:rPr>
      </w:pPr>
      <w:r w:rsidRPr="00C422E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BodyText"/>
            </w:pPr>
            <w:r w:rsidRPr="00B068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rPr>
                <w:rStyle w:val="SpecialBold"/>
              </w:rPr>
              <w:t>Description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>Identifies, interprets and analyses internal and external organisational texts relevant to work-related psychological health and safety requirements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ListBullet"/>
            </w:pPr>
            <w:r w:rsidRPr="00B06892">
              <w:t xml:space="preserve">Communicates information about work-related psychological health and safety strategies, </w:t>
            </w:r>
            <w:r w:rsidRPr="00B06892">
              <w:t xml:space="preserve">matching style of writing to purpose and audience </w:t>
            </w:r>
          </w:p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 xml:space="preserve">Drafts and develops required documents using appropriate vocabulary, grammatical structure and required conventions 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ListBullet"/>
            </w:pPr>
            <w:r w:rsidRPr="00B06892">
              <w:t>Presents information and ideas using vocabulary appropriate to audi</w:t>
            </w:r>
            <w:r w:rsidRPr="00B06892">
              <w:t xml:space="preserve">ence and context </w:t>
            </w:r>
          </w:p>
          <w:p w:rsidR="00000000" w:rsidRPr="00B06892" w:rsidP="00B06892">
            <w:pPr>
              <w:pStyle w:val="ListBullet"/>
            </w:pPr>
            <w:r w:rsidRPr="00B06892">
              <w:t>Uses questioning and active listening to facilitate discussion, seek clarification, confirm understanding and seek feedback</w:t>
            </w:r>
          </w:p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>Communicates effectively, taking into consideration confidentiality and privacy of individuals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ListBullet"/>
            </w:pPr>
            <w:r w:rsidRPr="00B06892">
              <w:t>Extracts</w:t>
            </w:r>
            <w:r w:rsidRPr="00B06892">
              <w:t xml:space="preserve"> and evaluates information and data from work-related psychological health and safety documents </w:t>
            </w:r>
          </w:p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>Uses oral and written mathematical language and graphical representation to communicate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>Identifies own and others’ legal rights an</w:t>
            </w:r>
            <w:r w:rsidRPr="00B06892">
              <w:t>d responsibilities relating to work-related psychological health and safety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ListBullet"/>
              <w:rPr>
                <w:lang w:val="en-NZ"/>
              </w:rPr>
            </w:pPr>
            <w:r w:rsidRPr="00B06892">
              <w:t>Collaborates with others to achieve joint outcomes, playing an active role in facilitating effective group interaction and influencing direction</w:t>
            </w:r>
          </w:p>
        </w:tc>
      </w:tr>
      <w:tr w:rsidTr="00C422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92">
            <w:pPr>
              <w:pStyle w:val="BodyText"/>
              <w:rPr>
                <w:lang w:val="en-NZ"/>
              </w:rPr>
            </w:pPr>
            <w:r w:rsidRPr="00B0689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92" w:rsidP="00B06892">
            <w:pPr>
              <w:pStyle w:val="ListBullet"/>
            </w:pPr>
            <w:r w:rsidRPr="00B06892">
              <w:t>Uses logical planning processes and understanding of context to plan work-related health and safety strategies</w:t>
            </w:r>
          </w:p>
          <w:p w:rsidR="00000000" w:rsidRPr="00B06892" w:rsidP="00B06892">
            <w:pPr>
              <w:pStyle w:val="ListBullet"/>
            </w:pPr>
            <w:r w:rsidRPr="00B06892">
              <w:t xml:space="preserve">Sequences and schedules strategies, monitors their implementation and manages relevant communication </w:t>
            </w:r>
          </w:p>
          <w:p w:rsidR="00000000" w:rsidRPr="00B06892" w:rsidP="00B06892">
            <w:pPr>
              <w:pStyle w:val="ListBullet"/>
            </w:pPr>
            <w:r w:rsidRPr="00B06892">
              <w:t>Uses systematic and anal</w:t>
            </w:r>
            <w:r w:rsidRPr="00B06892">
              <w:t xml:space="preserve">ytical processes in complex, non-routine situations: sets goals, gathers relevant information, and identifies and evaluates options against agreed criteria </w:t>
            </w:r>
          </w:p>
          <w:p w:rsidR="00000000" w:rsidRPr="00B06892" w:rsidP="00B06892">
            <w:pPr>
              <w:pStyle w:val="ListBullet"/>
            </w:pPr>
            <w:r w:rsidRPr="00B06892">
              <w:t>Identifies and anticipates problems and promotes appropriate resources and information, as required</w:t>
            </w:r>
          </w:p>
        </w:tc>
      </w:tr>
    </w:tbl>
    <w:p w:rsidR="00000000" w:rsidRPr="00B06892" w:rsidP="00B06892">
      <w:pPr>
        <w:pStyle w:val="BodyText"/>
      </w:pPr>
    </w:p>
    <w:p w:rsidR="00000000" w:rsidRPr="00B06892" w:rsidP="00B06892">
      <w:pPr>
        <w:pStyle w:val="AllowPageBreak"/>
      </w:pPr>
    </w:p>
    <w:p w:rsidR="00000000" w:rsidRPr="00B06892" w:rsidP="00B06892">
      <w:pPr>
        <w:pStyle w:val="Heading1"/>
      </w:pPr>
      <w:bookmarkStart w:id="6" w:name="O_1056128"/>
      <w:bookmarkEnd w:id="6"/>
      <w:r w:rsidRPr="00B06892">
        <w:t>Unit Mapping Information</w:t>
      </w:r>
    </w:p>
    <w:p w:rsidR="00000000" w:rsidRPr="00B06892" w:rsidP="00C422E5">
      <w:pPr>
        <w:pStyle w:val="BodyText"/>
      </w:pPr>
      <w:r w:rsidRPr="00B06892">
        <w:t>No equivalent unit. New unit.</w:t>
      </w:r>
    </w:p>
    <w:p w:rsidR="00000000" w:rsidRPr="00B06892" w:rsidP="00B06892">
      <w:pPr>
        <w:pStyle w:val="Heading1"/>
      </w:pPr>
      <w:bookmarkStart w:id="7" w:name="O_1056121"/>
      <w:bookmarkEnd w:id="7"/>
      <w:r w:rsidRPr="00B06892">
        <w:t>Links</w:t>
      </w:r>
    </w:p>
    <w:p w:rsidR="00000000" w:rsidRPr="00B06892" w:rsidP="00C422E5">
      <w:pPr>
        <w:pStyle w:val="BodyText"/>
      </w:pPr>
      <w:r w:rsidRPr="00B0689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32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6892" w:rsidP="00B06892"/>
    <w:sectPr w:rsidSect="00B06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92" w:rsidRPr="00C422E5" w:rsidP="00C42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E5" w:rsidP="00B06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2E5" w:rsidP="00B06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2E5" w:rsidP="00B06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892" w:rsidRPr="00C422E5" w:rsidP="00C42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2E5" w:rsidRPr="002D2AF8" w:rsidP="00B06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BSBWHS611 Develop and implement strategies that support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422E5" w:rsidP="00B06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CE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AA7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892"/>
  </w:style>
  <w:style w:type="character" w:customStyle="1" w:styleId="Heading1Char">
    <w:name w:val="Heading 1 Char"/>
    <w:basedOn w:val="DefaultParagraphFont"/>
    <w:link w:val="Heading1"/>
    <w:rsid w:val="00B06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892"/>
    <w:rPr>
      <w:b/>
      <w:spacing w:val="0"/>
    </w:rPr>
  </w:style>
  <w:style w:type="character" w:styleId="Emphasis">
    <w:name w:val="Emphasis"/>
    <w:basedOn w:val="DefaultParagraphFont"/>
    <w:qFormat/>
    <w:rsid w:val="00B06892"/>
    <w:rPr>
      <w:i/>
    </w:rPr>
  </w:style>
  <w:style w:type="paragraph" w:customStyle="1" w:styleId="SuperHeading">
    <w:name w:val="SuperHeading"/>
    <w:basedOn w:val="Normal"/>
    <w:rsid w:val="00B06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892"/>
    <w:rPr>
      <w:b/>
    </w:rPr>
  </w:style>
  <w:style w:type="character" w:customStyle="1" w:styleId="Heading2Char">
    <w:name w:val="Heading 2 Char"/>
    <w:basedOn w:val="DefaultParagraphFont"/>
    <w:link w:val="Heading2"/>
    <w:rsid w:val="00B06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892"/>
  </w:style>
  <w:style w:type="paragraph" w:styleId="TableofFigures">
    <w:name w:val="table of figures"/>
    <w:basedOn w:val="Normal"/>
    <w:next w:val="Normal"/>
    <w:semiHidden/>
    <w:rsid w:val="00B06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892"/>
    <w:rPr>
      <w:rFonts w:ascii="Wingdings" w:hAnsi="Wingdings"/>
    </w:rPr>
  </w:style>
  <w:style w:type="paragraph" w:customStyle="1" w:styleId="TableHeading">
    <w:name w:val="Table Heading"/>
    <w:basedOn w:val="HeadingBase"/>
    <w:rsid w:val="00B06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892"/>
    <w:rPr>
      <w:color w:val="0033CC"/>
      <w:u w:val="none"/>
    </w:rPr>
  </w:style>
  <w:style w:type="paragraph" w:customStyle="1" w:styleId="BodyTextRight">
    <w:name w:val="Body Text Right"/>
    <w:basedOn w:val="BodyText"/>
    <w:rsid w:val="00B06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892"/>
    <w:rPr>
      <w:sz w:val="32"/>
    </w:rPr>
  </w:style>
  <w:style w:type="paragraph" w:customStyle="1" w:styleId="HeadingProcedure">
    <w:name w:val="Heading Procedure"/>
    <w:basedOn w:val="HeadingBase"/>
    <w:next w:val="Normal"/>
    <w:rsid w:val="00B06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892"/>
    <w:pPr>
      <w:spacing w:before="60" w:after="60"/>
    </w:pPr>
  </w:style>
  <w:style w:type="paragraph" w:styleId="ListContinue">
    <w:name w:val="List Continue"/>
    <w:basedOn w:val="List"/>
    <w:rsid w:val="00B06892"/>
    <w:pPr>
      <w:ind w:firstLine="0"/>
    </w:pPr>
  </w:style>
  <w:style w:type="paragraph" w:customStyle="1" w:styleId="ListNote">
    <w:name w:val="List Note"/>
    <w:basedOn w:val="List"/>
    <w:rsid w:val="00B06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892"/>
    <w:rPr>
      <w:rFonts w:ascii="Courier New" w:hAnsi="Courier New"/>
    </w:rPr>
  </w:style>
  <w:style w:type="paragraph" w:customStyle="1" w:styleId="NoteBullet">
    <w:name w:val="Note Bullet"/>
    <w:basedOn w:val="Note"/>
    <w:rsid w:val="00B06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892"/>
    <w:rPr>
      <w:b/>
      <w:smallCaps/>
    </w:rPr>
  </w:style>
  <w:style w:type="paragraph" w:customStyle="1" w:styleId="TableListNumber">
    <w:name w:val="Table List Number"/>
    <w:basedOn w:val="ListNumber"/>
    <w:rsid w:val="00B06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892"/>
    <w:pPr>
      <w:numPr>
        <w:numId w:val="8"/>
      </w:numPr>
    </w:pPr>
  </w:style>
  <w:style w:type="paragraph" w:customStyle="1" w:styleId="ListAlpha2">
    <w:name w:val="List Alpha 2"/>
    <w:basedOn w:val="List2"/>
    <w:rsid w:val="00B06892"/>
    <w:pPr>
      <w:numPr>
        <w:numId w:val="7"/>
      </w:numPr>
    </w:pPr>
  </w:style>
  <w:style w:type="paragraph" w:styleId="List2">
    <w:name w:val="List 2"/>
    <w:basedOn w:val="BodyText"/>
    <w:rsid w:val="00B06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892"/>
    <w:pPr>
      <w:numPr>
        <w:numId w:val="3"/>
      </w:numPr>
    </w:pPr>
  </w:style>
  <w:style w:type="paragraph" w:styleId="ListContinue2">
    <w:name w:val="List Continue 2"/>
    <w:basedOn w:val="List2"/>
    <w:rsid w:val="00B06892"/>
    <w:pPr>
      <w:ind w:firstLine="0"/>
    </w:pPr>
  </w:style>
  <w:style w:type="paragraph" w:styleId="ListContinue3">
    <w:name w:val="List Continue 3"/>
    <w:basedOn w:val="List3"/>
    <w:rsid w:val="00B06892"/>
    <w:pPr>
      <w:ind w:left="1021" w:firstLine="0"/>
    </w:pPr>
  </w:style>
  <w:style w:type="paragraph" w:styleId="ListContinue4">
    <w:name w:val="List Continue 4"/>
    <w:basedOn w:val="List4"/>
    <w:rsid w:val="00B06892"/>
    <w:pPr>
      <w:ind w:firstLine="0"/>
    </w:pPr>
  </w:style>
  <w:style w:type="paragraph" w:styleId="ListContinue5">
    <w:name w:val="List Continue 5"/>
    <w:basedOn w:val="List5"/>
    <w:rsid w:val="00B06892"/>
    <w:pPr>
      <w:ind w:firstLine="0"/>
    </w:pPr>
  </w:style>
  <w:style w:type="paragraph" w:styleId="ListNumber3">
    <w:name w:val="List Number 3"/>
    <w:basedOn w:val="List3"/>
    <w:rsid w:val="00B06892"/>
    <w:pPr>
      <w:numPr>
        <w:numId w:val="4"/>
      </w:numPr>
    </w:pPr>
  </w:style>
  <w:style w:type="paragraph" w:styleId="ListNumber4">
    <w:name w:val="List Number 4"/>
    <w:basedOn w:val="List4"/>
    <w:rsid w:val="00B06892"/>
    <w:pPr>
      <w:numPr>
        <w:numId w:val="5"/>
      </w:numPr>
    </w:pPr>
  </w:style>
  <w:style w:type="paragraph" w:styleId="ListNumber5">
    <w:name w:val="List Number 5"/>
    <w:basedOn w:val="List5"/>
    <w:rsid w:val="00B06892"/>
    <w:pPr>
      <w:numPr>
        <w:numId w:val="6"/>
      </w:numPr>
    </w:pPr>
  </w:style>
  <w:style w:type="paragraph" w:styleId="BlockText">
    <w:name w:val="Block Text"/>
    <w:basedOn w:val="Normal"/>
    <w:rsid w:val="00B06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892"/>
    <w:rPr>
      <w:sz w:val="16"/>
      <w:vertAlign w:val="superscript"/>
    </w:rPr>
  </w:style>
  <w:style w:type="character" w:customStyle="1" w:styleId="Symbols">
    <w:name w:val="Symbols"/>
    <w:basedOn w:val="DefaultParagraphFont"/>
    <w:rsid w:val="00B06892"/>
    <w:rPr>
      <w:rFonts w:ascii="Symbol" w:hAnsi="Symbol"/>
    </w:rPr>
  </w:style>
  <w:style w:type="character" w:customStyle="1" w:styleId="MenuOptions">
    <w:name w:val="Menu Options"/>
    <w:basedOn w:val="DefaultParagraphFont"/>
    <w:rsid w:val="00B06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892"/>
    <w:rPr>
      <w:b/>
    </w:rPr>
  </w:style>
  <w:style w:type="character" w:customStyle="1" w:styleId="Underlined">
    <w:name w:val="Underlined"/>
    <w:basedOn w:val="DefaultParagraphFont"/>
    <w:rsid w:val="00B06892"/>
    <w:rPr>
      <w:u w:val="single"/>
    </w:rPr>
  </w:style>
  <w:style w:type="paragraph" w:customStyle="1" w:styleId="TableBodyTextRight">
    <w:name w:val="Table Body Text Right"/>
    <w:basedOn w:val="TableBodyText"/>
    <w:rsid w:val="00B06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892"/>
    <w:rPr>
      <w:sz w:val="18"/>
    </w:rPr>
  </w:style>
  <w:style w:type="paragraph" w:customStyle="1" w:styleId="BodySmallRight">
    <w:name w:val="Body Small Right"/>
    <w:basedOn w:val="BodyTextRight"/>
    <w:rsid w:val="00B06892"/>
    <w:rPr>
      <w:sz w:val="18"/>
      <w:szCs w:val="18"/>
    </w:rPr>
  </w:style>
  <w:style w:type="paragraph" w:customStyle="1" w:styleId="MarginEdition">
    <w:name w:val="Margin Edition"/>
    <w:basedOn w:val="MarginNote"/>
    <w:rsid w:val="00B06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892"/>
    <w:rPr>
      <w:sz w:val="2"/>
      <w:szCs w:val="2"/>
    </w:rPr>
  </w:style>
  <w:style w:type="character" w:customStyle="1" w:styleId="Small">
    <w:name w:val="Small"/>
    <w:basedOn w:val="DefaultParagraphFont"/>
    <w:rsid w:val="00B06892"/>
    <w:rPr>
      <w:sz w:val="16"/>
    </w:rPr>
  </w:style>
  <w:style w:type="paragraph" w:customStyle="1" w:styleId="WideTable">
    <w:name w:val="Wide Table"/>
    <w:basedOn w:val="Normal"/>
    <w:rsid w:val="00B06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892"/>
  </w:style>
  <w:style w:type="paragraph" w:styleId="Quote">
    <w:name w:val="Quote"/>
    <w:basedOn w:val="Heading1"/>
    <w:link w:val="QuoteChar"/>
    <w:qFormat/>
    <w:rsid w:val="00B06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892"/>
    <w:pPr>
      <w:pageBreakBefore/>
    </w:pPr>
  </w:style>
  <w:style w:type="paragraph" w:customStyle="1" w:styleId="Border">
    <w:name w:val="Border"/>
    <w:basedOn w:val="Normal"/>
    <w:qFormat/>
    <w:rsid w:val="00B06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892"/>
    <w:rPr>
      <w:u w:val="single"/>
    </w:rPr>
  </w:style>
  <w:style w:type="character" w:customStyle="1" w:styleId="BoldandItalics">
    <w:name w:val="Bold and Italics"/>
    <w:qFormat/>
    <w:rsid w:val="00B06892"/>
    <w:rPr>
      <w:b/>
      <w:i/>
      <w:u w:val="none"/>
    </w:rPr>
  </w:style>
  <w:style w:type="paragraph" w:styleId="BalloonText">
    <w:name w:val="Balloon Text"/>
    <w:basedOn w:val="Normal"/>
    <w:link w:val="BalloonTextChar"/>
    <w:rsid w:val="00B06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8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2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5797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BSBWHS611 Develop and implement strategies that support work-related psychological health and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